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E85BD7">
      <w:pPr>
        <w:adjustRightInd w:val="0"/>
        <w:snapToGrid w:val="0"/>
        <w:jc w:val="center"/>
        <w:outlineLvl w:val="9"/>
        <w:rPr>
          <w:rFonts w:hint="default" w:ascii="Times New Roman" w:hAnsi="Times New Roman" w:eastAsia="仿宋" w:cs="Times New Roman"/>
          <w:bCs/>
          <w:color w:val="auto"/>
          <w:sz w:val="72"/>
          <w:szCs w:val="72"/>
        </w:rPr>
      </w:pPr>
    </w:p>
    <w:p w14:paraId="46F3D681">
      <w:pPr>
        <w:adjustRightInd w:val="0"/>
        <w:snapToGrid w:val="0"/>
        <w:jc w:val="center"/>
        <w:outlineLvl w:val="9"/>
        <w:rPr>
          <w:rFonts w:hint="default" w:ascii="Times New Roman" w:hAnsi="Times New Roman" w:eastAsia="仿宋" w:cs="Times New Roman"/>
          <w:bCs/>
          <w:color w:val="auto"/>
          <w:sz w:val="72"/>
          <w:szCs w:val="72"/>
        </w:rPr>
      </w:pPr>
    </w:p>
    <w:p w14:paraId="009B3A70">
      <w:pPr>
        <w:adjustRightInd w:val="0"/>
        <w:snapToGrid w:val="0"/>
        <w:jc w:val="center"/>
        <w:outlineLvl w:val="9"/>
        <w:rPr>
          <w:rFonts w:hint="default" w:ascii="Times New Roman" w:hAnsi="Times New Roman" w:eastAsia="仿宋" w:cs="Times New Roman"/>
          <w:bCs/>
          <w:color w:val="auto"/>
          <w:sz w:val="72"/>
          <w:szCs w:val="72"/>
        </w:rPr>
      </w:pPr>
    </w:p>
    <w:p w14:paraId="792D1E26">
      <w:pPr>
        <w:adjustRightInd w:val="0"/>
        <w:snapToGrid w:val="0"/>
        <w:jc w:val="center"/>
        <w:outlineLvl w:val="0"/>
        <w:rPr>
          <w:rFonts w:hint="default" w:ascii="Times New Roman" w:hAnsi="Times New Roman" w:eastAsia="仿宋" w:cs="Times New Roman"/>
          <w:bCs/>
          <w:color w:val="auto"/>
          <w:sz w:val="72"/>
          <w:szCs w:val="72"/>
        </w:rPr>
      </w:pPr>
      <w:bookmarkStart w:id="0" w:name="_Toc14586"/>
      <w:r>
        <w:rPr>
          <w:rFonts w:hint="default" w:ascii="Times New Roman" w:hAnsi="Times New Roman" w:eastAsia="仿宋" w:cs="Times New Roman"/>
          <w:bCs/>
          <w:color w:val="auto"/>
          <w:sz w:val="72"/>
          <w:szCs w:val="72"/>
        </w:rPr>
        <w:t>建设项目环境影响报告表</w:t>
      </w:r>
      <w:bookmarkEnd w:id="0"/>
    </w:p>
    <w:p w14:paraId="517ACD4C">
      <w:pPr>
        <w:adjustRightInd w:val="0"/>
        <w:snapToGrid w:val="0"/>
        <w:spacing w:before="192" w:beforeLines="80"/>
        <w:jc w:val="center"/>
        <w:rPr>
          <w:rFonts w:hint="default" w:ascii="Times New Roman" w:hAnsi="Times New Roman" w:eastAsia="楷体_GB2312" w:cs="Times New Roman"/>
          <w:bCs/>
          <w:color w:val="auto"/>
          <w:sz w:val="48"/>
          <w:szCs w:val="48"/>
        </w:rPr>
      </w:pPr>
      <w:r>
        <w:rPr>
          <w:rFonts w:hint="default" w:ascii="Times New Roman" w:hAnsi="Times New Roman" w:eastAsia="楷体_GB2312" w:cs="Times New Roman"/>
          <w:bCs/>
          <w:color w:val="auto"/>
          <w:sz w:val="48"/>
          <w:szCs w:val="48"/>
        </w:rPr>
        <w:t>（</w:t>
      </w:r>
      <w:r>
        <w:rPr>
          <w:rFonts w:hint="default" w:ascii="Times New Roman" w:hAnsi="Times New Roman" w:eastAsia="楷体_GB2312" w:cs="Times New Roman"/>
          <w:bCs/>
          <w:color w:val="auto"/>
          <w:sz w:val="48"/>
          <w:szCs w:val="48"/>
          <w:lang w:val="en-US" w:eastAsia="zh-CN"/>
        </w:rPr>
        <w:t>生态</w:t>
      </w:r>
      <w:r>
        <w:rPr>
          <w:rFonts w:hint="default" w:ascii="Times New Roman" w:hAnsi="Times New Roman" w:eastAsia="楷体_GB2312" w:cs="Times New Roman"/>
          <w:bCs/>
          <w:color w:val="auto"/>
          <w:sz w:val="48"/>
          <w:szCs w:val="48"/>
        </w:rPr>
        <w:t>影响类）</w:t>
      </w:r>
    </w:p>
    <w:p w14:paraId="0A77B4DD">
      <w:pPr>
        <w:bidi w:val="0"/>
        <w:rPr>
          <w:rFonts w:hint="default" w:ascii="Times New Roman" w:hAnsi="Times New Roman" w:cs="Times New Roman"/>
          <w:color w:val="auto"/>
        </w:rPr>
      </w:pPr>
    </w:p>
    <w:p w14:paraId="7DAEC7D8">
      <w:pPr>
        <w:jc w:val="center"/>
        <w:rPr>
          <w:rFonts w:hint="default" w:ascii="Times New Roman" w:hAnsi="Times New Roman" w:eastAsia="仿宋" w:cs="Times New Roman"/>
          <w:color w:val="auto"/>
          <w:sz w:val="52"/>
          <w:szCs w:val="52"/>
        </w:rPr>
      </w:pPr>
    </w:p>
    <w:p w14:paraId="64B40A22">
      <w:pPr>
        <w:ind w:firstLine="1040"/>
        <w:rPr>
          <w:rFonts w:hint="default" w:ascii="Times New Roman" w:hAnsi="Times New Roman" w:eastAsia="仿宋" w:cs="Times New Roman"/>
          <w:color w:val="auto"/>
          <w:sz w:val="44"/>
          <w:szCs w:val="44"/>
        </w:rPr>
      </w:pPr>
    </w:p>
    <w:p w14:paraId="6E832D68">
      <w:pPr>
        <w:pStyle w:val="19"/>
        <w:rPr>
          <w:rFonts w:hint="default" w:ascii="Times New Roman" w:hAnsi="Times New Roman" w:cs="Times New Roman"/>
          <w:color w:val="auto"/>
        </w:rPr>
      </w:pPr>
    </w:p>
    <w:p w14:paraId="74BC4EA0">
      <w:pPr>
        <w:ind w:firstLine="1040"/>
        <w:rPr>
          <w:rFonts w:hint="default" w:ascii="Times New Roman" w:hAnsi="Times New Roman" w:eastAsia="仿宋" w:cs="Times New Roman"/>
          <w:color w:val="auto"/>
          <w:sz w:val="44"/>
          <w:szCs w:val="44"/>
        </w:rPr>
      </w:pPr>
    </w:p>
    <w:tbl>
      <w:tblPr>
        <w:tblStyle w:val="2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03"/>
        <w:gridCol w:w="5857"/>
      </w:tblGrid>
      <w:tr w14:paraId="5B997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203" w:type="dxa"/>
            <w:tcBorders>
              <w:tl2br w:val="nil"/>
              <w:tr2bl w:val="nil"/>
            </w:tcBorders>
            <w:noWrap w:val="0"/>
            <w:vAlign w:val="top"/>
          </w:tcPr>
          <w:p w14:paraId="05663EA4">
            <w:pPr>
              <w:adjustRightInd w:val="0"/>
              <w:snapToGrid w:val="0"/>
              <w:spacing w:line="288" w:lineRule="auto"/>
              <w:jc w:val="center"/>
              <w:rPr>
                <w:rFonts w:hint="default" w:ascii="Times New Roman" w:hAnsi="Times New Roman" w:eastAsia="仿宋" w:cs="Times New Roman"/>
                <w:color w:val="auto"/>
                <w:sz w:val="36"/>
                <w:szCs w:val="36"/>
                <w:vertAlign w:val="baseline"/>
              </w:rPr>
            </w:pPr>
            <w:r>
              <w:rPr>
                <w:rFonts w:hint="default" w:ascii="Times New Roman" w:hAnsi="Times New Roman" w:eastAsia="仿宋" w:cs="Times New Roman"/>
                <w:color w:val="auto"/>
                <w:sz w:val="36"/>
                <w:szCs w:val="36"/>
              </w:rPr>
              <w:t>项</w:t>
            </w:r>
            <w:r>
              <w:rPr>
                <w:rFonts w:hint="eastAsia" w:ascii="Times New Roman" w:hAnsi="Times New Roman" w:eastAsia="仿宋" w:cs="Times New Roman"/>
                <w:color w:val="auto"/>
                <w:sz w:val="36"/>
                <w:szCs w:val="36"/>
                <w:lang w:val="en-US" w:eastAsia="zh-CN"/>
              </w:rPr>
              <w:t xml:space="preserve">  </w:t>
            </w:r>
            <w:r>
              <w:rPr>
                <w:rFonts w:hint="default" w:ascii="Times New Roman" w:hAnsi="Times New Roman" w:eastAsia="仿宋" w:cs="Times New Roman"/>
                <w:color w:val="auto"/>
                <w:sz w:val="36"/>
                <w:szCs w:val="36"/>
              </w:rPr>
              <w:t>目</w:t>
            </w:r>
            <w:r>
              <w:rPr>
                <w:rFonts w:hint="eastAsia" w:ascii="Times New Roman" w:hAnsi="Times New Roman" w:eastAsia="仿宋" w:cs="Times New Roman"/>
                <w:color w:val="auto"/>
                <w:sz w:val="36"/>
                <w:szCs w:val="36"/>
                <w:lang w:val="en-US" w:eastAsia="zh-CN"/>
              </w:rPr>
              <w:t xml:space="preserve"> </w:t>
            </w:r>
            <w:r>
              <w:rPr>
                <w:rFonts w:hint="default" w:ascii="Times New Roman" w:hAnsi="Times New Roman" w:eastAsia="仿宋" w:cs="Times New Roman"/>
                <w:color w:val="auto"/>
                <w:sz w:val="36"/>
                <w:szCs w:val="36"/>
              </w:rPr>
              <w:t>名</w:t>
            </w:r>
            <w:r>
              <w:rPr>
                <w:rFonts w:hint="eastAsia" w:ascii="Times New Roman" w:hAnsi="Times New Roman" w:eastAsia="仿宋" w:cs="Times New Roman"/>
                <w:color w:val="auto"/>
                <w:sz w:val="36"/>
                <w:szCs w:val="36"/>
                <w:lang w:val="en-US" w:eastAsia="zh-CN"/>
              </w:rPr>
              <w:t xml:space="preserve"> </w:t>
            </w:r>
            <w:r>
              <w:rPr>
                <w:rFonts w:hint="default" w:ascii="Times New Roman" w:hAnsi="Times New Roman" w:eastAsia="仿宋" w:cs="Times New Roman"/>
                <w:color w:val="auto"/>
                <w:sz w:val="36"/>
                <w:szCs w:val="36"/>
              </w:rPr>
              <w:t>称：</w:t>
            </w:r>
          </w:p>
        </w:tc>
        <w:tc>
          <w:tcPr>
            <w:tcW w:w="5857" w:type="dxa"/>
            <w:tcBorders>
              <w:tl2br w:val="nil"/>
              <w:tr2bl w:val="nil"/>
            </w:tcBorders>
            <w:noWrap w:val="0"/>
            <w:vAlign w:val="top"/>
          </w:tcPr>
          <w:p w14:paraId="3DCFAC22">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default" w:ascii="Times New Roman" w:hAnsi="Times New Roman" w:eastAsia="仿宋" w:cs="Times New Roman"/>
                <w:color w:val="auto"/>
                <w:sz w:val="36"/>
                <w:szCs w:val="36"/>
                <w:u w:val="single"/>
                <w:vertAlign w:val="baseline"/>
                <w:lang w:val="en-US" w:eastAsia="zh-CN"/>
              </w:rPr>
            </w:pPr>
            <w:r>
              <w:rPr>
                <w:rFonts w:hint="default" w:ascii="Times New Roman" w:hAnsi="Times New Roman" w:eastAsia="仿宋" w:cs="Times New Roman"/>
                <w:color w:val="auto"/>
                <w:sz w:val="36"/>
                <w:szCs w:val="36"/>
                <w:u w:val="single"/>
                <w:vertAlign w:val="baseline"/>
                <w:lang w:val="en-US" w:eastAsia="zh-CN"/>
              </w:rPr>
              <w:t>国能木垒40万千瓦风电项目</w:t>
            </w:r>
            <w:r>
              <w:rPr>
                <w:rFonts w:hint="eastAsia" w:ascii="Times New Roman" w:hAnsi="Times New Roman" w:eastAsia="仿宋" w:cs="Times New Roman"/>
                <w:color w:val="auto"/>
                <w:sz w:val="36"/>
                <w:szCs w:val="36"/>
                <w:u w:val="single"/>
                <w:vertAlign w:val="baseline"/>
                <w:lang w:val="en-US" w:eastAsia="zh-CN"/>
              </w:rPr>
              <w:t xml:space="preserve"> </w:t>
            </w:r>
          </w:p>
        </w:tc>
      </w:tr>
      <w:tr w14:paraId="76ED7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3" w:type="dxa"/>
            <w:tcBorders>
              <w:tl2br w:val="nil"/>
              <w:tr2bl w:val="nil"/>
            </w:tcBorders>
            <w:noWrap w:val="0"/>
            <w:vAlign w:val="top"/>
          </w:tcPr>
          <w:p w14:paraId="77C55DD1">
            <w:pPr>
              <w:adjustRightInd w:val="0"/>
              <w:snapToGrid w:val="0"/>
              <w:spacing w:line="288" w:lineRule="auto"/>
              <w:rPr>
                <w:rFonts w:hint="default" w:ascii="Times New Roman" w:hAnsi="Times New Roman" w:eastAsia="仿宋" w:cs="Times New Roman"/>
                <w:color w:val="auto"/>
                <w:sz w:val="36"/>
                <w:szCs w:val="36"/>
                <w:vertAlign w:val="baseline"/>
              </w:rPr>
            </w:pPr>
            <w:r>
              <w:rPr>
                <w:rFonts w:hint="default" w:ascii="Times New Roman" w:hAnsi="Times New Roman" w:eastAsia="仿宋" w:cs="Times New Roman"/>
                <w:color w:val="auto"/>
                <w:sz w:val="36"/>
                <w:szCs w:val="36"/>
              </w:rPr>
              <w:t>建设单位（盖章）：</w:t>
            </w:r>
          </w:p>
        </w:tc>
        <w:tc>
          <w:tcPr>
            <w:tcW w:w="5857" w:type="dxa"/>
            <w:tcBorders>
              <w:tl2br w:val="nil"/>
              <w:tr2bl w:val="nil"/>
            </w:tcBorders>
            <w:noWrap w:val="0"/>
            <w:vAlign w:val="top"/>
          </w:tcPr>
          <w:p w14:paraId="0BE49100">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default" w:ascii="Times New Roman" w:hAnsi="Times New Roman" w:eastAsia="仿宋" w:cs="Times New Roman"/>
                <w:color w:val="auto"/>
                <w:sz w:val="36"/>
                <w:szCs w:val="36"/>
                <w:u w:val="single"/>
                <w:vertAlign w:val="baseline"/>
                <w:lang w:eastAsia="zh-CN"/>
              </w:rPr>
            </w:pPr>
            <w:r>
              <w:rPr>
                <w:rFonts w:hint="default" w:ascii="Times New Roman" w:hAnsi="Times New Roman" w:eastAsia="仿宋" w:cs="Times New Roman"/>
                <w:color w:val="auto"/>
                <w:sz w:val="36"/>
                <w:szCs w:val="36"/>
                <w:u w:val="single"/>
                <w:vertAlign w:val="baseline"/>
                <w:lang w:val="en-US" w:eastAsia="zh-CN"/>
              </w:rPr>
              <w:t>国能木垒新能源开发有限公司</w:t>
            </w:r>
          </w:p>
        </w:tc>
      </w:tr>
      <w:tr w14:paraId="060E5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3" w:type="dxa"/>
            <w:tcBorders>
              <w:tl2br w:val="nil"/>
              <w:tr2bl w:val="nil"/>
            </w:tcBorders>
            <w:noWrap w:val="0"/>
            <w:vAlign w:val="top"/>
          </w:tcPr>
          <w:p w14:paraId="1BCBDBD4">
            <w:pPr>
              <w:adjustRightInd w:val="0"/>
              <w:snapToGrid w:val="0"/>
              <w:spacing w:line="288" w:lineRule="auto"/>
              <w:jc w:val="center"/>
              <w:rPr>
                <w:rFonts w:hint="default" w:ascii="Times New Roman" w:hAnsi="Times New Roman" w:eastAsia="仿宋" w:cs="Times New Roman"/>
                <w:color w:val="auto"/>
                <w:sz w:val="36"/>
                <w:szCs w:val="36"/>
                <w:lang w:val="en-US" w:eastAsia="zh-CN"/>
              </w:rPr>
            </w:pPr>
            <w:r>
              <w:rPr>
                <w:rFonts w:hint="default" w:ascii="Times New Roman" w:hAnsi="Times New Roman" w:eastAsia="仿宋" w:cs="Times New Roman"/>
                <w:color w:val="auto"/>
                <w:sz w:val="36"/>
                <w:szCs w:val="36"/>
                <w:lang w:val="en-US" w:eastAsia="zh-CN"/>
              </w:rPr>
              <w:t>日</w:t>
            </w:r>
            <w:r>
              <w:rPr>
                <w:rFonts w:hint="eastAsia" w:ascii="Times New Roman" w:hAnsi="Times New Roman" w:eastAsia="仿宋" w:cs="Times New Roman"/>
                <w:color w:val="auto"/>
                <w:sz w:val="36"/>
                <w:szCs w:val="36"/>
                <w:lang w:val="en-US" w:eastAsia="zh-CN"/>
              </w:rPr>
              <w:t xml:space="preserve">         </w:t>
            </w:r>
            <w:r>
              <w:rPr>
                <w:rFonts w:hint="default" w:ascii="Times New Roman" w:hAnsi="Times New Roman" w:eastAsia="仿宋" w:cs="Times New Roman"/>
                <w:color w:val="auto"/>
                <w:sz w:val="36"/>
                <w:szCs w:val="36"/>
                <w:lang w:val="en-US" w:eastAsia="zh-CN"/>
              </w:rPr>
              <w:t>期</w:t>
            </w:r>
          </w:p>
        </w:tc>
        <w:tc>
          <w:tcPr>
            <w:tcW w:w="5857" w:type="dxa"/>
            <w:tcBorders>
              <w:tl2br w:val="nil"/>
              <w:tr2bl w:val="nil"/>
            </w:tcBorders>
            <w:noWrap w:val="0"/>
            <w:vAlign w:val="top"/>
          </w:tcPr>
          <w:p w14:paraId="4E60FEF6">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default" w:ascii="Times New Roman" w:hAnsi="Times New Roman" w:eastAsia="仿宋" w:cs="Times New Roman"/>
                <w:color w:val="auto"/>
                <w:sz w:val="36"/>
                <w:szCs w:val="36"/>
                <w:u w:val="single"/>
                <w:vertAlign w:val="baseline"/>
                <w:lang w:val="en-US" w:eastAsia="zh-CN"/>
              </w:rPr>
            </w:pPr>
            <w:r>
              <w:rPr>
                <w:rFonts w:hint="default" w:ascii="Times New Roman" w:hAnsi="Times New Roman" w:eastAsia="仿宋" w:cs="Times New Roman"/>
                <w:color w:val="auto"/>
                <w:sz w:val="36"/>
                <w:szCs w:val="36"/>
                <w:u w:val="single"/>
                <w:vertAlign w:val="baseline"/>
                <w:lang w:val="en-US" w:eastAsia="zh-CN"/>
              </w:rPr>
              <w:t>202</w:t>
            </w:r>
            <w:r>
              <w:rPr>
                <w:rFonts w:hint="default" w:ascii="Times New Roman" w:hAnsi="Times New Roman" w:eastAsia="仿宋" w:cs="Times New Roman"/>
                <w:color w:val="auto"/>
                <w:sz w:val="36"/>
                <w:szCs w:val="36"/>
                <w:u w:val="single"/>
                <w:vertAlign w:val="baseline"/>
                <w:lang w:val="en-US" w:eastAsia="zh-CN"/>
              </w:rPr>
              <w:t>5</w:t>
            </w:r>
            <w:r>
              <w:rPr>
                <w:rFonts w:hint="default" w:ascii="Times New Roman" w:hAnsi="Times New Roman" w:eastAsia="仿宋" w:cs="Times New Roman"/>
                <w:color w:val="auto"/>
                <w:sz w:val="36"/>
                <w:szCs w:val="36"/>
                <w:u w:val="single"/>
                <w:vertAlign w:val="baseline"/>
                <w:lang w:val="en-US" w:eastAsia="zh-CN"/>
              </w:rPr>
              <w:t>年</w:t>
            </w:r>
            <w:r>
              <w:rPr>
                <w:rFonts w:hint="default" w:ascii="Times New Roman" w:hAnsi="Times New Roman" w:eastAsia="仿宋" w:cs="Times New Roman"/>
                <w:color w:val="auto"/>
                <w:sz w:val="36"/>
                <w:szCs w:val="36"/>
                <w:u w:val="single"/>
                <w:vertAlign w:val="baseline"/>
                <w:lang w:val="en-US" w:eastAsia="zh-CN"/>
              </w:rPr>
              <w:t>11</w:t>
            </w:r>
            <w:r>
              <w:rPr>
                <w:rFonts w:hint="default" w:ascii="Times New Roman" w:hAnsi="Times New Roman" w:eastAsia="仿宋" w:cs="Times New Roman"/>
                <w:color w:val="auto"/>
                <w:sz w:val="36"/>
                <w:szCs w:val="36"/>
                <w:u w:val="single"/>
                <w:vertAlign w:val="baseline"/>
                <w:lang w:val="en-US" w:eastAsia="zh-CN"/>
              </w:rPr>
              <w:t>月</w:t>
            </w:r>
            <w:r>
              <w:rPr>
                <w:rFonts w:hint="eastAsia" w:ascii="Times New Roman" w:hAnsi="Times New Roman" w:eastAsia="仿宋" w:cs="Times New Roman"/>
                <w:color w:val="auto"/>
                <w:sz w:val="36"/>
                <w:szCs w:val="36"/>
                <w:u w:val="single"/>
                <w:vertAlign w:val="baseline"/>
                <w:lang w:val="en-US" w:eastAsia="zh-CN"/>
              </w:rPr>
              <w:t xml:space="preserve">               </w:t>
            </w:r>
            <w:bookmarkStart w:id="21" w:name="_GoBack"/>
            <w:bookmarkEnd w:id="21"/>
          </w:p>
        </w:tc>
      </w:tr>
    </w:tbl>
    <w:p w14:paraId="0AE53E2B">
      <w:pPr>
        <w:pStyle w:val="14"/>
        <w:rPr>
          <w:rFonts w:hint="default" w:ascii="Times New Roman" w:hAnsi="Times New Roman" w:eastAsia="宋体" w:cs="Times New Roman"/>
          <w:color w:val="auto"/>
          <w:lang w:eastAsia="zh-CN"/>
        </w:rPr>
      </w:pPr>
    </w:p>
    <w:p w14:paraId="40EC4100">
      <w:pPr>
        <w:pStyle w:val="12"/>
        <w:rPr>
          <w:rFonts w:hint="default" w:ascii="Times New Roman" w:hAnsi="Times New Roman" w:eastAsia="宋体" w:cs="Times New Roman"/>
          <w:color w:val="auto"/>
          <w:lang w:eastAsia="zh-CN"/>
        </w:rPr>
      </w:pPr>
    </w:p>
    <w:p w14:paraId="1A78BDCE">
      <w:pPr>
        <w:pStyle w:val="20"/>
        <w:rPr>
          <w:rFonts w:hint="default" w:ascii="Times New Roman" w:hAnsi="Times New Roman" w:eastAsia="宋体" w:cs="Times New Roman"/>
          <w:color w:val="auto"/>
          <w:lang w:eastAsia="zh-CN"/>
        </w:rPr>
      </w:pPr>
    </w:p>
    <w:p w14:paraId="68705F73">
      <w:pPr>
        <w:pStyle w:val="20"/>
        <w:rPr>
          <w:rFonts w:hint="default" w:ascii="Times New Roman" w:hAnsi="Times New Roman" w:eastAsia="宋体" w:cs="Times New Roman"/>
          <w:color w:val="auto"/>
          <w:lang w:eastAsia="zh-CN"/>
        </w:rPr>
      </w:pPr>
    </w:p>
    <w:p w14:paraId="15804900">
      <w:pPr>
        <w:pStyle w:val="20"/>
        <w:rPr>
          <w:rFonts w:hint="default" w:ascii="Times New Roman" w:hAnsi="Times New Roman" w:eastAsia="宋体" w:cs="Times New Roman"/>
          <w:color w:val="auto"/>
          <w:lang w:eastAsia="zh-CN"/>
        </w:rPr>
      </w:pPr>
    </w:p>
    <w:p w14:paraId="6E6BE07E">
      <w:pPr>
        <w:pStyle w:val="20"/>
        <w:rPr>
          <w:rFonts w:hint="default" w:ascii="Times New Roman" w:hAnsi="Times New Roman" w:eastAsia="宋体" w:cs="Times New Roman"/>
          <w:color w:val="auto"/>
          <w:lang w:eastAsia="zh-CN"/>
        </w:rPr>
      </w:pPr>
    </w:p>
    <w:p w14:paraId="7CAD77A0">
      <w:pPr>
        <w:pStyle w:val="20"/>
        <w:rPr>
          <w:rFonts w:hint="default" w:ascii="Times New Roman" w:hAnsi="Times New Roman" w:eastAsia="宋体" w:cs="Times New Roman"/>
          <w:color w:val="auto"/>
          <w:lang w:eastAsia="zh-CN"/>
        </w:rPr>
      </w:pPr>
    </w:p>
    <w:p w14:paraId="7368816B">
      <w:pPr>
        <w:pStyle w:val="20"/>
        <w:rPr>
          <w:rFonts w:hint="default" w:ascii="Times New Roman" w:hAnsi="Times New Roman" w:eastAsia="宋体" w:cs="Times New Roman"/>
          <w:color w:val="auto"/>
          <w:lang w:eastAsia="zh-CN"/>
        </w:rPr>
      </w:pPr>
    </w:p>
    <w:p w14:paraId="61C986E3">
      <w:pPr>
        <w:pStyle w:val="20"/>
        <w:rPr>
          <w:rFonts w:hint="default" w:ascii="Times New Roman" w:hAnsi="Times New Roman" w:eastAsia="宋体" w:cs="Times New Roman"/>
          <w:color w:val="auto"/>
          <w:lang w:eastAsia="zh-CN"/>
        </w:rPr>
      </w:pPr>
    </w:p>
    <w:p w14:paraId="402C91B9">
      <w:pPr>
        <w:pStyle w:val="20"/>
        <w:rPr>
          <w:rFonts w:hint="default" w:ascii="Times New Roman" w:hAnsi="Times New Roman" w:eastAsia="宋体" w:cs="Times New Roman"/>
          <w:color w:val="auto"/>
          <w:lang w:eastAsia="zh-CN"/>
        </w:rPr>
      </w:pPr>
    </w:p>
    <w:p w14:paraId="00C041E0">
      <w:pPr>
        <w:pStyle w:val="20"/>
        <w:rPr>
          <w:rFonts w:hint="default" w:ascii="Times New Roman" w:hAnsi="Times New Roman" w:eastAsia="宋体" w:cs="Times New Roman"/>
          <w:color w:val="auto"/>
          <w:lang w:eastAsia="zh-CN"/>
        </w:rPr>
      </w:pPr>
    </w:p>
    <w:p w14:paraId="38EF989E">
      <w:pPr>
        <w:pStyle w:val="20"/>
        <w:rPr>
          <w:rFonts w:hint="default" w:ascii="Times New Roman" w:hAnsi="Times New Roman" w:eastAsia="宋体" w:cs="Times New Roman"/>
          <w:color w:val="auto"/>
          <w:lang w:eastAsia="zh-CN"/>
        </w:rPr>
      </w:pPr>
    </w:p>
    <w:p w14:paraId="43C1DB05">
      <w:pPr>
        <w:pStyle w:val="20"/>
        <w:rPr>
          <w:rFonts w:hint="default" w:ascii="Times New Roman" w:hAnsi="Times New Roman" w:eastAsia="宋体" w:cs="Times New Roman"/>
          <w:color w:val="auto"/>
          <w:lang w:eastAsia="zh-CN"/>
        </w:rPr>
      </w:pPr>
    </w:p>
    <w:p w14:paraId="43FBB7FE">
      <w:pPr>
        <w:pStyle w:val="20"/>
        <w:rPr>
          <w:rFonts w:hint="default" w:ascii="Times New Roman" w:hAnsi="Times New Roman" w:eastAsia="宋体" w:cs="Times New Roman"/>
          <w:color w:val="auto"/>
          <w:lang w:eastAsia="zh-CN"/>
        </w:rPr>
      </w:pPr>
    </w:p>
    <w:p w14:paraId="695413DC">
      <w:pPr>
        <w:pStyle w:val="20"/>
        <w:rPr>
          <w:rFonts w:hint="default" w:ascii="Times New Roman" w:hAnsi="Times New Roman" w:eastAsia="宋体" w:cs="Times New Roman"/>
          <w:color w:val="auto"/>
          <w:lang w:eastAsia="zh-CN"/>
        </w:rPr>
      </w:pPr>
    </w:p>
    <w:p w14:paraId="4F934F34">
      <w:pPr>
        <w:pStyle w:val="20"/>
        <w:rPr>
          <w:rFonts w:hint="default" w:ascii="Times New Roman" w:hAnsi="Times New Roman" w:eastAsia="宋体" w:cs="Times New Roman"/>
          <w:color w:val="auto"/>
          <w:lang w:eastAsia="zh-CN"/>
        </w:rPr>
      </w:pPr>
    </w:p>
    <w:p w14:paraId="3EE50C7B">
      <w:pPr>
        <w:pStyle w:val="20"/>
        <w:rPr>
          <w:rFonts w:hint="default" w:ascii="Times New Roman" w:hAnsi="Times New Roman" w:eastAsia="宋体" w:cs="Times New Roman"/>
          <w:color w:val="auto"/>
          <w:lang w:eastAsia="zh-CN"/>
        </w:rPr>
      </w:pPr>
    </w:p>
    <w:p w14:paraId="580D0910">
      <w:pPr>
        <w:pStyle w:val="20"/>
        <w:rPr>
          <w:rFonts w:hint="default" w:ascii="Times New Roman" w:hAnsi="Times New Roman" w:eastAsia="宋体" w:cs="Times New Roman"/>
          <w:color w:val="auto"/>
          <w:lang w:eastAsia="zh-CN"/>
        </w:rPr>
      </w:pPr>
    </w:p>
    <w:p w14:paraId="37CD7D2F">
      <w:pPr>
        <w:pStyle w:val="20"/>
        <w:rPr>
          <w:rFonts w:hint="default" w:ascii="Times New Roman" w:hAnsi="Times New Roman" w:eastAsia="宋体" w:cs="Times New Roman"/>
          <w:color w:val="auto"/>
          <w:lang w:eastAsia="zh-CN"/>
        </w:rPr>
      </w:pPr>
    </w:p>
    <w:p w14:paraId="694153EC">
      <w:pPr>
        <w:pStyle w:val="20"/>
        <w:rPr>
          <w:rFonts w:hint="default" w:ascii="Times New Roman" w:hAnsi="Times New Roman" w:eastAsia="宋体" w:cs="Times New Roman"/>
          <w:color w:val="auto"/>
          <w:lang w:eastAsia="zh-CN"/>
        </w:rPr>
      </w:pPr>
    </w:p>
    <w:p w14:paraId="3A330459">
      <w:pPr>
        <w:pStyle w:val="20"/>
        <w:rPr>
          <w:rFonts w:hint="default" w:ascii="Times New Roman" w:hAnsi="Times New Roman" w:eastAsia="宋体" w:cs="Times New Roman"/>
          <w:color w:val="auto"/>
          <w:lang w:eastAsia="zh-CN"/>
        </w:rPr>
      </w:pPr>
    </w:p>
    <w:p w14:paraId="2B9FAC59">
      <w:pPr>
        <w:pStyle w:val="20"/>
        <w:rPr>
          <w:rFonts w:hint="default" w:ascii="Times New Roman" w:hAnsi="Times New Roman" w:eastAsia="宋体" w:cs="Times New Roman"/>
          <w:color w:val="auto"/>
          <w:lang w:eastAsia="zh-CN"/>
        </w:rPr>
      </w:pPr>
    </w:p>
    <w:p w14:paraId="498F4716">
      <w:pPr>
        <w:pStyle w:val="20"/>
        <w:rPr>
          <w:rFonts w:hint="default" w:ascii="Times New Roman" w:hAnsi="Times New Roman" w:eastAsia="宋体" w:cs="Times New Roman"/>
          <w:color w:val="auto"/>
          <w:lang w:eastAsia="zh-CN"/>
        </w:rPr>
      </w:pPr>
    </w:p>
    <w:p w14:paraId="43D0C61A">
      <w:pPr>
        <w:pStyle w:val="20"/>
        <w:rPr>
          <w:rFonts w:hint="default" w:ascii="Times New Roman" w:hAnsi="Times New Roman" w:eastAsia="宋体" w:cs="Times New Roman"/>
          <w:color w:val="auto"/>
          <w:lang w:eastAsia="zh-CN"/>
        </w:rPr>
      </w:pPr>
    </w:p>
    <w:p w14:paraId="33FE1235">
      <w:pPr>
        <w:pStyle w:val="20"/>
        <w:rPr>
          <w:rFonts w:hint="default" w:ascii="Times New Roman" w:hAnsi="Times New Roman" w:eastAsia="宋体" w:cs="Times New Roman"/>
          <w:color w:val="auto"/>
          <w:lang w:eastAsia="zh-CN"/>
        </w:rPr>
      </w:pPr>
    </w:p>
    <w:p w14:paraId="1DBE79E7">
      <w:pPr>
        <w:pStyle w:val="20"/>
        <w:rPr>
          <w:rFonts w:hint="default" w:ascii="Times New Roman" w:hAnsi="Times New Roman" w:eastAsia="宋体" w:cs="Times New Roman"/>
          <w:color w:val="auto"/>
          <w:lang w:eastAsia="zh-CN"/>
        </w:rPr>
      </w:pPr>
    </w:p>
    <w:p w14:paraId="212C177F">
      <w:pPr>
        <w:pStyle w:val="20"/>
        <w:rPr>
          <w:rFonts w:hint="default" w:ascii="Times New Roman" w:hAnsi="Times New Roman" w:eastAsia="宋体" w:cs="Times New Roman"/>
          <w:color w:val="auto"/>
          <w:lang w:eastAsia="zh-CN"/>
        </w:rPr>
      </w:pPr>
    </w:p>
    <w:p w14:paraId="189ADC06">
      <w:pPr>
        <w:pStyle w:val="20"/>
        <w:rPr>
          <w:rFonts w:hint="default" w:ascii="Times New Roman" w:hAnsi="Times New Roman" w:eastAsia="宋体" w:cs="Times New Roman"/>
          <w:color w:val="auto"/>
          <w:lang w:eastAsia="zh-CN"/>
        </w:rPr>
      </w:pPr>
    </w:p>
    <w:p w14:paraId="760F8045">
      <w:pPr>
        <w:pStyle w:val="20"/>
        <w:rPr>
          <w:rFonts w:hint="default" w:ascii="Times New Roman" w:hAnsi="Times New Roman" w:eastAsia="宋体" w:cs="Times New Roman"/>
          <w:color w:val="auto"/>
          <w:lang w:eastAsia="zh-CN"/>
        </w:rPr>
      </w:pPr>
    </w:p>
    <w:p w14:paraId="01E79F17">
      <w:pPr>
        <w:pStyle w:val="20"/>
        <w:rPr>
          <w:rFonts w:hint="default" w:ascii="Times New Roman" w:hAnsi="Times New Roman" w:eastAsia="宋体" w:cs="Times New Roman"/>
          <w:color w:val="auto"/>
          <w:lang w:eastAsia="zh-CN"/>
        </w:rPr>
      </w:pPr>
    </w:p>
    <w:p w14:paraId="4B960B9E">
      <w:pPr>
        <w:pStyle w:val="20"/>
        <w:rPr>
          <w:rFonts w:hint="default" w:ascii="Times New Roman" w:hAnsi="Times New Roman" w:eastAsia="宋体" w:cs="Times New Roman"/>
          <w:color w:val="auto"/>
          <w:lang w:eastAsia="zh-CN"/>
        </w:rPr>
      </w:pPr>
    </w:p>
    <w:p w14:paraId="18AEC2E6">
      <w:pPr>
        <w:jc w:val="center"/>
        <w:rPr>
          <w:rFonts w:hint="default" w:ascii="Times New Roman" w:hAnsi="Times New Roman" w:cs="Times New Roman"/>
          <w:b/>
          <w:color w:val="auto"/>
          <w:kern w:val="0"/>
          <w:sz w:val="30"/>
          <w:szCs w:val="30"/>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tbl>
      <w:tblPr>
        <w:tblStyle w:val="22"/>
        <w:tblW w:w="0" w:type="auto"/>
        <w:jc w:val="center"/>
        <w:tblLayout w:type="fixed"/>
        <w:tblCellMar>
          <w:top w:w="0" w:type="dxa"/>
          <w:left w:w="108" w:type="dxa"/>
          <w:bottom w:w="0" w:type="dxa"/>
          <w:right w:w="108" w:type="dxa"/>
        </w:tblCellMar>
      </w:tblPr>
      <w:tblGrid>
        <w:gridCol w:w="4562"/>
        <w:gridCol w:w="4498"/>
      </w:tblGrid>
      <w:tr w14:paraId="70D944CB">
        <w:tblPrEx>
          <w:tblCellMar>
            <w:top w:w="0" w:type="dxa"/>
            <w:left w:w="108" w:type="dxa"/>
            <w:bottom w:w="0" w:type="dxa"/>
            <w:right w:w="108" w:type="dxa"/>
          </w:tblCellMar>
        </w:tblPrEx>
        <w:trPr>
          <w:trHeight w:val="3528" w:hRule="atLeast"/>
          <w:jc w:val="center"/>
        </w:trPr>
        <w:tc>
          <w:tcPr>
            <w:tcW w:w="4562" w:type="dxa"/>
            <w:noWrap w:val="0"/>
            <w:vAlign w:val="center"/>
          </w:tcPr>
          <w:p w14:paraId="2966C2AB">
            <w:pPr>
              <w:adjustRightInd w:val="0"/>
              <w:snapToGrid w:val="0"/>
              <w:jc w:val="center"/>
              <w:rPr>
                <w:rFonts w:hint="default" w:ascii="Times New Roman" w:hAnsi="Times New Roman" w:eastAsia="仿宋_GB2312" w:cs="Times New Roman"/>
                <w:color w:val="auto"/>
                <w:sz w:val="36"/>
                <w:szCs w:val="36"/>
                <w:lang w:eastAsia="zh-CN"/>
              </w:rPr>
            </w:pPr>
            <w:r>
              <w:rPr>
                <w:rFonts w:hint="default" w:ascii="Times New Roman" w:hAnsi="Times New Roman" w:eastAsia="仿宋_GB2312" w:cs="Times New Roman"/>
                <w:color w:val="auto"/>
                <w:sz w:val="36"/>
                <w:szCs w:val="36"/>
                <w:lang w:eastAsia="zh-CN"/>
              </w:rPr>
              <w:drawing>
                <wp:inline distT="0" distB="0" distL="114300" distR="114300">
                  <wp:extent cx="1906905" cy="2733675"/>
                  <wp:effectExtent l="0" t="0" r="9525" b="17145"/>
                  <wp:docPr id="6" name="图片 6" descr="ce3dc1b582377a6d778bbf083fb10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e3dc1b582377a6d778bbf083fb104f"/>
                          <pic:cNvPicPr>
                            <a:picLocks noChangeAspect="1"/>
                          </pic:cNvPicPr>
                        </pic:nvPicPr>
                        <pic:blipFill>
                          <a:blip r:embed="rId9"/>
                          <a:stretch>
                            <a:fillRect/>
                          </a:stretch>
                        </pic:blipFill>
                        <pic:spPr>
                          <a:xfrm rot="5400000">
                            <a:off x="0" y="0"/>
                            <a:ext cx="1906905" cy="2733675"/>
                          </a:xfrm>
                          <a:prstGeom prst="rect">
                            <a:avLst/>
                          </a:prstGeom>
                        </pic:spPr>
                      </pic:pic>
                    </a:graphicData>
                  </a:graphic>
                </wp:inline>
              </w:drawing>
            </w:r>
          </w:p>
        </w:tc>
        <w:tc>
          <w:tcPr>
            <w:tcW w:w="4498" w:type="dxa"/>
            <w:noWrap w:val="0"/>
            <w:vAlign w:val="center"/>
          </w:tcPr>
          <w:p w14:paraId="5DAAD7A7">
            <w:pPr>
              <w:adjustRightInd w:val="0"/>
              <w:snapToGrid w:val="0"/>
              <w:rPr>
                <w:rFonts w:hint="default" w:ascii="Times New Roman" w:hAnsi="Times New Roman" w:eastAsia="仿宋_GB2312" w:cs="Times New Roman"/>
                <w:color w:val="auto"/>
                <w:sz w:val="36"/>
                <w:szCs w:val="36"/>
                <w:lang w:eastAsia="zh-CN"/>
              </w:rPr>
            </w:pPr>
            <w:r>
              <w:rPr>
                <w:rFonts w:hint="default" w:ascii="Times New Roman" w:hAnsi="Times New Roman" w:eastAsia="仿宋_GB2312" w:cs="Times New Roman"/>
                <w:color w:val="auto"/>
                <w:sz w:val="36"/>
                <w:szCs w:val="36"/>
                <w:lang w:eastAsia="zh-CN"/>
              </w:rPr>
              <w:drawing>
                <wp:inline distT="0" distB="0" distL="114300" distR="114300">
                  <wp:extent cx="2665730" cy="1999615"/>
                  <wp:effectExtent l="0" t="0" r="1270" b="635"/>
                  <wp:docPr id="7" name="图片 7" descr="abe2e1c12309c2c5cfc3be5ef76a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be2e1c12309c2c5cfc3be5ef76a981"/>
                          <pic:cNvPicPr>
                            <a:picLocks noChangeAspect="1"/>
                          </pic:cNvPicPr>
                        </pic:nvPicPr>
                        <pic:blipFill>
                          <a:blip r:embed="rId10"/>
                          <a:stretch>
                            <a:fillRect/>
                          </a:stretch>
                        </pic:blipFill>
                        <pic:spPr>
                          <a:xfrm>
                            <a:off x="0" y="0"/>
                            <a:ext cx="2665730" cy="1999615"/>
                          </a:xfrm>
                          <a:prstGeom prst="rect">
                            <a:avLst/>
                          </a:prstGeom>
                        </pic:spPr>
                      </pic:pic>
                    </a:graphicData>
                  </a:graphic>
                </wp:inline>
              </w:drawing>
            </w:r>
          </w:p>
        </w:tc>
      </w:tr>
      <w:tr w14:paraId="6E2C900F">
        <w:tblPrEx>
          <w:tblCellMar>
            <w:top w:w="0" w:type="dxa"/>
            <w:left w:w="108" w:type="dxa"/>
            <w:bottom w:w="0" w:type="dxa"/>
            <w:right w:w="108" w:type="dxa"/>
          </w:tblCellMar>
        </w:tblPrEx>
        <w:trPr>
          <w:trHeight w:val="542" w:hRule="atLeast"/>
          <w:jc w:val="center"/>
        </w:trPr>
        <w:tc>
          <w:tcPr>
            <w:tcW w:w="4562" w:type="dxa"/>
            <w:noWrap w:val="0"/>
            <w:vAlign w:val="center"/>
          </w:tcPr>
          <w:p w14:paraId="47DAD0BD">
            <w:pPr>
              <w:adjustRightInd w:val="0"/>
              <w:snapToGrid w:val="0"/>
              <w:jc w:val="center"/>
              <w:rPr>
                <w:rFonts w:hint="default" w:ascii="Times New Roman" w:hAnsi="Times New Roman" w:eastAsia="仿宋_GB2312" w:cs="Times New Roman"/>
                <w:color w:val="auto"/>
                <w:sz w:val="36"/>
                <w:szCs w:val="36"/>
                <w:lang w:val="en-US" w:eastAsia="zh-CN"/>
              </w:rPr>
            </w:pPr>
            <w:r>
              <w:rPr>
                <w:rFonts w:hint="default" w:ascii="Times New Roman" w:hAnsi="Times New Roman" w:eastAsia="仿宋_GB2312" w:cs="Times New Roman"/>
                <w:b/>
                <w:bCs/>
                <w:color w:val="auto"/>
                <w:sz w:val="24"/>
              </w:rPr>
              <w:t>图</w:t>
            </w:r>
            <w:r>
              <w:rPr>
                <w:rFonts w:hint="default" w:ascii="Times New Roman" w:hAnsi="Times New Roman" w:eastAsia="仿宋_GB2312" w:cs="Times New Roman"/>
                <w:b/>
                <w:bCs/>
                <w:color w:val="auto"/>
                <w:sz w:val="24"/>
              </w:rPr>
              <w:t>1项目区</w:t>
            </w:r>
          </w:p>
        </w:tc>
        <w:tc>
          <w:tcPr>
            <w:tcW w:w="4498" w:type="dxa"/>
            <w:noWrap w:val="0"/>
            <w:vAlign w:val="center"/>
          </w:tcPr>
          <w:p w14:paraId="3891E0BB">
            <w:pPr>
              <w:adjustRightInd w:val="0"/>
              <w:snapToGrid w:val="0"/>
              <w:jc w:val="center"/>
              <w:rPr>
                <w:rFonts w:hint="default" w:ascii="Times New Roman" w:hAnsi="Times New Roman" w:eastAsia="仿宋_GB2312" w:cs="Times New Roman"/>
                <w:color w:val="auto"/>
                <w:sz w:val="36"/>
                <w:szCs w:val="36"/>
              </w:rPr>
            </w:pPr>
            <w:r>
              <w:rPr>
                <w:rFonts w:hint="default" w:ascii="Times New Roman" w:hAnsi="Times New Roman" w:eastAsia="仿宋_GB2312" w:cs="Times New Roman"/>
                <w:b/>
                <w:bCs/>
                <w:color w:val="auto"/>
                <w:sz w:val="24"/>
              </w:rPr>
              <w:t>图</w:t>
            </w:r>
            <w:r>
              <w:rPr>
                <w:rFonts w:hint="default" w:ascii="Times New Roman" w:hAnsi="Times New Roman" w:eastAsia="仿宋_GB2312" w:cs="Times New Roman"/>
                <w:b/>
                <w:bCs/>
                <w:color w:val="auto"/>
                <w:sz w:val="24"/>
              </w:rPr>
              <w:t>2项目区</w:t>
            </w:r>
          </w:p>
        </w:tc>
      </w:tr>
      <w:tr w14:paraId="49F0731F">
        <w:tblPrEx>
          <w:tblCellMar>
            <w:top w:w="0" w:type="dxa"/>
            <w:left w:w="108" w:type="dxa"/>
            <w:bottom w:w="0" w:type="dxa"/>
            <w:right w:w="108" w:type="dxa"/>
          </w:tblCellMar>
        </w:tblPrEx>
        <w:trPr>
          <w:trHeight w:val="3980" w:hRule="atLeast"/>
          <w:jc w:val="center"/>
        </w:trPr>
        <w:tc>
          <w:tcPr>
            <w:tcW w:w="4562" w:type="dxa"/>
            <w:noWrap w:val="0"/>
            <w:vAlign w:val="center"/>
          </w:tcPr>
          <w:p w14:paraId="75567D51">
            <w:pPr>
              <w:adjustRightInd w:val="0"/>
              <w:snapToGrid w:val="0"/>
              <w:jc w:val="center"/>
              <w:rPr>
                <w:rFonts w:hint="default" w:ascii="Times New Roman" w:hAnsi="Times New Roman" w:eastAsia="仿宋_GB2312" w:cs="Times New Roman"/>
                <w:color w:val="auto"/>
                <w:sz w:val="36"/>
                <w:szCs w:val="36"/>
                <w:lang w:eastAsia="zh-CN"/>
              </w:rPr>
            </w:pPr>
            <w:r>
              <w:rPr>
                <w:rFonts w:hint="default" w:ascii="Times New Roman" w:hAnsi="Times New Roman" w:eastAsia="仿宋_GB2312" w:cs="Times New Roman"/>
                <w:color w:val="auto"/>
                <w:sz w:val="36"/>
                <w:szCs w:val="36"/>
                <w:lang w:eastAsia="zh-CN"/>
              </w:rPr>
              <w:drawing>
                <wp:inline distT="0" distB="0" distL="114300" distR="114300">
                  <wp:extent cx="2720340" cy="2040255"/>
                  <wp:effectExtent l="0" t="0" r="3810" b="17145"/>
                  <wp:docPr id="1" name="图片 1" descr="e6decd372ab6e214635eff83977ad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6decd372ab6e214635eff83977ad3c"/>
                          <pic:cNvPicPr>
                            <a:picLocks noChangeAspect="1"/>
                          </pic:cNvPicPr>
                        </pic:nvPicPr>
                        <pic:blipFill>
                          <a:blip r:embed="rId11"/>
                          <a:stretch>
                            <a:fillRect/>
                          </a:stretch>
                        </pic:blipFill>
                        <pic:spPr>
                          <a:xfrm>
                            <a:off x="0" y="0"/>
                            <a:ext cx="2720340" cy="2040255"/>
                          </a:xfrm>
                          <a:prstGeom prst="rect">
                            <a:avLst/>
                          </a:prstGeom>
                        </pic:spPr>
                      </pic:pic>
                    </a:graphicData>
                  </a:graphic>
                </wp:inline>
              </w:drawing>
            </w:r>
          </w:p>
        </w:tc>
        <w:tc>
          <w:tcPr>
            <w:tcW w:w="4498" w:type="dxa"/>
            <w:noWrap w:val="0"/>
            <w:vAlign w:val="center"/>
          </w:tcPr>
          <w:p w14:paraId="29E39321">
            <w:pPr>
              <w:adjustRightInd w:val="0"/>
              <w:snapToGrid w:val="0"/>
              <w:jc w:val="center"/>
              <w:rPr>
                <w:rFonts w:hint="default" w:ascii="Times New Roman" w:hAnsi="Times New Roman" w:eastAsia="仿宋_GB2312" w:cs="Times New Roman"/>
                <w:color w:val="auto"/>
                <w:sz w:val="36"/>
                <w:szCs w:val="36"/>
                <w:lang w:eastAsia="zh-CN"/>
              </w:rPr>
            </w:pPr>
            <w:r>
              <w:rPr>
                <w:rFonts w:hint="default" w:ascii="Times New Roman" w:hAnsi="Times New Roman" w:eastAsia="仿宋_GB2312" w:cs="Times New Roman"/>
                <w:color w:val="auto"/>
                <w:sz w:val="36"/>
                <w:szCs w:val="36"/>
                <w:lang w:eastAsia="zh-CN"/>
              </w:rPr>
              <w:drawing>
                <wp:inline distT="0" distB="0" distL="114300" distR="114300">
                  <wp:extent cx="2111375" cy="2693035"/>
                  <wp:effectExtent l="0" t="0" r="12065" b="3175"/>
                  <wp:docPr id="2" name="图片 2" descr="ce3dc1b582377a6d778bbf083fb10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e3dc1b582377a6d778bbf083fb104f"/>
                          <pic:cNvPicPr>
                            <a:picLocks noChangeAspect="1"/>
                          </pic:cNvPicPr>
                        </pic:nvPicPr>
                        <pic:blipFill>
                          <a:blip r:embed="rId9"/>
                          <a:stretch>
                            <a:fillRect/>
                          </a:stretch>
                        </pic:blipFill>
                        <pic:spPr>
                          <a:xfrm rot="5400000">
                            <a:off x="0" y="0"/>
                            <a:ext cx="2111375" cy="2693035"/>
                          </a:xfrm>
                          <a:prstGeom prst="rect">
                            <a:avLst/>
                          </a:prstGeom>
                        </pic:spPr>
                      </pic:pic>
                    </a:graphicData>
                  </a:graphic>
                </wp:inline>
              </w:drawing>
            </w:r>
          </w:p>
        </w:tc>
      </w:tr>
      <w:tr w14:paraId="3F223AEB">
        <w:tblPrEx>
          <w:tblCellMar>
            <w:top w:w="0" w:type="dxa"/>
            <w:left w:w="108" w:type="dxa"/>
            <w:bottom w:w="0" w:type="dxa"/>
            <w:right w:w="108" w:type="dxa"/>
          </w:tblCellMar>
        </w:tblPrEx>
        <w:trPr>
          <w:trHeight w:val="555" w:hRule="atLeast"/>
          <w:jc w:val="center"/>
        </w:trPr>
        <w:tc>
          <w:tcPr>
            <w:tcW w:w="4562" w:type="dxa"/>
            <w:noWrap w:val="0"/>
            <w:vAlign w:val="center"/>
          </w:tcPr>
          <w:p w14:paraId="3856595F">
            <w:pPr>
              <w:adjustRightInd w:val="0"/>
              <w:snapToGrid w:val="0"/>
              <w:jc w:val="center"/>
              <w:rPr>
                <w:rFonts w:hint="default" w:ascii="Times New Roman" w:hAnsi="Times New Roman" w:eastAsia="仿宋_GB2312" w:cs="Times New Roman"/>
                <w:color w:val="auto"/>
                <w:sz w:val="36"/>
                <w:szCs w:val="36"/>
              </w:rPr>
            </w:pPr>
            <w:r>
              <w:rPr>
                <w:rFonts w:hint="default" w:ascii="Times New Roman" w:hAnsi="Times New Roman" w:eastAsia="仿宋_GB2312" w:cs="Times New Roman"/>
                <w:b/>
                <w:bCs/>
                <w:color w:val="auto"/>
                <w:sz w:val="24"/>
              </w:rPr>
              <w:t>图3</w:t>
            </w:r>
            <w:r>
              <w:rPr>
                <w:rFonts w:hint="default" w:ascii="Times New Roman" w:hAnsi="Times New Roman" w:eastAsia="仿宋_GB2312" w:cs="Times New Roman"/>
                <w:b/>
                <w:bCs/>
                <w:color w:val="auto"/>
                <w:sz w:val="24"/>
              </w:rPr>
              <w:t>项目区</w:t>
            </w:r>
          </w:p>
        </w:tc>
        <w:tc>
          <w:tcPr>
            <w:tcW w:w="4498" w:type="dxa"/>
            <w:noWrap w:val="0"/>
            <w:vAlign w:val="center"/>
          </w:tcPr>
          <w:p w14:paraId="49379CA7">
            <w:pPr>
              <w:adjustRightInd w:val="0"/>
              <w:snapToGrid w:val="0"/>
              <w:jc w:val="center"/>
              <w:rPr>
                <w:rFonts w:hint="default" w:ascii="Times New Roman" w:hAnsi="Times New Roman" w:eastAsia="仿宋_GB2312" w:cs="Times New Roman"/>
                <w:color w:val="auto"/>
                <w:sz w:val="36"/>
                <w:szCs w:val="36"/>
              </w:rPr>
            </w:pPr>
            <w:r>
              <w:rPr>
                <w:rFonts w:hint="default" w:ascii="Times New Roman" w:hAnsi="Times New Roman" w:eastAsia="仿宋_GB2312" w:cs="Times New Roman"/>
                <w:b/>
                <w:bCs/>
                <w:color w:val="auto"/>
                <w:sz w:val="24"/>
              </w:rPr>
              <w:t>图</w:t>
            </w:r>
            <w:r>
              <w:rPr>
                <w:rFonts w:hint="default" w:ascii="Times New Roman" w:hAnsi="Times New Roman" w:eastAsia="仿宋_GB2312" w:cs="Times New Roman"/>
                <w:b/>
                <w:bCs/>
                <w:color w:val="auto"/>
                <w:sz w:val="24"/>
              </w:rPr>
              <w:t>4项目区</w:t>
            </w:r>
          </w:p>
        </w:tc>
      </w:tr>
      <w:tr w14:paraId="0CF36375">
        <w:tblPrEx>
          <w:tblCellMar>
            <w:top w:w="0" w:type="dxa"/>
            <w:left w:w="108" w:type="dxa"/>
            <w:bottom w:w="0" w:type="dxa"/>
            <w:right w:w="108" w:type="dxa"/>
          </w:tblCellMar>
        </w:tblPrEx>
        <w:trPr>
          <w:trHeight w:val="555" w:hRule="atLeast"/>
          <w:jc w:val="center"/>
        </w:trPr>
        <w:tc>
          <w:tcPr>
            <w:tcW w:w="4562" w:type="dxa"/>
            <w:noWrap w:val="0"/>
            <w:vAlign w:val="center"/>
          </w:tcPr>
          <w:p w14:paraId="39A7416E">
            <w:pPr>
              <w:adjustRightInd w:val="0"/>
              <w:snapToGrid w:val="0"/>
              <w:jc w:val="center"/>
              <w:rPr>
                <w:rFonts w:hint="default" w:ascii="Times New Roman" w:hAnsi="Times New Roman" w:eastAsia="仿宋_GB2312" w:cs="Times New Roman"/>
                <w:b/>
                <w:bCs/>
                <w:color w:val="auto"/>
                <w:sz w:val="24"/>
                <w:lang w:eastAsia="zh-CN"/>
              </w:rPr>
            </w:pPr>
            <w:r>
              <w:rPr>
                <w:rFonts w:hint="default" w:ascii="Times New Roman" w:hAnsi="Times New Roman" w:eastAsia="仿宋_GB2312" w:cs="Times New Roman"/>
                <w:b/>
                <w:bCs/>
                <w:color w:val="auto"/>
                <w:sz w:val="24"/>
                <w:lang w:eastAsia="zh-CN"/>
              </w:rPr>
              <w:drawing>
                <wp:inline distT="0" distB="0" distL="114300" distR="114300">
                  <wp:extent cx="1843405" cy="2733675"/>
                  <wp:effectExtent l="0" t="0" r="9525" b="4445"/>
                  <wp:docPr id="8" name="图片 8" descr="1b68973b66852b73270a1959d5182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b68973b66852b73270a1959d5182e8"/>
                          <pic:cNvPicPr>
                            <a:picLocks noChangeAspect="1"/>
                          </pic:cNvPicPr>
                        </pic:nvPicPr>
                        <pic:blipFill>
                          <a:blip r:embed="rId12"/>
                          <a:stretch>
                            <a:fillRect/>
                          </a:stretch>
                        </pic:blipFill>
                        <pic:spPr>
                          <a:xfrm rot="5400000">
                            <a:off x="0" y="0"/>
                            <a:ext cx="1843405" cy="2733675"/>
                          </a:xfrm>
                          <a:prstGeom prst="rect">
                            <a:avLst/>
                          </a:prstGeom>
                        </pic:spPr>
                      </pic:pic>
                    </a:graphicData>
                  </a:graphic>
                </wp:inline>
              </w:drawing>
            </w:r>
          </w:p>
        </w:tc>
        <w:tc>
          <w:tcPr>
            <w:tcW w:w="4498" w:type="dxa"/>
            <w:noWrap w:val="0"/>
            <w:vAlign w:val="center"/>
          </w:tcPr>
          <w:p w14:paraId="26589B1A">
            <w:pPr>
              <w:adjustRightInd w:val="0"/>
              <w:snapToGrid w:val="0"/>
              <w:jc w:val="center"/>
              <w:rPr>
                <w:rFonts w:hint="default" w:ascii="Times New Roman" w:hAnsi="Times New Roman" w:eastAsia="仿宋_GB2312" w:cs="Times New Roman"/>
                <w:b/>
                <w:bCs/>
                <w:color w:val="auto"/>
                <w:sz w:val="24"/>
                <w:lang w:eastAsia="zh-CN"/>
              </w:rPr>
            </w:pPr>
            <w:r>
              <w:rPr>
                <w:rFonts w:hint="default" w:ascii="Times New Roman" w:hAnsi="Times New Roman" w:eastAsia="仿宋_GB2312" w:cs="Times New Roman"/>
                <w:b/>
                <w:bCs/>
                <w:color w:val="auto"/>
                <w:sz w:val="24"/>
                <w:lang w:eastAsia="zh-CN"/>
              </w:rPr>
              <w:drawing>
                <wp:inline distT="0" distB="0" distL="114300" distR="114300">
                  <wp:extent cx="1893570" cy="2693035"/>
                  <wp:effectExtent l="0" t="0" r="12065" b="11430"/>
                  <wp:docPr id="10" name="图片 10" descr="3d09a4cf15a97d02ac7cb6bf284f0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3d09a4cf15a97d02ac7cb6bf284f01f"/>
                          <pic:cNvPicPr>
                            <a:picLocks noChangeAspect="1"/>
                          </pic:cNvPicPr>
                        </pic:nvPicPr>
                        <pic:blipFill>
                          <a:blip r:embed="rId13"/>
                          <a:stretch>
                            <a:fillRect/>
                          </a:stretch>
                        </pic:blipFill>
                        <pic:spPr>
                          <a:xfrm rot="5400000">
                            <a:off x="0" y="0"/>
                            <a:ext cx="1893570" cy="2693035"/>
                          </a:xfrm>
                          <a:prstGeom prst="rect">
                            <a:avLst/>
                          </a:prstGeom>
                        </pic:spPr>
                      </pic:pic>
                    </a:graphicData>
                  </a:graphic>
                </wp:inline>
              </w:drawing>
            </w:r>
          </w:p>
        </w:tc>
      </w:tr>
      <w:tr w14:paraId="05CC6CF5">
        <w:tblPrEx>
          <w:tblCellMar>
            <w:top w:w="0" w:type="dxa"/>
            <w:left w:w="108" w:type="dxa"/>
            <w:bottom w:w="0" w:type="dxa"/>
            <w:right w:w="108" w:type="dxa"/>
          </w:tblCellMar>
        </w:tblPrEx>
        <w:trPr>
          <w:trHeight w:val="555" w:hRule="atLeast"/>
          <w:jc w:val="center"/>
        </w:trPr>
        <w:tc>
          <w:tcPr>
            <w:tcW w:w="4562" w:type="dxa"/>
            <w:noWrap w:val="0"/>
            <w:vAlign w:val="center"/>
          </w:tcPr>
          <w:p w14:paraId="042F14AE">
            <w:pPr>
              <w:adjustRightInd w:val="0"/>
              <w:snapToGrid w:val="0"/>
              <w:jc w:val="center"/>
              <w:rPr>
                <w:rFonts w:hint="default" w:ascii="Times New Roman" w:hAnsi="Times New Roman" w:eastAsia="仿宋_GB2312" w:cs="Times New Roman"/>
                <w:b/>
                <w:bCs/>
                <w:color w:val="auto"/>
                <w:sz w:val="24"/>
              </w:rPr>
            </w:pPr>
            <w:r>
              <w:rPr>
                <w:rFonts w:hint="default" w:ascii="Times New Roman" w:hAnsi="Times New Roman" w:eastAsia="仿宋_GB2312" w:cs="Times New Roman"/>
                <w:b/>
                <w:bCs/>
                <w:color w:val="auto"/>
                <w:sz w:val="24"/>
              </w:rPr>
              <w:t>图</w:t>
            </w:r>
            <w:r>
              <w:rPr>
                <w:rFonts w:hint="default" w:ascii="Times New Roman" w:hAnsi="Times New Roman" w:eastAsia="仿宋_GB2312" w:cs="Times New Roman"/>
                <w:b/>
                <w:bCs/>
                <w:color w:val="auto"/>
                <w:sz w:val="24"/>
                <w:lang w:val="en-US" w:eastAsia="zh-CN"/>
              </w:rPr>
              <w:t>5</w:t>
            </w:r>
            <w:r>
              <w:rPr>
                <w:rFonts w:hint="default" w:ascii="Times New Roman" w:hAnsi="Times New Roman" w:eastAsia="仿宋_GB2312" w:cs="Times New Roman"/>
                <w:b/>
                <w:bCs/>
                <w:color w:val="auto"/>
                <w:sz w:val="24"/>
              </w:rPr>
              <w:t>项目区</w:t>
            </w:r>
          </w:p>
        </w:tc>
        <w:tc>
          <w:tcPr>
            <w:tcW w:w="4498" w:type="dxa"/>
            <w:noWrap w:val="0"/>
            <w:vAlign w:val="center"/>
          </w:tcPr>
          <w:p w14:paraId="13E2D253">
            <w:pPr>
              <w:adjustRightInd w:val="0"/>
              <w:snapToGrid w:val="0"/>
              <w:jc w:val="center"/>
              <w:rPr>
                <w:rFonts w:hint="default" w:ascii="Times New Roman" w:hAnsi="Times New Roman" w:eastAsia="仿宋_GB2312" w:cs="Times New Roman"/>
                <w:b/>
                <w:bCs/>
                <w:color w:val="auto"/>
                <w:sz w:val="24"/>
              </w:rPr>
            </w:pPr>
            <w:r>
              <w:rPr>
                <w:rFonts w:hint="default" w:ascii="Times New Roman" w:hAnsi="Times New Roman" w:eastAsia="仿宋_GB2312" w:cs="Times New Roman"/>
                <w:b/>
                <w:bCs/>
                <w:color w:val="auto"/>
                <w:sz w:val="24"/>
              </w:rPr>
              <w:t>图</w:t>
            </w:r>
            <w:r>
              <w:rPr>
                <w:rFonts w:hint="default" w:ascii="Times New Roman" w:hAnsi="Times New Roman" w:eastAsia="仿宋_GB2312" w:cs="Times New Roman"/>
                <w:b/>
                <w:bCs/>
                <w:color w:val="auto"/>
                <w:sz w:val="24"/>
                <w:lang w:val="en-US" w:eastAsia="zh-CN"/>
              </w:rPr>
              <w:t>6</w:t>
            </w:r>
            <w:r>
              <w:rPr>
                <w:rFonts w:hint="default" w:ascii="Times New Roman" w:hAnsi="Times New Roman" w:eastAsia="仿宋_GB2312" w:cs="Times New Roman"/>
                <w:b/>
                <w:bCs/>
                <w:color w:val="auto"/>
                <w:sz w:val="24"/>
              </w:rPr>
              <w:t>项目区</w:t>
            </w:r>
          </w:p>
        </w:tc>
      </w:tr>
      <w:tr w14:paraId="76E3099C">
        <w:tblPrEx>
          <w:tblCellMar>
            <w:top w:w="0" w:type="dxa"/>
            <w:left w:w="108" w:type="dxa"/>
            <w:bottom w:w="0" w:type="dxa"/>
            <w:right w:w="108" w:type="dxa"/>
          </w:tblCellMar>
        </w:tblPrEx>
        <w:trPr>
          <w:trHeight w:val="578" w:hRule="atLeast"/>
          <w:jc w:val="center"/>
        </w:trPr>
        <w:tc>
          <w:tcPr>
            <w:tcW w:w="9060" w:type="dxa"/>
            <w:gridSpan w:val="2"/>
            <w:noWrap w:val="0"/>
            <w:vAlign w:val="center"/>
          </w:tcPr>
          <w:p w14:paraId="28E9BAA8">
            <w:pPr>
              <w:adjustRightInd w:val="0"/>
              <w:snapToGrid w:val="0"/>
              <w:jc w:val="center"/>
              <w:rPr>
                <w:rFonts w:hint="default" w:ascii="Times New Roman" w:hAnsi="Times New Roman" w:eastAsia="仿宋_GB2312" w:cs="Times New Roman"/>
                <w:color w:val="auto"/>
                <w:sz w:val="36"/>
                <w:szCs w:val="36"/>
              </w:rPr>
            </w:pPr>
            <w:r>
              <w:rPr>
                <w:rFonts w:hint="default" w:ascii="Times New Roman" w:hAnsi="Times New Roman" w:eastAsia="仿宋_GB2312" w:cs="Times New Roman"/>
                <w:b/>
                <w:bCs/>
                <w:color w:val="auto"/>
                <w:sz w:val="28"/>
                <w:szCs w:val="28"/>
              </w:rPr>
              <w:t>现场照片</w:t>
            </w:r>
          </w:p>
        </w:tc>
      </w:tr>
    </w:tbl>
    <w:p w14:paraId="477410F6">
      <w:pPr>
        <w:pStyle w:val="12"/>
        <w:rPr>
          <w:rFonts w:hint="default" w:ascii="Times New Roman" w:hAnsi="Times New Roman" w:eastAsia="宋体" w:cs="Times New Roman"/>
          <w:color w:val="auto"/>
          <w:lang w:eastAsia="zh-CN"/>
        </w:rPr>
      </w:pPr>
    </w:p>
    <w:p w14:paraId="6ABEB57C">
      <w:pPr>
        <w:pStyle w:val="13"/>
        <w:rPr>
          <w:rFonts w:hint="default" w:ascii="Times New Roman" w:hAnsi="Times New Roman" w:eastAsia="宋体" w:cs="Times New Roman"/>
          <w:color w:val="auto"/>
          <w:lang w:eastAsia="zh-CN"/>
        </w:rPr>
      </w:pPr>
    </w:p>
    <w:p w14:paraId="563EB1FD">
      <w:pPr>
        <w:rPr>
          <w:rFonts w:hint="default" w:ascii="Times New Roman" w:hAnsi="Times New Roman" w:eastAsia="宋体" w:cs="Times New Roman"/>
          <w:color w:val="auto"/>
          <w:lang w:eastAsia="zh-CN"/>
        </w:rPr>
      </w:pPr>
    </w:p>
    <w:p w14:paraId="6E4F1E99">
      <w:pPr>
        <w:pStyle w:val="27"/>
        <w:rPr>
          <w:rFonts w:hint="default" w:ascii="Times New Roman" w:hAnsi="Times New Roman" w:eastAsia="宋体" w:cs="Times New Roman"/>
          <w:color w:val="auto"/>
          <w:lang w:eastAsia="zh-CN"/>
        </w:rPr>
      </w:pPr>
    </w:p>
    <w:p w14:paraId="1661BF40">
      <w:pPr>
        <w:rPr>
          <w:rFonts w:hint="default" w:ascii="Times New Roman" w:hAnsi="Times New Roman" w:eastAsia="宋体" w:cs="Times New Roman"/>
          <w:color w:val="auto"/>
          <w:lang w:eastAsia="zh-CN"/>
        </w:rPr>
      </w:pPr>
    </w:p>
    <w:p w14:paraId="44128428">
      <w:pPr>
        <w:pStyle w:val="27"/>
        <w:rPr>
          <w:rFonts w:hint="default" w:ascii="Times New Roman" w:hAnsi="Times New Roman" w:eastAsia="宋体" w:cs="Times New Roman"/>
          <w:color w:val="auto"/>
          <w:lang w:eastAsia="zh-CN"/>
        </w:rPr>
      </w:pPr>
    </w:p>
    <w:p w14:paraId="5B3A1733">
      <w:pPr>
        <w:rPr>
          <w:rFonts w:hint="default" w:ascii="Times New Roman" w:hAnsi="Times New Roman" w:eastAsia="宋体" w:cs="Times New Roman"/>
          <w:color w:val="auto"/>
          <w:lang w:eastAsia="zh-CN"/>
        </w:rPr>
      </w:pPr>
    </w:p>
    <w:p w14:paraId="17108F30">
      <w:pPr>
        <w:pStyle w:val="27"/>
        <w:rPr>
          <w:rFonts w:hint="default" w:ascii="Times New Roman" w:hAnsi="Times New Roman" w:eastAsia="宋体" w:cs="Times New Roman"/>
          <w:color w:val="auto"/>
          <w:lang w:eastAsia="zh-CN"/>
        </w:rPr>
      </w:pPr>
    </w:p>
    <w:p w14:paraId="7485C108">
      <w:pPr>
        <w:rPr>
          <w:rFonts w:hint="default" w:ascii="Times New Roman" w:hAnsi="Times New Roman" w:eastAsia="宋体" w:cs="Times New Roman"/>
          <w:color w:val="auto"/>
          <w:lang w:eastAsia="zh-CN"/>
        </w:rPr>
      </w:pPr>
    </w:p>
    <w:p w14:paraId="04E721A5">
      <w:pPr>
        <w:pStyle w:val="27"/>
        <w:rPr>
          <w:rFonts w:hint="default" w:ascii="Times New Roman" w:hAnsi="Times New Roman" w:eastAsia="宋体" w:cs="Times New Roman"/>
          <w:color w:val="auto"/>
          <w:lang w:eastAsia="zh-CN"/>
        </w:rPr>
      </w:pPr>
    </w:p>
    <w:p w14:paraId="682D3B42">
      <w:pPr>
        <w:rPr>
          <w:rFonts w:hint="default" w:ascii="Times New Roman" w:hAnsi="Times New Roman" w:eastAsia="宋体" w:cs="Times New Roman"/>
          <w:color w:val="auto"/>
          <w:lang w:eastAsia="zh-CN"/>
        </w:rPr>
      </w:pPr>
    </w:p>
    <w:p w14:paraId="3EC8DCD9">
      <w:pPr>
        <w:pStyle w:val="27"/>
        <w:rPr>
          <w:rFonts w:hint="default" w:ascii="Times New Roman" w:hAnsi="Times New Roman" w:eastAsia="宋体" w:cs="Times New Roman"/>
          <w:color w:val="auto"/>
          <w:lang w:eastAsia="zh-CN"/>
        </w:rPr>
      </w:pPr>
    </w:p>
    <w:p w14:paraId="38EEEC58">
      <w:pPr>
        <w:rPr>
          <w:rFonts w:hint="default" w:ascii="Times New Roman" w:hAnsi="Times New Roman" w:eastAsia="宋体" w:cs="Times New Roman"/>
          <w:color w:val="auto"/>
          <w:lang w:eastAsia="zh-CN"/>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fmt="numberInDash"/>
          <w:cols w:space="720" w:num="1"/>
          <w:docGrid w:linePitch="312" w:charSpace="0"/>
        </w:sectPr>
      </w:pPr>
    </w:p>
    <w:p w14:paraId="5AE92F27">
      <w:pPr>
        <w:pStyle w:val="21"/>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黑体" w:cs="Times New Roman"/>
          <w:snapToGrid w:val="0"/>
          <w:color w:val="auto"/>
          <w:sz w:val="30"/>
          <w:szCs w:val="30"/>
        </w:rPr>
      </w:pPr>
      <w:bookmarkStart w:id="1" w:name="_Toc17568"/>
      <w:r>
        <w:rPr>
          <w:rFonts w:hint="default" w:ascii="Times New Roman" w:hAnsi="Times New Roman" w:eastAsia="黑体" w:cs="Times New Roman"/>
          <w:snapToGrid w:val="0"/>
          <w:color w:val="auto"/>
          <w:sz w:val="30"/>
          <w:szCs w:val="30"/>
        </w:rPr>
        <w:t>一、建设项目基本情况</w:t>
      </w:r>
      <w:bookmarkEnd w:id="1"/>
    </w:p>
    <w:tbl>
      <w:tblPr>
        <w:tblStyle w:val="22"/>
        <w:tblW w:w="9039" w:type="dxa"/>
        <w:tblInd w:w="17"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513"/>
        <w:gridCol w:w="2158"/>
        <w:gridCol w:w="1643"/>
        <w:gridCol w:w="3725"/>
      </w:tblGrid>
      <w:tr w14:paraId="5BC93C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513" w:type="dxa"/>
            <w:noWrap w:val="0"/>
            <w:tcMar>
              <w:top w:w="16" w:type="dxa"/>
              <w:left w:w="16" w:type="dxa"/>
              <w:right w:w="16" w:type="dxa"/>
            </w:tcMar>
            <w:vAlign w:val="center"/>
          </w:tcPr>
          <w:p w14:paraId="00985192">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建设项目名称</w:t>
            </w:r>
          </w:p>
        </w:tc>
        <w:tc>
          <w:tcPr>
            <w:tcW w:w="7526" w:type="dxa"/>
            <w:gridSpan w:val="3"/>
            <w:noWrap w:val="0"/>
            <w:vAlign w:val="center"/>
          </w:tcPr>
          <w:p w14:paraId="3C97AA7E">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lang w:val="en-US"/>
              </w:rPr>
            </w:pPr>
            <w:r>
              <w:rPr>
                <w:rFonts w:hint="default" w:ascii="Times New Roman" w:hAnsi="Times New Roman" w:cs="Times New Roman"/>
                <w:color w:val="auto"/>
                <w:sz w:val="24"/>
                <w:lang w:val="en-US" w:eastAsia="zh-CN"/>
              </w:rPr>
              <w:t>国能木垒40万千瓦风电项目</w:t>
            </w:r>
          </w:p>
        </w:tc>
      </w:tr>
      <w:tr w14:paraId="226FB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513" w:type="dxa"/>
            <w:noWrap w:val="0"/>
            <w:tcMar>
              <w:top w:w="16" w:type="dxa"/>
              <w:left w:w="16" w:type="dxa"/>
              <w:right w:w="16" w:type="dxa"/>
            </w:tcMar>
            <w:vAlign w:val="center"/>
          </w:tcPr>
          <w:p w14:paraId="71C4468C">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项目代码</w:t>
            </w:r>
          </w:p>
        </w:tc>
        <w:tc>
          <w:tcPr>
            <w:tcW w:w="7526" w:type="dxa"/>
            <w:gridSpan w:val="3"/>
            <w:noWrap w:val="0"/>
            <w:vAlign w:val="center"/>
          </w:tcPr>
          <w:p w14:paraId="0149E456">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2504-652328-04-01-431889</w:t>
            </w:r>
          </w:p>
        </w:tc>
      </w:tr>
      <w:tr w14:paraId="0D04EA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513" w:type="dxa"/>
            <w:noWrap w:val="0"/>
            <w:tcMar>
              <w:top w:w="16" w:type="dxa"/>
              <w:left w:w="16" w:type="dxa"/>
              <w:right w:w="16" w:type="dxa"/>
            </w:tcMar>
            <w:vAlign w:val="center"/>
          </w:tcPr>
          <w:p w14:paraId="39058850">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建设单位联系人</w:t>
            </w:r>
          </w:p>
        </w:tc>
        <w:tc>
          <w:tcPr>
            <w:tcW w:w="2158" w:type="dxa"/>
            <w:noWrap w:val="0"/>
            <w:vAlign w:val="center"/>
          </w:tcPr>
          <w:p w14:paraId="1647A1A6">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庞建伟</w:t>
            </w:r>
          </w:p>
        </w:tc>
        <w:tc>
          <w:tcPr>
            <w:tcW w:w="1643" w:type="dxa"/>
            <w:noWrap w:val="0"/>
            <w:vAlign w:val="center"/>
          </w:tcPr>
          <w:p w14:paraId="0B51FCFE">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联系方式</w:t>
            </w:r>
          </w:p>
        </w:tc>
        <w:tc>
          <w:tcPr>
            <w:tcW w:w="3725" w:type="dxa"/>
            <w:noWrap w:val="0"/>
            <w:vAlign w:val="center"/>
          </w:tcPr>
          <w:p w14:paraId="3DECC70C">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18167526027</w:t>
            </w:r>
          </w:p>
        </w:tc>
      </w:tr>
      <w:tr w14:paraId="5506BB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513" w:type="dxa"/>
            <w:noWrap w:val="0"/>
            <w:tcMar>
              <w:top w:w="16" w:type="dxa"/>
              <w:left w:w="16" w:type="dxa"/>
              <w:right w:w="16" w:type="dxa"/>
            </w:tcMar>
            <w:vAlign w:val="center"/>
          </w:tcPr>
          <w:p w14:paraId="1BF8B4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建设地点</w:t>
            </w:r>
          </w:p>
        </w:tc>
        <w:tc>
          <w:tcPr>
            <w:tcW w:w="7526" w:type="dxa"/>
            <w:gridSpan w:val="3"/>
            <w:noWrap w:val="0"/>
            <w:vAlign w:val="center"/>
          </w:tcPr>
          <w:p w14:paraId="12807F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lang w:val="en-US"/>
              </w:rPr>
            </w:pPr>
            <w:r>
              <w:rPr>
                <w:rFonts w:hint="default" w:ascii="Times New Roman" w:hAnsi="Times New Roman" w:cs="Times New Roman"/>
                <w:color w:val="auto"/>
                <w:sz w:val="24"/>
                <w:lang w:val="en-US" w:eastAsia="zh-CN"/>
              </w:rPr>
              <w:t>新疆昌吉回族自治州木垒哈萨克自治县境内，风电场中心点地处木垒哈萨克自治县东北方向约75km</w:t>
            </w:r>
          </w:p>
        </w:tc>
      </w:tr>
      <w:tr w14:paraId="361C9F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513" w:type="dxa"/>
            <w:noWrap w:val="0"/>
            <w:tcMar>
              <w:top w:w="16" w:type="dxa"/>
              <w:left w:w="16" w:type="dxa"/>
              <w:right w:w="16" w:type="dxa"/>
            </w:tcMar>
            <w:vAlign w:val="center"/>
          </w:tcPr>
          <w:p w14:paraId="0500D9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地理坐标</w:t>
            </w:r>
          </w:p>
        </w:tc>
        <w:tc>
          <w:tcPr>
            <w:tcW w:w="7526" w:type="dxa"/>
            <w:gridSpan w:val="3"/>
            <w:noWrap w:val="0"/>
            <w:vAlign w:val="center"/>
          </w:tcPr>
          <w:p w14:paraId="49D5C9D7">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auto"/>
                <w:lang w:eastAsia="zh-CN"/>
              </w:rPr>
            </w:pPr>
            <w:r>
              <w:rPr>
                <w:rFonts w:hint="default" w:ascii="Times New Roman" w:hAnsi="Times New Roman" w:cs="Times New Roman"/>
                <w:color w:val="auto"/>
                <w:sz w:val="24"/>
              </w:rPr>
              <w:t>风电场</w:t>
            </w:r>
            <w:r>
              <w:rPr>
                <w:rFonts w:hint="default" w:ascii="Times New Roman" w:hAnsi="Times New Roman" w:cs="Times New Roman"/>
                <w:color w:val="auto"/>
                <w:sz w:val="24"/>
                <w:lang w:val="en-US" w:eastAsia="zh-CN"/>
              </w:rPr>
              <w:t>区中心东经</w:t>
            </w:r>
            <w:r>
              <w:rPr>
                <w:rFonts w:hint="default" w:ascii="Times New Roman" w:hAnsi="Times New Roman" w:cs="Times New Roman"/>
                <w:color w:val="auto"/>
                <w:sz w:val="24"/>
                <w:lang w:eastAsia="zh-CN"/>
              </w:rPr>
              <w:t>91°13′58.017″，北纬43°58′46.534″；</w:t>
            </w:r>
          </w:p>
        </w:tc>
      </w:tr>
      <w:tr w14:paraId="56E639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1513" w:type="dxa"/>
            <w:noWrap w:val="0"/>
            <w:tcMar>
              <w:top w:w="16" w:type="dxa"/>
              <w:left w:w="16" w:type="dxa"/>
              <w:right w:w="16" w:type="dxa"/>
            </w:tcMar>
            <w:vAlign w:val="center"/>
          </w:tcPr>
          <w:p w14:paraId="483D071A">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建设项目</w:t>
            </w:r>
          </w:p>
          <w:p w14:paraId="5CFD3894">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行业类别</w:t>
            </w:r>
          </w:p>
        </w:tc>
        <w:tc>
          <w:tcPr>
            <w:tcW w:w="2158" w:type="dxa"/>
            <w:noWrap w:val="0"/>
            <w:vAlign w:val="center"/>
          </w:tcPr>
          <w:p w14:paraId="2FF120C1">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rPr>
              <w:t>四十一、电力、热力生产和供应业的</w:t>
            </w:r>
            <w:r>
              <w:rPr>
                <w:rFonts w:hint="default" w:ascii="Times New Roman" w:hAnsi="Times New Roman" w:cs="Times New Roman"/>
                <w:color w:val="auto"/>
                <w:sz w:val="24"/>
                <w:lang w:val="en-US" w:eastAsia="zh-CN"/>
              </w:rPr>
              <w:t>-</w:t>
            </w:r>
            <w:r>
              <w:rPr>
                <w:rFonts w:hint="default" w:ascii="Times New Roman" w:hAnsi="Times New Roman" w:cs="Times New Roman"/>
                <w:color w:val="auto"/>
                <w:sz w:val="24"/>
              </w:rPr>
              <w:t>陆上风力发电</w:t>
            </w:r>
          </w:p>
        </w:tc>
        <w:tc>
          <w:tcPr>
            <w:tcW w:w="1643" w:type="dxa"/>
            <w:noWrap w:val="0"/>
            <w:vAlign w:val="center"/>
          </w:tcPr>
          <w:p w14:paraId="751B8959">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用地（用海）面积（m</w:t>
            </w:r>
            <w:r>
              <w:rPr>
                <w:rFonts w:hint="default" w:ascii="Times New Roman" w:hAnsi="Times New Roman" w:cs="Times New Roman"/>
                <w:color w:val="auto"/>
                <w:sz w:val="24"/>
                <w:vertAlign w:val="superscript"/>
              </w:rPr>
              <w:t>2</w:t>
            </w:r>
            <w:r>
              <w:rPr>
                <w:rFonts w:hint="default" w:ascii="Times New Roman" w:hAnsi="Times New Roman" w:cs="Times New Roman"/>
                <w:color w:val="auto"/>
                <w:sz w:val="24"/>
              </w:rPr>
              <w:t>）/长度（km）</w:t>
            </w:r>
          </w:p>
        </w:tc>
        <w:tc>
          <w:tcPr>
            <w:tcW w:w="3725" w:type="dxa"/>
            <w:noWrap w:val="0"/>
            <w:vAlign w:val="center"/>
          </w:tcPr>
          <w:p w14:paraId="31DAFF5C">
            <w:pPr>
              <w:pageBreakBefore w:val="0"/>
              <w:kinsoku/>
              <w:wordWrap/>
              <w:overflowPunct/>
              <w:bidi w:val="0"/>
              <w:spacing w:line="360" w:lineRule="auto"/>
              <w:ind w:right="0" w:rightChars="0"/>
              <w:rPr>
                <w:rFonts w:hint="default" w:ascii="Times New Roman" w:hAnsi="Times New Roman" w:cs="Times New Roman"/>
                <w:color w:val="auto"/>
              </w:rPr>
            </w:pPr>
            <w:r>
              <w:rPr>
                <w:rFonts w:hint="default" w:ascii="Times New Roman" w:hAnsi="Times New Roman" w:eastAsia="宋体" w:cs="Times New Roman"/>
                <w:bCs/>
                <w:color w:val="auto"/>
                <w:sz w:val="24"/>
                <w:lang w:val="en-US" w:eastAsia="zh-CN"/>
              </w:rPr>
              <w:t>风电场</w:t>
            </w:r>
            <w:r>
              <w:rPr>
                <w:rFonts w:hint="default" w:ascii="Times New Roman" w:hAnsi="Times New Roman" w:cs="Times New Roman"/>
                <w:bCs/>
                <w:color w:val="auto"/>
                <w:sz w:val="24"/>
                <w:lang w:val="en-US" w:eastAsia="zh-CN"/>
              </w:rPr>
              <w:t>总占地598211.516m</w:t>
            </w:r>
            <w:r>
              <w:rPr>
                <w:rFonts w:hint="default" w:ascii="Times New Roman" w:hAnsi="Times New Roman" w:cs="Times New Roman"/>
                <w:bCs/>
                <w:color w:val="auto"/>
                <w:sz w:val="24"/>
                <w:vertAlign w:val="superscript"/>
                <w:lang w:val="en-US" w:eastAsia="zh-CN"/>
              </w:rPr>
              <w:t>2</w:t>
            </w:r>
            <w:r>
              <w:rPr>
                <w:rFonts w:hint="default" w:ascii="Times New Roman" w:hAnsi="Times New Roman" w:cs="Times New Roman"/>
                <w:bCs/>
                <w:color w:val="auto"/>
                <w:sz w:val="24"/>
                <w:lang w:val="en-US" w:eastAsia="zh-CN"/>
              </w:rPr>
              <w:t>，</w:t>
            </w:r>
            <w:r>
              <w:rPr>
                <w:rFonts w:hint="default" w:ascii="Times New Roman" w:hAnsi="Times New Roman" w:eastAsia="宋体" w:cs="Times New Roman"/>
                <w:bCs/>
                <w:color w:val="auto"/>
                <w:sz w:val="24"/>
                <w:lang w:val="en-US" w:eastAsia="zh-CN"/>
              </w:rPr>
              <w:t>风电场工程永久性征地面积为</w:t>
            </w:r>
            <w:r>
              <w:rPr>
                <w:rFonts w:hint="default" w:ascii="Times New Roman" w:hAnsi="Times New Roman" w:cs="Times New Roman"/>
                <w:bCs/>
                <w:color w:val="auto"/>
                <w:sz w:val="24"/>
                <w:lang w:val="en-US" w:eastAsia="zh-CN"/>
              </w:rPr>
              <w:t>40352.516</w:t>
            </w:r>
            <w:r>
              <w:rPr>
                <w:rFonts w:hint="default" w:ascii="Times New Roman" w:hAnsi="Times New Roman" w:eastAsia="宋体" w:cs="Times New Roman"/>
                <w:bCs/>
                <w:color w:val="auto"/>
                <w:sz w:val="24"/>
                <w:lang w:val="en-US" w:eastAsia="zh-CN"/>
              </w:rPr>
              <w:t>m</w:t>
            </w:r>
            <w:r>
              <w:rPr>
                <w:rFonts w:hint="default" w:ascii="Times New Roman" w:hAnsi="Times New Roman" w:eastAsia="宋体" w:cs="Times New Roman"/>
                <w:bCs/>
                <w:color w:val="auto"/>
                <w:sz w:val="24"/>
                <w:vertAlign w:val="superscript"/>
                <w:lang w:val="en-US" w:eastAsia="zh-CN"/>
              </w:rPr>
              <w:t>2</w:t>
            </w:r>
            <w:r>
              <w:rPr>
                <w:rFonts w:hint="default" w:ascii="Times New Roman" w:hAnsi="Times New Roman" w:eastAsia="宋体" w:cs="Times New Roman"/>
                <w:bCs/>
                <w:color w:val="auto"/>
                <w:sz w:val="24"/>
                <w:lang w:val="en-US" w:eastAsia="zh-CN"/>
              </w:rPr>
              <w:t>，临时性用地面积</w:t>
            </w:r>
            <w:r>
              <w:rPr>
                <w:rFonts w:hint="default" w:ascii="Times New Roman" w:hAnsi="Times New Roman" w:cs="Times New Roman"/>
                <w:bCs/>
                <w:color w:val="auto"/>
                <w:sz w:val="24"/>
                <w:lang w:val="en-US" w:eastAsia="zh-CN"/>
              </w:rPr>
              <w:t>557859</w:t>
            </w:r>
            <w:r>
              <w:rPr>
                <w:rFonts w:hint="default" w:ascii="Times New Roman" w:hAnsi="Times New Roman" w:eastAsia="宋体" w:cs="Times New Roman"/>
                <w:bCs/>
                <w:color w:val="auto"/>
                <w:sz w:val="24"/>
                <w:lang w:val="en-US" w:eastAsia="zh-CN"/>
              </w:rPr>
              <w:t>m</w:t>
            </w:r>
            <w:r>
              <w:rPr>
                <w:rFonts w:hint="default" w:ascii="Times New Roman" w:hAnsi="Times New Roman" w:eastAsia="宋体" w:cs="Times New Roman"/>
                <w:bCs/>
                <w:color w:val="auto"/>
                <w:sz w:val="24"/>
                <w:vertAlign w:val="superscript"/>
                <w:lang w:val="en-US" w:eastAsia="zh-CN"/>
              </w:rPr>
              <w:t>2</w:t>
            </w:r>
            <w:r>
              <w:rPr>
                <w:rFonts w:hint="default" w:ascii="Times New Roman" w:hAnsi="Times New Roman" w:eastAsia="宋体" w:cs="Times New Roman"/>
                <w:bCs/>
                <w:color w:val="auto"/>
                <w:sz w:val="24"/>
                <w:lang w:val="en-US" w:eastAsia="zh-CN"/>
              </w:rPr>
              <w:t>。</w:t>
            </w:r>
          </w:p>
        </w:tc>
      </w:tr>
      <w:tr w14:paraId="428386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1513" w:type="dxa"/>
            <w:noWrap w:val="0"/>
            <w:tcMar>
              <w:top w:w="16" w:type="dxa"/>
              <w:left w:w="16" w:type="dxa"/>
              <w:right w:w="16" w:type="dxa"/>
            </w:tcMar>
            <w:vAlign w:val="center"/>
          </w:tcPr>
          <w:p w14:paraId="7D354A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建设性质</w:t>
            </w:r>
          </w:p>
        </w:tc>
        <w:tc>
          <w:tcPr>
            <w:tcW w:w="2158" w:type="dxa"/>
            <w:noWrap w:val="0"/>
            <w:vAlign w:val="center"/>
          </w:tcPr>
          <w:p w14:paraId="368F3E6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52"/>
            </w:r>
            <w:r>
              <w:rPr>
                <w:rFonts w:hint="default" w:ascii="Times New Roman" w:hAnsi="Times New Roman" w:cs="Times New Roman"/>
                <w:color w:val="auto"/>
                <w:sz w:val="24"/>
              </w:rPr>
              <w:t>新建（迁建）</w:t>
            </w:r>
          </w:p>
          <w:p w14:paraId="39C2569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rPr>
              <w:t>□改建</w:t>
            </w:r>
          </w:p>
          <w:p w14:paraId="2BEFD054">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rPr>
              <w:t>□扩建</w:t>
            </w:r>
          </w:p>
          <w:p w14:paraId="323EE69C">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rPr>
              <w:t>□技术改造</w:t>
            </w:r>
          </w:p>
        </w:tc>
        <w:tc>
          <w:tcPr>
            <w:tcW w:w="1643" w:type="dxa"/>
            <w:noWrap w:val="0"/>
            <w:vAlign w:val="center"/>
          </w:tcPr>
          <w:p w14:paraId="658BF7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建设项目</w:t>
            </w:r>
          </w:p>
          <w:p w14:paraId="6E212D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申报情形</w:t>
            </w:r>
          </w:p>
        </w:tc>
        <w:tc>
          <w:tcPr>
            <w:tcW w:w="3725" w:type="dxa"/>
            <w:noWrap w:val="0"/>
            <w:vAlign w:val="center"/>
          </w:tcPr>
          <w:p w14:paraId="725CB1BD">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52"/>
            </w:r>
            <w:r>
              <w:rPr>
                <w:rFonts w:hint="default" w:ascii="Times New Roman" w:hAnsi="Times New Roman" w:cs="Times New Roman"/>
                <w:color w:val="auto"/>
                <w:sz w:val="24"/>
              </w:rPr>
              <w:t>首次申报项目</w:t>
            </w:r>
          </w:p>
          <w:p w14:paraId="39D3613A">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rPr>
              <w:t>□不予批准后再次申报项目</w:t>
            </w:r>
          </w:p>
          <w:p w14:paraId="1751495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rPr>
              <w:t>□超五年重新审核项目</w:t>
            </w:r>
          </w:p>
          <w:p w14:paraId="5AD5E95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4"/>
              </w:rPr>
            </w:pPr>
            <w:r>
              <w:rPr>
                <w:rFonts w:hint="default" w:ascii="Times New Roman" w:hAnsi="Times New Roman" w:cs="Times New Roman"/>
                <w:color w:val="auto"/>
                <w:sz w:val="24"/>
              </w:rPr>
              <w:t>□重大变动重新报批项目</w:t>
            </w:r>
          </w:p>
        </w:tc>
      </w:tr>
      <w:tr w14:paraId="7ADDDC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1513" w:type="dxa"/>
            <w:noWrap w:val="0"/>
            <w:tcMar>
              <w:top w:w="16" w:type="dxa"/>
              <w:left w:w="16" w:type="dxa"/>
              <w:right w:w="16" w:type="dxa"/>
            </w:tcMar>
            <w:vAlign w:val="center"/>
          </w:tcPr>
          <w:p w14:paraId="240B71CB">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项目审批（核准/备案）部门（选填）</w:t>
            </w:r>
          </w:p>
        </w:tc>
        <w:tc>
          <w:tcPr>
            <w:tcW w:w="2158" w:type="dxa"/>
            <w:noWrap w:val="0"/>
            <w:vAlign w:val="center"/>
          </w:tcPr>
          <w:p w14:paraId="143632B0">
            <w:pPr>
              <w:pStyle w:val="21"/>
              <w:keepNext w:val="0"/>
              <w:keepLines w:val="0"/>
              <w:widowControl/>
              <w:suppressLineNumbers w:val="0"/>
              <w:spacing w:before="0" w:beforeAutospacing="0" w:after="0" w:afterAutospacing="0"/>
              <w:ind w:left="0" w:right="0" w:firstLine="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lang w:val="en-US" w:eastAsia="zh-CN"/>
              </w:rPr>
              <w:t>昌吉回族自治州发展和改革委员会</w:t>
            </w:r>
          </w:p>
        </w:tc>
        <w:tc>
          <w:tcPr>
            <w:tcW w:w="1643" w:type="dxa"/>
            <w:noWrap w:val="0"/>
            <w:vAlign w:val="center"/>
          </w:tcPr>
          <w:p w14:paraId="32451C21">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项目审批（核准/备案）文号（选填）</w:t>
            </w:r>
          </w:p>
        </w:tc>
        <w:tc>
          <w:tcPr>
            <w:tcW w:w="3725" w:type="dxa"/>
            <w:noWrap w:val="0"/>
            <w:vAlign w:val="center"/>
          </w:tcPr>
          <w:p w14:paraId="4428DECD">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lang w:eastAsia="zh-CN"/>
              </w:rPr>
              <w:t>2504121356652300000041</w:t>
            </w:r>
          </w:p>
        </w:tc>
      </w:tr>
      <w:tr w14:paraId="5045DF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31" w:hRule="atLeast"/>
        </w:trPr>
        <w:tc>
          <w:tcPr>
            <w:tcW w:w="1513" w:type="dxa"/>
            <w:noWrap w:val="0"/>
            <w:tcMar>
              <w:top w:w="16" w:type="dxa"/>
              <w:left w:w="16" w:type="dxa"/>
              <w:right w:w="16" w:type="dxa"/>
            </w:tcMar>
            <w:vAlign w:val="center"/>
          </w:tcPr>
          <w:p w14:paraId="1065565F">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总投资（万元）</w:t>
            </w:r>
          </w:p>
        </w:tc>
        <w:tc>
          <w:tcPr>
            <w:tcW w:w="2158" w:type="dxa"/>
            <w:noWrap w:val="0"/>
            <w:vAlign w:val="center"/>
          </w:tcPr>
          <w:p w14:paraId="12EC2D9E">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lang w:eastAsia="zh-CN"/>
              </w:rPr>
              <w:t>149000</w:t>
            </w:r>
          </w:p>
        </w:tc>
        <w:tc>
          <w:tcPr>
            <w:tcW w:w="1643" w:type="dxa"/>
            <w:noWrap w:val="0"/>
            <w:tcMar>
              <w:top w:w="16" w:type="dxa"/>
              <w:left w:w="16" w:type="dxa"/>
              <w:right w:w="16" w:type="dxa"/>
            </w:tcMar>
            <w:vAlign w:val="center"/>
          </w:tcPr>
          <w:p w14:paraId="5F173EB6">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环保投资（万元）</w:t>
            </w:r>
          </w:p>
        </w:tc>
        <w:tc>
          <w:tcPr>
            <w:tcW w:w="3725" w:type="dxa"/>
            <w:noWrap w:val="0"/>
            <w:vAlign w:val="center"/>
          </w:tcPr>
          <w:p w14:paraId="4E515CCE">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1075</w:t>
            </w:r>
          </w:p>
        </w:tc>
      </w:tr>
      <w:tr w14:paraId="0CFED5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00" w:hRule="atLeast"/>
        </w:trPr>
        <w:tc>
          <w:tcPr>
            <w:tcW w:w="1513" w:type="dxa"/>
            <w:noWrap w:val="0"/>
            <w:tcMar>
              <w:top w:w="16" w:type="dxa"/>
              <w:left w:w="16" w:type="dxa"/>
              <w:right w:w="16" w:type="dxa"/>
            </w:tcMar>
            <w:vAlign w:val="center"/>
          </w:tcPr>
          <w:p w14:paraId="75ACF822">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环保投资占比（%）</w:t>
            </w:r>
          </w:p>
        </w:tc>
        <w:tc>
          <w:tcPr>
            <w:tcW w:w="2158" w:type="dxa"/>
            <w:noWrap w:val="0"/>
            <w:vAlign w:val="center"/>
          </w:tcPr>
          <w:p w14:paraId="58952E4C">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lang w:val="en-US"/>
              </w:rPr>
            </w:pPr>
            <w:r>
              <w:rPr>
                <w:rFonts w:hint="default" w:ascii="Times New Roman" w:hAnsi="Times New Roman" w:cs="Times New Roman"/>
                <w:color w:val="auto"/>
                <w:sz w:val="24"/>
                <w:lang w:val="en-US" w:eastAsia="zh-CN"/>
              </w:rPr>
              <w:t>0.72</w:t>
            </w:r>
          </w:p>
        </w:tc>
        <w:tc>
          <w:tcPr>
            <w:tcW w:w="1643" w:type="dxa"/>
            <w:noWrap w:val="0"/>
            <w:tcMar>
              <w:top w:w="16" w:type="dxa"/>
              <w:left w:w="16" w:type="dxa"/>
              <w:right w:w="16" w:type="dxa"/>
            </w:tcMar>
            <w:vAlign w:val="center"/>
          </w:tcPr>
          <w:p w14:paraId="37C29FC7">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施工工期</w:t>
            </w:r>
          </w:p>
        </w:tc>
        <w:tc>
          <w:tcPr>
            <w:tcW w:w="3725" w:type="dxa"/>
            <w:noWrap w:val="0"/>
            <w:vAlign w:val="center"/>
          </w:tcPr>
          <w:p w14:paraId="650D1423">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auto"/>
                <w:sz w:val="24"/>
              </w:rPr>
            </w:pPr>
            <w:r>
              <w:rPr>
                <w:rFonts w:hint="default" w:ascii="Times New Roman" w:hAnsi="Times New Roman" w:cs="Times New Roman"/>
                <w:color w:val="auto"/>
                <w:sz w:val="24"/>
                <w:lang w:val="en-US" w:eastAsia="zh-CN"/>
              </w:rPr>
              <w:t>10</w:t>
            </w:r>
            <w:r>
              <w:rPr>
                <w:rFonts w:hint="default" w:ascii="Times New Roman" w:hAnsi="Times New Roman" w:eastAsia="宋体" w:cs="Times New Roman"/>
                <w:color w:val="auto"/>
                <w:sz w:val="24"/>
              </w:rPr>
              <w:t>个月</w:t>
            </w:r>
          </w:p>
        </w:tc>
      </w:tr>
      <w:tr w14:paraId="0AC6B7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513" w:type="dxa"/>
            <w:noWrap w:val="0"/>
            <w:tcMar>
              <w:top w:w="16" w:type="dxa"/>
              <w:left w:w="16" w:type="dxa"/>
              <w:right w:w="16" w:type="dxa"/>
            </w:tcMar>
            <w:vAlign w:val="center"/>
          </w:tcPr>
          <w:p w14:paraId="574E637C">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是否开工建设</w:t>
            </w:r>
          </w:p>
        </w:tc>
        <w:tc>
          <w:tcPr>
            <w:tcW w:w="7526" w:type="dxa"/>
            <w:gridSpan w:val="3"/>
            <w:noWrap w:val="0"/>
            <w:vAlign w:val="center"/>
          </w:tcPr>
          <w:p w14:paraId="098363AA">
            <w:pPr>
              <w:keepNext w:val="0"/>
              <w:keepLines w:val="0"/>
              <w:pageBreakBefore w:val="0"/>
              <w:widowControl w:val="0"/>
              <w:kinsoku/>
              <w:wordWrap/>
              <w:overflowPunct/>
              <w:topLinePunct w:val="0"/>
              <w:bidi w:val="0"/>
              <w:adjustRightInd w:val="0"/>
              <w:snapToGrid w:val="0"/>
              <w:spacing w:line="360" w:lineRule="auto"/>
              <w:ind w:firstLine="105"/>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52"/>
            </w:r>
            <w:r>
              <w:rPr>
                <w:rFonts w:hint="default" w:ascii="Times New Roman" w:hAnsi="Times New Roman" w:cs="Times New Roman"/>
                <w:color w:val="auto"/>
                <w:sz w:val="24"/>
              </w:rPr>
              <w:t>否</w:t>
            </w:r>
          </w:p>
          <w:p w14:paraId="1126D7AB">
            <w:pPr>
              <w:keepNext w:val="0"/>
              <w:keepLines w:val="0"/>
              <w:pageBreakBefore w:val="0"/>
              <w:widowControl w:val="0"/>
              <w:kinsoku/>
              <w:wordWrap/>
              <w:overflowPunct/>
              <w:topLinePunct w:val="0"/>
              <w:bidi w:val="0"/>
              <w:adjustRightInd w:val="0"/>
              <w:snapToGrid w:val="0"/>
              <w:spacing w:line="360" w:lineRule="auto"/>
              <w:ind w:firstLine="92"/>
              <w:jc w:val="left"/>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rPr>
              <w:t>□是：</w:t>
            </w:r>
          </w:p>
        </w:tc>
      </w:tr>
      <w:tr w14:paraId="6A0F30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90" w:hRule="atLeast"/>
        </w:trPr>
        <w:tc>
          <w:tcPr>
            <w:tcW w:w="1513" w:type="dxa"/>
            <w:noWrap w:val="0"/>
            <w:tcMar>
              <w:top w:w="16" w:type="dxa"/>
              <w:left w:w="16" w:type="dxa"/>
              <w:right w:w="16" w:type="dxa"/>
            </w:tcMar>
            <w:vAlign w:val="center"/>
          </w:tcPr>
          <w:p w14:paraId="0D936DA0">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cs="Times New Roman"/>
                <w:color w:val="auto"/>
                <w:kern w:val="0"/>
                <w:sz w:val="24"/>
              </w:rPr>
            </w:pPr>
            <w:r>
              <w:rPr>
                <w:rFonts w:hint="default" w:ascii="Times New Roman" w:hAnsi="Times New Roman" w:cs="Times New Roman"/>
                <w:color w:val="auto"/>
                <w:kern w:val="0"/>
                <w:sz w:val="24"/>
              </w:rPr>
              <w:t>专项评价设置情况</w:t>
            </w:r>
          </w:p>
        </w:tc>
        <w:tc>
          <w:tcPr>
            <w:tcW w:w="7526" w:type="dxa"/>
            <w:gridSpan w:val="3"/>
            <w:noWrap w:val="0"/>
            <w:tcMar>
              <w:top w:w="16" w:type="dxa"/>
              <w:left w:w="16" w:type="dxa"/>
              <w:right w:w="16" w:type="dxa"/>
            </w:tcMar>
            <w:vAlign w:val="center"/>
          </w:tcPr>
          <w:p w14:paraId="2BF73705">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eastAsia="宋体" w:cs="Times New Roman"/>
                <w:color w:val="auto"/>
                <w:kern w:val="0"/>
                <w:sz w:val="24"/>
                <w:lang w:eastAsia="zh-CN"/>
              </w:rPr>
            </w:pPr>
            <w:r>
              <w:rPr>
                <w:rFonts w:hint="default" w:ascii="Times New Roman" w:hAnsi="Times New Roman" w:eastAsia="宋体" w:cs="Times New Roman"/>
                <w:color w:val="auto"/>
                <w:kern w:val="0"/>
                <w:sz w:val="24"/>
                <w:lang w:eastAsia="zh-CN"/>
              </w:rPr>
              <w:t>根据《环境影响评价技术导则输变电》（HJ24-2020）导则要求</w:t>
            </w:r>
            <w:r>
              <w:rPr>
                <w:rFonts w:hint="default" w:ascii="Times New Roman" w:hAnsi="Times New Roman" w:cs="Times New Roman"/>
                <w:color w:val="auto"/>
                <w:kern w:val="0"/>
                <w:sz w:val="24"/>
                <w:lang w:eastAsia="zh-CN"/>
              </w:rPr>
              <w:t>无须设置</w:t>
            </w:r>
            <w:r>
              <w:rPr>
                <w:rFonts w:hint="default" w:ascii="Times New Roman" w:hAnsi="Times New Roman" w:eastAsia="宋体" w:cs="Times New Roman"/>
                <w:color w:val="auto"/>
                <w:kern w:val="0"/>
                <w:sz w:val="24"/>
                <w:lang w:eastAsia="zh-CN"/>
              </w:rPr>
              <w:t>电磁环境影响评价专题。</w:t>
            </w:r>
          </w:p>
        </w:tc>
      </w:tr>
      <w:tr w14:paraId="72DB66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30" w:hRule="atLeast"/>
        </w:trPr>
        <w:tc>
          <w:tcPr>
            <w:tcW w:w="1513" w:type="dxa"/>
            <w:noWrap w:val="0"/>
            <w:tcMar>
              <w:top w:w="16" w:type="dxa"/>
              <w:left w:w="16" w:type="dxa"/>
              <w:right w:w="16" w:type="dxa"/>
            </w:tcMar>
            <w:vAlign w:val="center"/>
          </w:tcPr>
          <w:p w14:paraId="2AB8105C">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cs="Times New Roman"/>
                <w:color w:val="auto"/>
                <w:kern w:val="0"/>
                <w:sz w:val="24"/>
              </w:rPr>
            </w:pPr>
            <w:r>
              <w:rPr>
                <w:rFonts w:hint="default" w:ascii="Times New Roman" w:hAnsi="Times New Roman" w:cs="Times New Roman"/>
                <w:color w:val="auto"/>
                <w:sz w:val="24"/>
              </w:rPr>
              <w:t>规划情况</w:t>
            </w:r>
          </w:p>
        </w:tc>
        <w:tc>
          <w:tcPr>
            <w:tcW w:w="7526" w:type="dxa"/>
            <w:gridSpan w:val="3"/>
            <w:noWrap w:val="0"/>
            <w:tcMar>
              <w:top w:w="16" w:type="dxa"/>
              <w:left w:w="16" w:type="dxa"/>
              <w:right w:w="16" w:type="dxa"/>
            </w:tcMar>
            <w:vAlign w:val="center"/>
          </w:tcPr>
          <w:p w14:paraId="65FEA4CD">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cs="Times New Roman"/>
                <w:color w:val="auto"/>
                <w:kern w:val="0"/>
                <w:sz w:val="24"/>
              </w:rPr>
            </w:pPr>
            <w:r>
              <w:rPr>
                <w:rFonts w:hint="default" w:ascii="Times New Roman" w:hAnsi="Times New Roman" w:cs="Times New Roman"/>
                <w:color w:val="auto"/>
                <w:kern w:val="0"/>
                <w:sz w:val="24"/>
              </w:rPr>
              <w:t>无</w:t>
            </w:r>
          </w:p>
        </w:tc>
      </w:tr>
      <w:tr w14:paraId="2E944C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75" w:hRule="atLeast"/>
        </w:trPr>
        <w:tc>
          <w:tcPr>
            <w:tcW w:w="1513" w:type="dxa"/>
            <w:noWrap w:val="0"/>
            <w:tcMar>
              <w:top w:w="16" w:type="dxa"/>
              <w:left w:w="16" w:type="dxa"/>
              <w:right w:w="16" w:type="dxa"/>
            </w:tcMar>
            <w:vAlign w:val="center"/>
          </w:tcPr>
          <w:p w14:paraId="06D0E3B4">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规划环境影响</w:t>
            </w:r>
          </w:p>
          <w:p w14:paraId="45A8AD10">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cs="Times New Roman"/>
                <w:color w:val="auto"/>
                <w:kern w:val="0"/>
                <w:sz w:val="24"/>
              </w:rPr>
            </w:pPr>
            <w:r>
              <w:rPr>
                <w:rFonts w:hint="default" w:ascii="Times New Roman" w:hAnsi="Times New Roman" w:cs="Times New Roman"/>
                <w:color w:val="auto"/>
                <w:sz w:val="24"/>
              </w:rPr>
              <w:t>评价情况</w:t>
            </w:r>
          </w:p>
        </w:tc>
        <w:tc>
          <w:tcPr>
            <w:tcW w:w="7526" w:type="dxa"/>
            <w:gridSpan w:val="3"/>
            <w:noWrap w:val="0"/>
            <w:tcMar>
              <w:top w:w="16" w:type="dxa"/>
              <w:left w:w="16" w:type="dxa"/>
              <w:right w:w="16" w:type="dxa"/>
            </w:tcMar>
            <w:vAlign w:val="center"/>
          </w:tcPr>
          <w:p w14:paraId="5BA66A8C">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auto"/>
                <w:kern w:val="0"/>
                <w:sz w:val="24"/>
              </w:rPr>
            </w:pPr>
            <w:r>
              <w:rPr>
                <w:rFonts w:hint="default" w:ascii="Times New Roman" w:hAnsi="Times New Roman" w:cs="Times New Roman"/>
                <w:color w:val="auto"/>
                <w:kern w:val="0"/>
                <w:sz w:val="24"/>
              </w:rPr>
              <w:t>无</w:t>
            </w:r>
          </w:p>
        </w:tc>
      </w:tr>
      <w:tr w14:paraId="544076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08" w:hRule="atLeast"/>
        </w:trPr>
        <w:tc>
          <w:tcPr>
            <w:tcW w:w="1513" w:type="dxa"/>
            <w:noWrap w:val="0"/>
            <w:tcMar>
              <w:top w:w="16" w:type="dxa"/>
              <w:left w:w="16" w:type="dxa"/>
              <w:right w:w="16" w:type="dxa"/>
            </w:tcMar>
            <w:vAlign w:val="center"/>
          </w:tcPr>
          <w:p w14:paraId="018AD33D">
            <w:pPr>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规划及</w:t>
            </w:r>
            <w:r>
              <w:rPr>
                <w:rFonts w:hint="default" w:ascii="Times New Roman" w:hAnsi="Times New Roman" w:cs="Times New Roman"/>
                <w:color w:val="auto"/>
                <w:sz w:val="24"/>
              </w:rPr>
              <w:t>规划环境影响评价</w:t>
            </w:r>
            <w:r>
              <w:rPr>
                <w:rFonts w:hint="default" w:ascii="Times New Roman" w:hAnsi="Times New Roman" w:cs="Times New Roman"/>
                <w:color w:val="auto"/>
                <w:kern w:val="0"/>
                <w:sz w:val="24"/>
              </w:rPr>
              <w:t>符合性分析</w:t>
            </w:r>
          </w:p>
        </w:tc>
        <w:tc>
          <w:tcPr>
            <w:tcW w:w="7526" w:type="dxa"/>
            <w:gridSpan w:val="3"/>
            <w:noWrap w:val="0"/>
            <w:tcMar>
              <w:top w:w="16" w:type="dxa"/>
              <w:left w:w="16" w:type="dxa"/>
              <w:right w:w="16" w:type="dxa"/>
            </w:tcMar>
            <w:vAlign w:val="center"/>
          </w:tcPr>
          <w:p w14:paraId="798CC97E">
            <w:pPr>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无</w:t>
            </w:r>
          </w:p>
        </w:tc>
      </w:tr>
      <w:tr w14:paraId="12A4A8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513" w:type="dxa"/>
            <w:noWrap w:val="0"/>
            <w:tcMar>
              <w:top w:w="16" w:type="dxa"/>
              <w:left w:w="16" w:type="dxa"/>
              <w:right w:w="16" w:type="dxa"/>
            </w:tcMar>
            <w:vAlign w:val="center"/>
          </w:tcPr>
          <w:p w14:paraId="3E0EB9BB">
            <w:pPr>
              <w:autoSpaceDE w:val="0"/>
              <w:autoSpaceDN w:val="0"/>
              <w:adjustRightInd w:val="0"/>
              <w:snapToGrid w:val="0"/>
              <w:jc w:val="center"/>
              <w:rPr>
                <w:rFonts w:hint="default" w:ascii="Times New Roman" w:hAnsi="Times New Roman" w:cs="Times New Roman"/>
                <w:color w:val="auto"/>
                <w:kern w:val="0"/>
                <w:sz w:val="24"/>
              </w:rPr>
            </w:pPr>
            <w:bookmarkStart w:id="2" w:name="_Hlk56690880"/>
            <w:r>
              <w:rPr>
                <w:rFonts w:hint="default" w:ascii="Times New Roman" w:hAnsi="Times New Roman" w:cs="Times New Roman"/>
                <w:color w:val="auto"/>
                <w:kern w:val="0"/>
                <w:sz w:val="24"/>
              </w:rPr>
              <w:t>其他符合性分析</w:t>
            </w:r>
            <w:bookmarkEnd w:id="2"/>
          </w:p>
        </w:tc>
        <w:tc>
          <w:tcPr>
            <w:tcW w:w="7526" w:type="dxa"/>
            <w:gridSpan w:val="3"/>
            <w:noWrap w:val="0"/>
            <w:tcMar>
              <w:top w:w="16" w:type="dxa"/>
              <w:left w:w="16" w:type="dxa"/>
              <w:right w:w="16" w:type="dxa"/>
            </w:tcMar>
            <w:vAlign w:val="center"/>
          </w:tcPr>
          <w:p w14:paraId="6CABEC32">
            <w:pPr>
              <w:numPr>
                <w:ilvl w:val="0"/>
                <w:numId w:val="0"/>
              </w:numPr>
              <w:spacing w:line="360" w:lineRule="auto"/>
              <w:ind w:firstLine="482" w:firstLineChars="200"/>
              <w:rPr>
                <w:rFonts w:hint="default" w:ascii="Times New Roman" w:hAnsi="Times New Roman" w:cs="Times New Roman"/>
                <w:b/>
                <w:bCs/>
                <w:color w:val="auto"/>
                <w:sz w:val="24"/>
              </w:rPr>
            </w:pPr>
            <w:r>
              <w:rPr>
                <w:rFonts w:hint="default" w:ascii="Times New Roman" w:hAnsi="Times New Roman" w:cs="Times New Roman"/>
                <w:b/>
                <w:bCs/>
                <w:color w:val="auto"/>
                <w:sz w:val="24"/>
                <w:lang w:val="en-US" w:eastAsia="zh-CN"/>
              </w:rPr>
              <w:t>1、</w:t>
            </w:r>
            <w:r>
              <w:rPr>
                <w:rFonts w:hint="default" w:ascii="Times New Roman" w:hAnsi="Times New Roman" w:cs="Times New Roman"/>
                <w:b/>
                <w:bCs/>
                <w:color w:val="auto"/>
                <w:sz w:val="24"/>
              </w:rPr>
              <w:t>与产业政策的符合性分析</w:t>
            </w:r>
          </w:p>
          <w:p w14:paraId="32C7875C">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本项目为</w:t>
            </w:r>
            <w:r>
              <w:rPr>
                <w:rFonts w:hint="default" w:ascii="Times New Roman" w:hAnsi="Times New Roman" w:cs="Times New Roman"/>
                <w:color w:val="auto"/>
                <w:sz w:val="24"/>
                <w:lang w:val="en-US" w:eastAsia="zh-CN"/>
              </w:rPr>
              <w:t>风力发电项目</w:t>
            </w:r>
            <w:r>
              <w:rPr>
                <w:rFonts w:hint="default" w:ascii="Times New Roman" w:hAnsi="Times New Roman" w:cs="Times New Roman"/>
                <w:color w:val="auto"/>
                <w:sz w:val="24"/>
              </w:rPr>
              <w:t>，属于《国民经济行业分类（GB/T4754-2017）》及</w:t>
            </w:r>
            <w:r>
              <w:rPr>
                <w:rFonts w:hint="default" w:ascii="Times New Roman" w:hAnsi="Times New Roman" w:cs="Times New Roman"/>
                <w:color w:val="auto"/>
                <w:sz w:val="24"/>
                <w:lang w:eastAsia="zh-CN"/>
              </w:rPr>
              <w:t>国家统计局</w:t>
            </w:r>
            <w:r>
              <w:rPr>
                <w:rFonts w:hint="default" w:ascii="Times New Roman" w:hAnsi="Times New Roman" w:cs="Times New Roman"/>
                <w:color w:val="auto"/>
                <w:sz w:val="24"/>
              </w:rPr>
              <w:t>《执行国民经济行业分类第1号修改单的通知（国统字〔2019〕66号）文》中“44电力、热力生产和供应业4415风力发电”，项目建设不属于《产业结构调整指导目录（2024年本）》中规定的“鼓励类”“限制类”及“淘汰类”，视为允许类项目。</w:t>
            </w:r>
          </w:p>
          <w:p w14:paraId="0BE76932">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根据《西部地区鼓励类产业目录（2025年本）》，本项目</w:t>
            </w:r>
            <w:r>
              <w:rPr>
                <w:rFonts w:hint="default" w:ascii="Times New Roman" w:hAnsi="Times New Roman" w:cs="Times New Roman"/>
                <w:color w:val="auto"/>
                <w:sz w:val="24"/>
                <w:lang w:eastAsia="zh-CN"/>
              </w:rPr>
              <w:t>属于</w:t>
            </w:r>
            <w:r>
              <w:rPr>
                <w:rFonts w:hint="default" w:ascii="Times New Roman" w:hAnsi="Times New Roman" w:cs="Times New Roman"/>
                <w:color w:val="auto"/>
                <w:sz w:val="24"/>
              </w:rPr>
              <w:t>新疆维吾尔自治区（含新疆生产建设兵团）-3．风力、光伏发电场建设及运营，太阳能发电系统制造，是《西部地区鼓励类产业目录（2025年本）》中列明的鼓励类产业。</w:t>
            </w:r>
          </w:p>
          <w:p w14:paraId="0E023A52">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综上，本项目的建设符合国家产业政策。</w:t>
            </w:r>
          </w:p>
          <w:p w14:paraId="7C5FAC31">
            <w:pPr>
              <w:spacing w:line="360" w:lineRule="auto"/>
              <w:ind w:firstLine="482" w:firstLineChars="200"/>
              <w:rPr>
                <w:rFonts w:hint="default" w:ascii="Times New Roman" w:hAnsi="Times New Roman" w:cs="Times New Roman"/>
                <w:b/>
                <w:bCs/>
                <w:color w:val="auto"/>
                <w:sz w:val="24"/>
              </w:rPr>
            </w:pPr>
            <w:r>
              <w:rPr>
                <w:rFonts w:hint="default" w:ascii="Times New Roman" w:hAnsi="Times New Roman" w:cs="Times New Roman"/>
                <w:b/>
                <w:bCs/>
                <w:color w:val="auto"/>
                <w:sz w:val="24"/>
                <w:lang w:val="en-US" w:eastAsia="zh-CN"/>
              </w:rPr>
              <w:t>2、</w:t>
            </w:r>
            <w:r>
              <w:rPr>
                <w:rFonts w:hint="default" w:ascii="Times New Roman" w:hAnsi="Times New Roman" w:cs="Times New Roman"/>
                <w:b/>
                <w:bCs/>
                <w:color w:val="auto"/>
                <w:sz w:val="24"/>
              </w:rPr>
              <w:t>与“三线一单”的符合性分析</w:t>
            </w:r>
          </w:p>
          <w:p w14:paraId="469305B8">
            <w:pPr>
              <w:widowControl/>
              <w:kinsoku w:val="0"/>
              <w:autoSpaceDE w:val="0"/>
              <w:autoSpaceDN w:val="0"/>
              <w:bidi w:val="0"/>
              <w:adjustRightInd w:val="0"/>
              <w:snapToGrid w:val="0"/>
              <w:spacing w:line="360" w:lineRule="auto"/>
              <w:ind w:firstLine="480" w:firstLineChars="200"/>
              <w:jc w:val="left"/>
              <w:textAlignment w:val="baseline"/>
              <w:rPr>
                <w:rFonts w:hint="default" w:ascii="Times New Roman" w:hAnsi="Times New Roman" w:eastAsia="宋体" w:cs="Times New Roman"/>
                <w:snapToGrid w:val="0"/>
                <w:color w:val="auto"/>
                <w:kern w:val="0"/>
                <w:sz w:val="24"/>
                <w:lang w:eastAsia="en-US"/>
              </w:rPr>
            </w:pPr>
            <w:r>
              <w:rPr>
                <w:rFonts w:hint="default" w:ascii="Times New Roman" w:hAnsi="Times New Roman" w:eastAsia="宋体" w:cs="Times New Roman"/>
                <w:snapToGrid w:val="0"/>
                <w:color w:val="auto"/>
                <w:kern w:val="0"/>
                <w:sz w:val="24"/>
                <w:lang w:eastAsia="zh-CN"/>
              </w:rPr>
              <w:t>（</w:t>
            </w:r>
            <w:r>
              <w:rPr>
                <w:rFonts w:hint="default" w:ascii="Times New Roman" w:hAnsi="Times New Roman" w:eastAsia="宋体" w:cs="Times New Roman"/>
                <w:snapToGrid w:val="0"/>
                <w:color w:val="auto"/>
                <w:kern w:val="0"/>
                <w:sz w:val="24"/>
                <w:lang w:val="en-US" w:eastAsia="zh-CN"/>
              </w:rPr>
              <w:t>1</w:t>
            </w:r>
            <w:r>
              <w:rPr>
                <w:rFonts w:hint="default" w:ascii="Times New Roman" w:hAnsi="Times New Roman" w:eastAsia="宋体" w:cs="Times New Roman"/>
                <w:snapToGrid w:val="0"/>
                <w:color w:val="auto"/>
                <w:kern w:val="0"/>
                <w:sz w:val="24"/>
                <w:lang w:eastAsia="zh-CN"/>
              </w:rPr>
              <w:t>）</w:t>
            </w:r>
            <w:r>
              <w:rPr>
                <w:rFonts w:hint="default" w:ascii="Times New Roman" w:hAnsi="Times New Roman" w:eastAsia="宋体" w:cs="Times New Roman"/>
                <w:snapToGrid w:val="0"/>
                <w:color w:val="auto"/>
                <w:kern w:val="0"/>
                <w:sz w:val="24"/>
                <w:lang w:eastAsia="en-US"/>
              </w:rPr>
              <w:t>环境管控单元划分</w:t>
            </w:r>
          </w:p>
          <w:p w14:paraId="40D7D00C">
            <w:pPr>
              <w:widowControl/>
              <w:kinsoku w:val="0"/>
              <w:autoSpaceDE w:val="0"/>
              <w:autoSpaceDN w:val="0"/>
              <w:bidi w:val="0"/>
              <w:adjustRightInd w:val="0"/>
              <w:snapToGrid w:val="0"/>
              <w:spacing w:line="360" w:lineRule="auto"/>
              <w:ind w:firstLine="480" w:firstLineChars="200"/>
              <w:jc w:val="left"/>
              <w:textAlignment w:val="baseline"/>
              <w:rPr>
                <w:rFonts w:hint="default" w:ascii="Times New Roman" w:hAnsi="Times New Roman" w:eastAsia="宋体" w:cs="Times New Roman"/>
                <w:snapToGrid w:val="0"/>
                <w:color w:val="auto"/>
                <w:kern w:val="0"/>
                <w:sz w:val="24"/>
                <w:lang w:eastAsia="en-US"/>
              </w:rPr>
            </w:pPr>
            <w:r>
              <w:rPr>
                <w:rFonts w:hint="default" w:ascii="Times New Roman" w:hAnsi="Times New Roman" w:eastAsia="宋体" w:cs="Times New Roman"/>
                <w:snapToGrid w:val="0"/>
                <w:color w:val="auto"/>
                <w:kern w:val="0"/>
                <w:sz w:val="24"/>
                <w:lang w:eastAsia="en-US"/>
              </w:rPr>
              <w:t>根据《新疆维吾尔自治区“三线一单”生态环境分区管控方案》及《新疆维吾尔自治区生态环境分区管控动态更新成果》，自治区共划定1777个环境管控单元，分为优先保护单元、重点管控单元和一般管控单元三类，实施分类管控。优先保护单元925个，主要包括生态保护红线区和生态保护红线区以外的饮用水水源保护区、水源涵养区、防风固沙区、土地沙化防控区、水土流失防控区等一般生态空间管控区。生态保护红线区执行生态保护红线管理办法的有关要求；一般生态空间管控区应以生态环境保护优先为原则，开发建设活动应严格执行相关法律法规要求，严守生态环境质量底线，确保生态功能不降低。重点管控单元713个，主要包括城镇建成区、工业园区和开发强度大、污染物排放强度高的工业聚集区等。重点管控单元要着力优化空间布局，不断提升资源利用效率，有针对性地加强污染物排放管控和环境风险防控，解决生态环境质量不达标、生态环境风险高等问题。一般管控单元139个，主要包括优先保护单元和重点管控单元之外的其他区域。一般管控单元主要落实生态环境保护基本要求，推动区域环境</w:t>
            </w:r>
            <w:r>
              <w:rPr>
                <w:rFonts w:hint="default" w:ascii="Times New Roman" w:hAnsi="Times New Roman" w:eastAsia="宋体" w:cs="Times New Roman"/>
                <w:snapToGrid w:val="0"/>
                <w:color w:val="auto"/>
                <w:kern w:val="0"/>
                <w:sz w:val="24"/>
                <w:lang w:eastAsia="en-US"/>
              </w:rPr>
              <mc:AlternateContent>
                <mc:Choice Requires="wps">
                  <w:drawing>
                    <wp:anchor distT="0" distB="0" distL="114300" distR="114300" simplePos="0" relativeHeight="251661312" behindDoc="0" locked="0" layoutInCell="0" allowOverlap="1">
                      <wp:simplePos x="0" y="0"/>
                      <wp:positionH relativeFrom="page">
                        <wp:posOffset>1141095</wp:posOffset>
                      </wp:positionH>
                      <wp:positionV relativeFrom="page">
                        <wp:posOffset>898525</wp:posOffset>
                      </wp:positionV>
                      <wp:extent cx="5278755" cy="13970"/>
                      <wp:effectExtent l="0" t="0" r="0" b="0"/>
                      <wp:wrapNone/>
                      <wp:docPr id="3" name="任意多边形 3"/>
                      <wp:cNvGraphicFramePr/>
                      <a:graphic xmlns:a="http://schemas.openxmlformats.org/drawingml/2006/main">
                        <a:graphicData uri="http://schemas.microsoft.com/office/word/2010/wordprocessingShape">
                          <wps:wsp>
                            <wps:cNvSpPr/>
                            <wps:spPr>
                              <a:xfrm>
                                <a:off x="0" y="0"/>
                                <a:ext cx="5278755" cy="13970"/>
                              </a:xfrm>
                              <a:custGeom>
                                <a:avLst/>
                                <a:gdLst/>
                                <a:ahLst/>
                                <a:cxnLst/>
                                <a:pathLst>
                                  <a:path w="8312" h="22">
                                    <a:moveTo>
                                      <a:pt x="0" y="0"/>
                                    </a:moveTo>
                                    <a:lnTo>
                                      <a:pt x="8312" y="0"/>
                                    </a:lnTo>
                                    <a:lnTo>
                                      <a:pt x="8312" y="21"/>
                                    </a:lnTo>
                                    <a:lnTo>
                                      <a:pt x="0" y="21"/>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9.85pt;margin-top:70.75pt;height:1.1pt;width:415.65pt;mso-position-horizontal-relative:page;mso-position-vertical-relative:page;z-index:251661312;mso-width-relative:page;mso-height-relative:page;" fillcolor="#000000" filled="t" stroked="f" coordsize="8312,22" o:allowincell="f" o:gfxdata="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KHrLRdsAAAAMAQAADwAAAAAA&#10;AAABACAAAAAiAAAAZHJzL2Rvd25yZXYueG1sUEsBAhQAFAAAAAgAh07iQGH4rIMQAgAAfAQAAA4A&#10;AAAAAAAAAQAgAAAAKgEAAGRycy9lMm9Eb2MueG1sUEsFBgAAAAAGAAYAWQEAAKwFAAAAAA==&#10;" path="m0,0l8312,0,8312,21,0,21,0,0xe">
                      <v:fill on="t" focussize="0,0"/>
                      <v:stroke on="f"/>
                      <v:imagedata o:title=""/>
                      <o:lock v:ext="edit" aspectratio="f"/>
                    </v:shape>
                  </w:pict>
                </mc:Fallback>
              </mc:AlternateContent>
            </w:r>
            <w:r>
              <w:rPr>
                <w:rFonts w:hint="default" w:ascii="Times New Roman" w:hAnsi="Times New Roman" w:eastAsia="宋体" w:cs="Times New Roman"/>
                <w:snapToGrid w:val="0"/>
                <w:color w:val="auto"/>
                <w:kern w:val="0"/>
                <w:sz w:val="24"/>
                <w:lang w:eastAsia="en-US"/>
              </w:rPr>
              <w:t>质量持续改善。</w:t>
            </w:r>
          </w:p>
          <w:p w14:paraId="5A547C26">
            <w:pPr>
              <w:widowControl/>
              <w:kinsoku w:val="0"/>
              <w:autoSpaceDE w:val="0"/>
              <w:autoSpaceDN w:val="0"/>
              <w:bidi w:val="0"/>
              <w:adjustRightInd w:val="0"/>
              <w:snapToGrid w:val="0"/>
              <w:spacing w:line="360" w:lineRule="auto"/>
              <w:ind w:firstLine="480" w:firstLineChars="200"/>
              <w:jc w:val="left"/>
              <w:textAlignment w:val="baseline"/>
              <w:rPr>
                <w:rFonts w:hint="default" w:ascii="Times New Roman" w:hAnsi="Times New Roman" w:eastAsia="宋体" w:cs="Times New Roman"/>
                <w:snapToGrid w:val="0"/>
                <w:color w:val="auto"/>
                <w:kern w:val="0"/>
                <w:sz w:val="24"/>
                <w:lang w:eastAsia="en-US"/>
              </w:rPr>
            </w:pPr>
            <w:r>
              <w:rPr>
                <w:rFonts w:hint="default" w:ascii="Times New Roman" w:hAnsi="Times New Roman" w:eastAsia="宋体" w:cs="Times New Roman"/>
                <w:snapToGrid w:val="0"/>
                <w:color w:val="auto"/>
                <w:kern w:val="0"/>
                <w:sz w:val="24"/>
                <w:lang w:eastAsia="en-US"/>
              </w:rPr>
              <w:t>（2）分区管控要求</w:t>
            </w:r>
          </w:p>
          <w:p w14:paraId="46EDF4E3">
            <w:pPr>
              <w:widowControl/>
              <w:kinsoku w:val="0"/>
              <w:autoSpaceDE w:val="0"/>
              <w:autoSpaceDN w:val="0"/>
              <w:bidi w:val="0"/>
              <w:adjustRightInd w:val="0"/>
              <w:snapToGrid w:val="0"/>
              <w:spacing w:line="360" w:lineRule="auto"/>
              <w:ind w:firstLine="480" w:firstLineChars="200"/>
              <w:jc w:val="left"/>
              <w:textAlignment w:val="baseline"/>
              <w:rPr>
                <w:rFonts w:hint="default" w:ascii="Times New Roman" w:hAnsi="Times New Roman" w:eastAsia="宋体" w:cs="Times New Roman"/>
                <w:snapToGrid w:val="0"/>
                <w:color w:val="auto"/>
                <w:kern w:val="0"/>
                <w:sz w:val="24"/>
                <w:lang w:eastAsia="en-US"/>
              </w:rPr>
            </w:pPr>
            <w:r>
              <w:rPr>
                <w:rFonts w:hint="default" w:ascii="Times New Roman" w:hAnsi="Times New Roman" w:eastAsia="宋体" w:cs="Times New Roman"/>
                <w:snapToGrid w:val="0"/>
                <w:color w:val="auto"/>
                <w:kern w:val="0"/>
                <w:sz w:val="24"/>
                <w:lang w:eastAsia="en-US"/>
              </w:rPr>
              <w:t>《新疆维吾尔自治区“三线一单”生态环境分区管控方案》中提到，“基于新疆各地自然地理条件、资源环境禀赋、经济社会发展状况的差异性，将全区划分为七大片区，包括北疆北部（塔城地区、阿勒泰地区）、伊犁河谷、克奎乌-博州、乌昌石、吐哈、天山南坡（巴州、阿克苏地区）和南疆三地州片区。北疆北部片区重点突出阿尔泰山、准噶尔西部山地等水源涵养功能和生物多样性功能维护、额尔齐斯河和额敏河环境风险防控；伊犁河谷片区重点突出西天山水源涵养功能和生物多样性功能维护、伊犁河环境风险防控、城镇大气污染控制；克奎乌博州片区重点突出大气污染治理、</w:t>
            </w:r>
            <w:r>
              <w:rPr>
                <w:rFonts w:hint="default" w:ascii="Times New Roman" w:hAnsi="Times New Roman" w:cs="Times New Roman"/>
                <w:snapToGrid w:val="0"/>
                <w:color w:val="auto"/>
                <w:kern w:val="0"/>
                <w:sz w:val="24"/>
                <w:lang w:eastAsia="zh-CN"/>
              </w:rPr>
              <w:t>生物多样性保护</w:t>
            </w:r>
            <w:r>
              <w:rPr>
                <w:rFonts w:hint="default" w:ascii="Times New Roman" w:hAnsi="Times New Roman" w:eastAsia="宋体" w:cs="Times New Roman"/>
                <w:snapToGrid w:val="0"/>
                <w:color w:val="auto"/>
                <w:kern w:val="0"/>
                <w:sz w:val="24"/>
                <w:lang w:eastAsia="en-US"/>
              </w:rPr>
              <w:t>和荒漠化防治；乌昌石片区重点突出大气污染治理、资源能源利用效率提升；吐哈片区重点突出荒漠化防治、水资源利用效率提升；天山南坡片区重点突出塔里木盆地北缘荒漠化防治、保障生态用水和博斯腾湖综合治理；南疆三地州片区重点突出塔里木盆地南缘荒漠化防治、土地利用效率和水资源利用效率提升。”</w:t>
            </w:r>
          </w:p>
          <w:p w14:paraId="4B482D6E">
            <w:pPr>
              <w:widowControl/>
              <w:kinsoku w:val="0"/>
              <w:autoSpaceDE w:val="0"/>
              <w:autoSpaceDN w:val="0"/>
              <w:bidi w:val="0"/>
              <w:adjustRightInd w:val="0"/>
              <w:snapToGrid w:val="0"/>
              <w:spacing w:line="360" w:lineRule="auto"/>
              <w:ind w:firstLine="480" w:firstLineChars="200"/>
              <w:jc w:val="left"/>
              <w:textAlignment w:val="baseline"/>
              <w:rPr>
                <w:rFonts w:hint="default" w:ascii="Times New Roman" w:hAnsi="Times New Roman" w:eastAsia="宋体" w:cs="Times New Roman"/>
                <w:snapToGrid w:val="0"/>
                <w:color w:val="auto"/>
                <w:kern w:val="0"/>
                <w:sz w:val="24"/>
                <w:lang w:eastAsia="en-US"/>
              </w:rPr>
            </w:pPr>
            <w:r>
              <w:rPr>
                <w:rFonts w:hint="default" w:ascii="Times New Roman" w:hAnsi="Times New Roman" w:eastAsia="宋体" w:cs="Times New Roman"/>
                <w:snapToGrid w:val="0"/>
                <w:color w:val="auto"/>
                <w:kern w:val="0"/>
                <w:sz w:val="24"/>
                <w:lang w:eastAsia="en-US"/>
              </w:rPr>
              <w:t>本项目位于昌吉回族自治州</w:t>
            </w:r>
            <w:r>
              <w:rPr>
                <w:rFonts w:hint="default" w:ascii="Times New Roman" w:hAnsi="Times New Roman" w:cs="Times New Roman"/>
                <w:snapToGrid w:val="0"/>
                <w:color w:val="auto"/>
                <w:kern w:val="0"/>
                <w:sz w:val="24"/>
                <w:lang w:eastAsia="zh-CN"/>
              </w:rPr>
              <w:t>木垒哈萨克自治县</w:t>
            </w:r>
            <w:r>
              <w:rPr>
                <w:rFonts w:hint="default" w:ascii="Times New Roman" w:hAnsi="Times New Roman" w:eastAsia="宋体" w:cs="Times New Roman"/>
                <w:snapToGrid w:val="0"/>
                <w:color w:val="auto"/>
                <w:kern w:val="0"/>
                <w:sz w:val="24"/>
                <w:lang w:eastAsia="en-US"/>
              </w:rPr>
              <w:t>，属于七大片区中的乌昌石片区。根据《新疆维吾尔自治区七大片区“三线一单”生态环境分区管控要求》，乌昌石片区管控要求为：</w:t>
            </w:r>
          </w:p>
          <w:p w14:paraId="0C6D1E67">
            <w:pPr>
              <w:widowControl/>
              <w:kinsoku w:val="0"/>
              <w:autoSpaceDE w:val="0"/>
              <w:autoSpaceDN w:val="0"/>
              <w:bidi w:val="0"/>
              <w:adjustRightInd w:val="0"/>
              <w:snapToGrid w:val="0"/>
              <w:spacing w:line="360" w:lineRule="auto"/>
              <w:ind w:firstLine="480" w:firstLineChars="200"/>
              <w:jc w:val="left"/>
              <w:textAlignment w:val="baseline"/>
              <w:rPr>
                <w:rFonts w:hint="default" w:ascii="Times New Roman" w:hAnsi="Times New Roman" w:eastAsia="宋体" w:cs="Times New Roman"/>
                <w:snapToGrid w:val="0"/>
                <w:color w:val="auto"/>
                <w:kern w:val="0"/>
                <w:sz w:val="24"/>
                <w:lang w:eastAsia="en-US"/>
              </w:rPr>
            </w:pPr>
            <w:r>
              <w:rPr>
                <w:rFonts w:hint="default" w:ascii="Times New Roman" w:hAnsi="Times New Roman" w:eastAsia="宋体" w:cs="Times New Roman"/>
                <w:snapToGrid w:val="0"/>
                <w:color w:val="auto"/>
                <w:kern w:val="0"/>
                <w:sz w:val="24"/>
                <w:lang w:eastAsia="en-US"/>
              </w:rPr>
              <w:t>“乌昌石片区包括乌鲁木齐市、昌吉回族自治州和沙湾市。除国家规划项目外，乌鲁木齐市七区一县、昌吉市、阜康市、玛纳斯县、呼图壁县、沙湾市建成区及周边敏感区域内不再布局建设煤化工、电解铝、燃煤纯发电机组、金属硅、碳化硅、聚氯乙烯（电石法）、焦炭（含半焦）等新增产能项目，具备风光电清洁供暖建设条件的区域原则上不新批热电联产项目。坚持属地负责与区域大气污染联防联控相结合，以明显降低细颗粒物浓度为重点，协同推进“乌-昌-石”区域大气环境治理，强化与生产建设兵团第六师、第八师、第十一师、第十二师的同防同治，确保区域环境空气质量持续改善。所有新建、改建、扩建工业项目执行最严格的大气污染物排放标准。强化氮氧化物深度治理。强化挥发性有机物污染防治措施。推广使用低挥发性有机物原辅料，推动有条件的园区（工业集聚区）建设集中喷涂工程中心，配备高效治污设施，替代企业独立喷涂工序。</w:t>
            </w:r>
          </w:p>
          <w:p w14:paraId="67719CA0">
            <w:pPr>
              <w:widowControl/>
              <w:kinsoku w:val="0"/>
              <w:autoSpaceDE w:val="0"/>
              <w:autoSpaceDN w:val="0"/>
              <w:bidi w:val="0"/>
              <w:adjustRightInd w:val="0"/>
              <w:snapToGrid w:val="0"/>
              <w:spacing w:line="360" w:lineRule="auto"/>
              <w:ind w:firstLine="480" w:firstLineChars="200"/>
              <w:jc w:val="left"/>
              <w:textAlignment w:val="baseline"/>
              <w:rPr>
                <w:rFonts w:hint="default" w:ascii="Times New Roman" w:hAnsi="Times New Roman" w:eastAsia="宋体" w:cs="Times New Roman"/>
                <w:snapToGrid w:val="0"/>
                <w:color w:val="auto"/>
                <w:kern w:val="0"/>
                <w:sz w:val="24"/>
                <w:lang w:eastAsia="en-US"/>
              </w:rPr>
            </w:pPr>
            <w:r>
              <w:rPr>
                <w:rFonts w:hint="default" w:ascii="Times New Roman" w:hAnsi="Times New Roman" w:eastAsia="宋体" w:cs="Times New Roman"/>
                <w:snapToGrid w:val="0"/>
                <w:color w:val="auto"/>
                <w:kern w:val="0"/>
                <w:sz w:val="24"/>
                <w:lang w:eastAsia="en-US"/>
              </w:rPr>
              <w:t>强化企业清洁生产改造，推进节水型企业、节水型工业园区建设，提高资源</w:t>
            </w:r>
            <w:r>
              <w:rPr>
                <w:rFonts w:hint="default" w:ascii="Times New Roman" w:hAnsi="Times New Roman" w:eastAsia="宋体" w:cs="Times New Roman"/>
                <w:snapToGrid w:val="0"/>
                <w:color w:val="auto"/>
                <w:kern w:val="0"/>
                <w:sz w:val="24"/>
                <w:lang w:eastAsia="en-US"/>
              </w:rPr>
              <mc:AlternateContent>
                <mc:Choice Requires="wps">
                  <w:drawing>
                    <wp:anchor distT="0" distB="0" distL="114300" distR="114300" simplePos="0" relativeHeight="251662336" behindDoc="0" locked="0" layoutInCell="0" allowOverlap="1">
                      <wp:simplePos x="0" y="0"/>
                      <wp:positionH relativeFrom="page">
                        <wp:posOffset>1141095</wp:posOffset>
                      </wp:positionH>
                      <wp:positionV relativeFrom="page">
                        <wp:posOffset>898525</wp:posOffset>
                      </wp:positionV>
                      <wp:extent cx="5278755" cy="13970"/>
                      <wp:effectExtent l="0" t="0" r="0" b="0"/>
                      <wp:wrapNone/>
                      <wp:docPr id="9" name="任意多边形 9"/>
                      <wp:cNvGraphicFramePr/>
                      <a:graphic xmlns:a="http://schemas.openxmlformats.org/drawingml/2006/main">
                        <a:graphicData uri="http://schemas.microsoft.com/office/word/2010/wordprocessingShape">
                          <wps:wsp>
                            <wps:cNvSpPr/>
                            <wps:spPr>
                              <a:xfrm>
                                <a:off x="0" y="0"/>
                                <a:ext cx="5278755" cy="13970"/>
                              </a:xfrm>
                              <a:custGeom>
                                <a:avLst/>
                                <a:gdLst/>
                                <a:ahLst/>
                                <a:cxnLst/>
                                <a:pathLst>
                                  <a:path w="8312" h="22">
                                    <a:moveTo>
                                      <a:pt x="0" y="0"/>
                                    </a:moveTo>
                                    <a:lnTo>
                                      <a:pt x="8312" y="0"/>
                                    </a:lnTo>
                                    <a:lnTo>
                                      <a:pt x="8312" y="21"/>
                                    </a:lnTo>
                                    <a:lnTo>
                                      <a:pt x="0" y="21"/>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9.85pt;margin-top:70.75pt;height:1.1pt;width:415.65pt;mso-position-horizontal-relative:page;mso-position-vertical-relative:page;z-index:251662336;mso-width-relative:page;mso-height-relative:page;" fillcolor="#000000" filled="t" stroked="f" coordsize="8312,22" o:allowincell="f" o:gfxdata="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KHrLRdsAAAAMAQAADwAAAAAA&#10;AAABACAAAAAiAAAAZHJzL2Rvd25yZXYueG1sUEsBAhQAFAAAAAgAh07iQAzjfAAQAgAAfAQAAA4A&#10;AAAAAAAAAQAgAAAAKgEAAGRycy9lMm9Eb2MueG1sUEsFBgAAAAAGAAYAWQEAAKwFAAAAAA==&#10;" path="m0,0l8312,0,8312,21,0,21,0,0xe">
                      <v:fill on="t" focussize="0,0"/>
                      <v:stroke on="f"/>
                      <v:imagedata o:title=""/>
                      <o:lock v:ext="edit" aspectratio="f"/>
                    </v:shape>
                  </w:pict>
                </mc:Fallback>
              </mc:AlternateContent>
            </w:r>
            <w:r>
              <w:rPr>
                <w:rFonts w:hint="default" w:ascii="Times New Roman" w:hAnsi="Times New Roman" w:eastAsia="宋体" w:cs="Times New Roman"/>
                <w:snapToGrid w:val="0"/>
                <w:color w:val="auto"/>
                <w:kern w:val="0"/>
                <w:sz w:val="24"/>
                <w:lang w:eastAsia="en-US"/>
              </w:rPr>
              <w:t>集约节约利用水平。积极推进地下水超采治理，逐步压减地下水超采量，实现地下水采补平衡。强化油（气）资源开发区土壤环境污染综合整治。加强涉重金属行业污染防控与工业废物处理处置。</w:t>
            </w:r>
          </w:p>
          <w:p w14:paraId="7A12EDA4">
            <w:pPr>
              <w:widowControl/>
              <w:kinsoku w:val="0"/>
              <w:autoSpaceDE w:val="0"/>
              <w:autoSpaceDN w:val="0"/>
              <w:bidi w:val="0"/>
              <w:adjustRightInd w:val="0"/>
              <w:snapToGrid w:val="0"/>
              <w:spacing w:line="360" w:lineRule="auto"/>
              <w:ind w:firstLine="480" w:firstLineChars="200"/>
              <w:jc w:val="left"/>
              <w:textAlignment w:val="baseline"/>
              <w:rPr>
                <w:rFonts w:hint="default" w:ascii="Times New Roman" w:hAnsi="Times New Roman" w:eastAsia="宋体" w:cs="Times New Roman"/>
                <w:snapToGrid w:val="0"/>
                <w:color w:val="auto"/>
                <w:kern w:val="0"/>
                <w:sz w:val="24"/>
                <w:lang w:eastAsia="en-US"/>
              </w:rPr>
            </w:pPr>
            <w:r>
              <w:rPr>
                <w:rFonts w:hint="default" w:ascii="Times New Roman" w:hAnsi="Times New Roman" w:eastAsia="宋体" w:cs="Times New Roman"/>
                <w:snapToGrid w:val="0"/>
                <w:color w:val="auto"/>
                <w:kern w:val="0"/>
                <w:sz w:val="24"/>
                <w:lang w:eastAsia="en-US"/>
              </w:rPr>
              <w:t>煤炭、石油、天然气开发单位应当制定生态保护和恢复治理方案，并予以实施。生态保护和恢复治理方案内容应当向社会公布，接受社会监督。”</w:t>
            </w:r>
          </w:p>
          <w:p w14:paraId="59F31E90">
            <w:pPr>
              <w:widowControl/>
              <w:kinsoku w:val="0"/>
              <w:autoSpaceDE w:val="0"/>
              <w:autoSpaceDN w:val="0"/>
              <w:bidi w:val="0"/>
              <w:adjustRightInd w:val="0"/>
              <w:snapToGrid w:val="0"/>
              <w:spacing w:line="360" w:lineRule="auto"/>
              <w:ind w:firstLine="480" w:firstLineChars="200"/>
              <w:jc w:val="left"/>
              <w:textAlignment w:val="baseline"/>
              <w:rPr>
                <w:rFonts w:hint="default" w:ascii="Times New Roman" w:hAnsi="Times New Roman" w:eastAsia="宋体" w:cs="Times New Roman"/>
                <w:snapToGrid w:val="0"/>
                <w:color w:val="auto"/>
                <w:kern w:val="0"/>
                <w:sz w:val="24"/>
                <w:lang w:eastAsia="en-US"/>
              </w:rPr>
            </w:pPr>
            <w:r>
              <w:rPr>
                <w:rFonts w:hint="default" w:ascii="Times New Roman" w:hAnsi="Times New Roman" w:eastAsia="宋体" w:cs="Times New Roman"/>
                <w:snapToGrid w:val="0"/>
                <w:color w:val="auto"/>
                <w:kern w:val="0"/>
                <w:sz w:val="24"/>
                <w:lang w:eastAsia="en-US"/>
              </w:rPr>
              <w:t>本项目施工期较短，施工期产生的废气主要为扬尘、机械废气等，施工期废气污染相对集中且排放量较小，这种污染是短期的，工程结束后，将不复存在；项目运营后，除道路扬尘及汽车尾气外，无其他废气污染物产生，且道路扬尘产生量较少。风能是可再生能源，不同于火电项目，不用消耗任何燃料，每年可为国家节约大量标煤，相应减少二氧化硫、氮氧化物、烟尘以及温室气体的排放，将对改善区域环境空气质量作出贡献。项目施工期间，按照本次评价的要求，可最大程度降低地表扰动、减少对生态环境的破坏。</w:t>
            </w:r>
          </w:p>
          <w:p w14:paraId="1A7674B5">
            <w:pPr>
              <w:widowControl/>
              <w:kinsoku w:val="0"/>
              <w:autoSpaceDE w:val="0"/>
              <w:autoSpaceDN w:val="0"/>
              <w:bidi w:val="0"/>
              <w:adjustRightInd w:val="0"/>
              <w:snapToGrid w:val="0"/>
              <w:spacing w:line="360" w:lineRule="auto"/>
              <w:ind w:firstLine="480" w:firstLineChars="200"/>
              <w:jc w:val="left"/>
              <w:textAlignment w:val="baseline"/>
              <w:rPr>
                <w:rFonts w:hint="default" w:ascii="Times New Roman" w:hAnsi="Times New Roman" w:eastAsia="宋体" w:cs="Times New Roman"/>
                <w:snapToGrid w:val="0"/>
                <w:color w:val="auto"/>
                <w:kern w:val="0"/>
                <w:sz w:val="24"/>
                <w:lang w:eastAsia="en-US"/>
              </w:rPr>
            </w:pPr>
            <w:r>
              <w:rPr>
                <w:rFonts w:hint="default" w:ascii="Times New Roman" w:hAnsi="Times New Roman" w:eastAsia="宋体" w:cs="Times New Roman"/>
                <w:snapToGrid w:val="0"/>
                <w:color w:val="auto"/>
                <w:kern w:val="0"/>
                <w:sz w:val="24"/>
                <w:lang w:eastAsia="en-US"/>
              </w:rPr>
              <w:t>综上，本项目建设符合《新疆维吾尔自治区“三线一单”生态环境分区管控方案》及《新疆维吾尔自治区生态环境分区管控动态更新成果》的相关要求。</w:t>
            </w:r>
          </w:p>
          <w:p w14:paraId="17838B6A">
            <w:pPr>
              <w:widowControl/>
              <w:kinsoku w:val="0"/>
              <w:autoSpaceDE w:val="0"/>
              <w:autoSpaceDN w:val="0"/>
              <w:bidi w:val="0"/>
              <w:adjustRightInd w:val="0"/>
              <w:snapToGrid w:val="0"/>
              <w:spacing w:line="360" w:lineRule="auto"/>
              <w:ind w:firstLine="482" w:firstLineChars="200"/>
              <w:jc w:val="left"/>
              <w:textAlignment w:val="baseline"/>
              <w:rPr>
                <w:rFonts w:hint="default" w:ascii="Times New Roman" w:hAnsi="Times New Roman" w:eastAsia="宋体" w:cs="Times New Roman"/>
                <w:snapToGrid w:val="0"/>
                <w:color w:val="auto"/>
                <w:kern w:val="0"/>
                <w:sz w:val="24"/>
                <w:szCs w:val="24"/>
                <w:lang w:eastAsia="en-US"/>
              </w:rPr>
            </w:pP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val="en-US" w:eastAsia="zh-CN"/>
              </w:rPr>
              <w:t>与</w:t>
            </w:r>
            <w:r>
              <w:rPr>
                <w:rFonts w:hint="default" w:ascii="Times New Roman" w:hAnsi="Times New Roman" w:cs="Times New Roman"/>
                <w:b/>
                <w:bCs/>
                <w:color w:val="auto"/>
                <w:sz w:val="24"/>
                <w:szCs w:val="24"/>
                <w:highlight w:val="none"/>
                <w:lang w:val="en-US" w:eastAsia="zh-CN"/>
              </w:rPr>
              <w:t>昌吉州</w:t>
            </w:r>
            <w:r>
              <w:rPr>
                <w:rFonts w:hint="default" w:ascii="Times New Roman" w:hAnsi="Times New Roman" w:eastAsia="宋体" w:cs="Times New Roman"/>
                <w:b/>
                <w:bCs/>
                <w:color w:val="auto"/>
                <w:sz w:val="24"/>
                <w:szCs w:val="24"/>
                <w:highlight w:val="none"/>
                <w:lang w:val="en-US" w:eastAsia="zh-CN"/>
              </w:rPr>
              <w:t>“三线一单”环境管控单元生态环境准入清单</w:t>
            </w:r>
            <w:r>
              <w:rPr>
                <w:rFonts w:hint="default" w:ascii="Times New Roman" w:hAnsi="Times New Roman" w:eastAsia="宋体" w:cs="Times New Roman"/>
                <w:b/>
                <w:bCs/>
                <w:color w:val="auto"/>
                <w:sz w:val="24"/>
                <w:szCs w:val="24"/>
                <w:highlight w:val="none"/>
                <w:lang w:val="en-US" w:eastAsia="zh-CN"/>
              </w:rPr>
              <w:t>（2023版）</w:t>
            </w:r>
            <w:r>
              <w:rPr>
                <w:rFonts w:hint="default" w:ascii="Times New Roman" w:hAnsi="Times New Roman" w:eastAsia="宋体" w:cs="Times New Roman"/>
                <w:b/>
                <w:bCs/>
                <w:color w:val="auto"/>
                <w:sz w:val="24"/>
                <w:szCs w:val="24"/>
                <w:highlight w:val="none"/>
                <w:lang w:val="en-US" w:eastAsia="zh-CN"/>
              </w:rPr>
              <w:t>符合性分析</w:t>
            </w:r>
          </w:p>
          <w:p w14:paraId="2E557EB0">
            <w:pPr>
              <w:pStyle w:val="29"/>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4"/>
                <w:szCs w:val="24"/>
                <w:highlight w:val="none"/>
                <w:vertAlign w:val="baseline"/>
                <w:lang w:val="en-US" w:eastAsia="zh-CN"/>
              </w:rPr>
            </w:pPr>
            <w:r>
              <w:rPr>
                <w:rFonts w:hint="default" w:ascii="Times New Roman" w:hAnsi="Times New Roman" w:eastAsia="宋体" w:cs="Times New Roman"/>
                <w:b/>
                <w:bCs/>
                <w:color w:val="auto"/>
                <w:sz w:val="21"/>
                <w:szCs w:val="21"/>
                <w:highlight w:val="none"/>
              </w:rPr>
              <w:t>表</w:t>
            </w:r>
            <w:r>
              <w:rPr>
                <w:rFonts w:hint="default" w:ascii="Times New Roman" w:hAnsi="Times New Roman" w:eastAsia="宋体" w:cs="Times New Roman"/>
                <w:b/>
                <w:bCs/>
                <w:color w:val="auto"/>
                <w:sz w:val="21"/>
                <w:szCs w:val="21"/>
                <w:highlight w:val="none"/>
                <w:lang w:val="en-US" w:eastAsia="zh-CN"/>
              </w:rPr>
              <w:t>1-1项目与</w:t>
            </w:r>
            <w:r>
              <w:rPr>
                <w:rFonts w:hint="default" w:ascii="Times New Roman" w:hAnsi="Times New Roman" w:cs="Times New Roman"/>
                <w:b/>
                <w:bCs/>
                <w:color w:val="auto"/>
                <w:sz w:val="21"/>
                <w:szCs w:val="21"/>
                <w:highlight w:val="none"/>
                <w:lang w:val="en-US" w:eastAsia="zh-CN"/>
              </w:rPr>
              <w:t>昌吉州</w:t>
            </w:r>
            <w:r>
              <w:rPr>
                <w:rFonts w:hint="default" w:ascii="Times New Roman" w:hAnsi="Times New Roman" w:eastAsia="宋体" w:cs="Times New Roman"/>
                <w:b/>
                <w:bCs/>
                <w:color w:val="auto"/>
                <w:sz w:val="21"/>
                <w:szCs w:val="21"/>
                <w:highlight w:val="none"/>
                <w:lang w:val="en-US" w:eastAsia="zh-CN"/>
              </w:rPr>
              <w:t>“三线一单”环境管控单元生态环境准入清单符合性分析一览表</w:t>
            </w:r>
          </w:p>
          <w:tbl>
            <w:tblPr>
              <w:tblStyle w:val="23"/>
              <w:tblW w:w="4999"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70"/>
              <w:gridCol w:w="1014"/>
              <w:gridCol w:w="2658"/>
              <w:gridCol w:w="1846"/>
              <w:gridCol w:w="405"/>
            </w:tblGrid>
            <w:tr w14:paraId="64BBC1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047" w:type="pct"/>
                  <w:tcBorders>
                    <w:tl2br w:val="nil"/>
                    <w:tr2bl w:val="nil"/>
                  </w:tcBorders>
                  <w:noWrap w:val="0"/>
                  <w:vAlign w:val="center"/>
                </w:tcPr>
                <w:p w14:paraId="459A318D">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b/>
                      <w:bCs/>
                      <w:color w:val="auto"/>
                      <w:kern w:val="21"/>
                      <w:sz w:val="21"/>
                      <w:szCs w:val="21"/>
                      <w:highlight w:val="none"/>
                      <w:vertAlign w:val="baseline"/>
                      <w:lang w:val="en-US" w:eastAsia="zh-CN"/>
                    </w:rPr>
                  </w:pPr>
                  <w:r>
                    <w:rPr>
                      <w:rFonts w:hint="default" w:ascii="Times New Roman" w:hAnsi="Times New Roman" w:eastAsia="宋体" w:cs="Times New Roman"/>
                      <w:b/>
                      <w:bCs/>
                      <w:color w:val="auto"/>
                      <w:kern w:val="21"/>
                      <w:sz w:val="21"/>
                      <w:szCs w:val="21"/>
                      <w:highlight w:val="none"/>
                      <w:vertAlign w:val="baseline"/>
                      <w:lang w:val="en-US" w:eastAsia="zh-CN"/>
                    </w:rPr>
                    <w:t>管控单元</w:t>
                  </w:r>
                </w:p>
              </w:tc>
              <w:tc>
                <w:tcPr>
                  <w:tcW w:w="676" w:type="pct"/>
                  <w:tcBorders>
                    <w:tl2br w:val="nil"/>
                    <w:tr2bl w:val="nil"/>
                  </w:tcBorders>
                  <w:noWrap w:val="0"/>
                  <w:vAlign w:val="center"/>
                </w:tcPr>
                <w:p w14:paraId="73073C37">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b/>
                      <w:bCs/>
                      <w:color w:val="auto"/>
                      <w:kern w:val="21"/>
                      <w:sz w:val="21"/>
                      <w:szCs w:val="21"/>
                      <w:highlight w:val="none"/>
                      <w:vertAlign w:val="baseline"/>
                      <w:lang w:val="en-US" w:eastAsia="zh-CN"/>
                    </w:rPr>
                  </w:pPr>
                  <w:r>
                    <w:rPr>
                      <w:rFonts w:hint="default" w:ascii="Times New Roman" w:hAnsi="Times New Roman" w:eastAsia="宋体" w:cs="Times New Roman"/>
                      <w:b/>
                      <w:bCs/>
                      <w:color w:val="auto"/>
                      <w:kern w:val="21"/>
                      <w:sz w:val="21"/>
                      <w:szCs w:val="21"/>
                      <w:highlight w:val="none"/>
                      <w:vertAlign w:val="baseline"/>
                      <w:lang w:val="en-US" w:eastAsia="zh-CN"/>
                    </w:rPr>
                    <w:t>管控维度</w:t>
                  </w:r>
                </w:p>
              </w:tc>
              <w:tc>
                <w:tcPr>
                  <w:tcW w:w="1773" w:type="pct"/>
                  <w:tcBorders>
                    <w:tl2br w:val="nil"/>
                    <w:tr2bl w:val="nil"/>
                  </w:tcBorders>
                  <w:noWrap w:val="0"/>
                  <w:vAlign w:val="center"/>
                </w:tcPr>
                <w:p w14:paraId="5C87E85D">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b/>
                      <w:bCs/>
                      <w:color w:val="auto"/>
                      <w:kern w:val="21"/>
                      <w:sz w:val="21"/>
                      <w:szCs w:val="21"/>
                      <w:highlight w:val="none"/>
                      <w:vertAlign w:val="baseline"/>
                      <w:lang w:val="en-US" w:eastAsia="zh-CN"/>
                    </w:rPr>
                  </w:pPr>
                  <w:r>
                    <w:rPr>
                      <w:rFonts w:hint="default" w:ascii="Times New Roman" w:hAnsi="Times New Roman" w:eastAsia="宋体" w:cs="Times New Roman"/>
                      <w:b/>
                      <w:bCs/>
                      <w:color w:val="auto"/>
                      <w:kern w:val="21"/>
                      <w:sz w:val="21"/>
                      <w:szCs w:val="21"/>
                      <w:highlight w:val="none"/>
                      <w:vertAlign w:val="baseline"/>
                      <w:lang w:val="en-US" w:eastAsia="zh-CN"/>
                    </w:rPr>
                    <w:t>管控内容</w:t>
                  </w:r>
                </w:p>
              </w:tc>
              <w:tc>
                <w:tcPr>
                  <w:tcW w:w="1231" w:type="pct"/>
                  <w:tcBorders>
                    <w:tl2br w:val="nil"/>
                    <w:tr2bl w:val="nil"/>
                  </w:tcBorders>
                  <w:noWrap w:val="0"/>
                  <w:vAlign w:val="center"/>
                </w:tcPr>
                <w:p w14:paraId="0BF75BB8">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b/>
                      <w:bCs/>
                      <w:color w:val="auto"/>
                      <w:kern w:val="21"/>
                      <w:sz w:val="21"/>
                      <w:szCs w:val="21"/>
                      <w:highlight w:val="none"/>
                      <w:vertAlign w:val="baseline"/>
                      <w:lang w:val="en-US" w:eastAsia="zh-CN"/>
                    </w:rPr>
                  </w:pPr>
                  <w:r>
                    <w:rPr>
                      <w:rFonts w:hint="default" w:ascii="Times New Roman" w:hAnsi="Times New Roman" w:eastAsia="宋体" w:cs="Times New Roman"/>
                      <w:b/>
                      <w:bCs/>
                      <w:color w:val="auto"/>
                      <w:kern w:val="21"/>
                      <w:sz w:val="21"/>
                      <w:szCs w:val="21"/>
                      <w:highlight w:val="none"/>
                      <w:vertAlign w:val="baseline"/>
                      <w:lang w:val="en-US" w:eastAsia="zh-CN"/>
                    </w:rPr>
                    <w:t>项目概况</w:t>
                  </w:r>
                </w:p>
              </w:tc>
              <w:tc>
                <w:tcPr>
                  <w:tcW w:w="270" w:type="pct"/>
                  <w:tcBorders>
                    <w:tl2br w:val="nil"/>
                    <w:tr2bl w:val="nil"/>
                  </w:tcBorders>
                  <w:noWrap w:val="0"/>
                  <w:vAlign w:val="center"/>
                </w:tcPr>
                <w:p w14:paraId="547E5568">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b/>
                      <w:bCs/>
                      <w:color w:val="auto"/>
                      <w:kern w:val="21"/>
                      <w:sz w:val="21"/>
                      <w:szCs w:val="21"/>
                      <w:highlight w:val="none"/>
                      <w:vertAlign w:val="baseline"/>
                      <w:lang w:val="en-US" w:eastAsia="zh-CN"/>
                    </w:rPr>
                  </w:pPr>
                  <w:r>
                    <w:rPr>
                      <w:rFonts w:hint="default" w:ascii="Times New Roman" w:hAnsi="Times New Roman" w:eastAsia="宋体" w:cs="Times New Roman"/>
                      <w:b/>
                      <w:bCs/>
                      <w:color w:val="auto"/>
                      <w:kern w:val="21"/>
                      <w:sz w:val="21"/>
                      <w:szCs w:val="21"/>
                      <w:highlight w:val="none"/>
                      <w:vertAlign w:val="baseline"/>
                      <w:lang w:val="en-US" w:eastAsia="zh-CN"/>
                    </w:rPr>
                    <w:t>符合性</w:t>
                  </w:r>
                </w:p>
              </w:tc>
            </w:tr>
            <w:tr w14:paraId="1C29AF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1047" w:type="pct"/>
                  <w:vMerge w:val="restart"/>
                  <w:tcBorders>
                    <w:tl2br w:val="nil"/>
                    <w:tr2bl w:val="nil"/>
                  </w:tcBorders>
                  <w:noWrap w:val="0"/>
                  <w:vAlign w:val="center"/>
                </w:tcPr>
                <w:p w14:paraId="22C4DAD1">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auto"/>
                      <w:kern w:val="21"/>
                      <w:sz w:val="21"/>
                      <w:szCs w:val="21"/>
                      <w:highlight w:val="none"/>
                      <w:vertAlign w:val="baseline"/>
                      <w:lang w:val="en-US" w:eastAsia="zh-CN"/>
                    </w:rPr>
                  </w:pPr>
                  <w:r>
                    <w:rPr>
                      <w:rFonts w:hint="default" w:ascii="Times New Roman" w:hAnsi="Times New Roman" w:eastAsia="宋体" w:cs="Times New Roman"/>
                      <w:color w:val="auto"/>
                      <w:kern w:val="21"/>
                      <w:sz w:val="21"/>
                      <w:szCs w:val="21"/>
                      <w:highlight w:val="none"/>
                      <w:vertAlign w:val="baseline"/>
                      <w:lang w:val="en-US" w:eastAsia="zh-CN"/>
                    </w:rPr>
                    <w:t>木垒哈萨克自治县一般生态空间优先管控单元，环境管控单元编码：ZH65232810013</w:t>
                  </w:r>
                </w:p>
              </w:tc>
              <w:tc>
                <w:tcPr>
                  <w:tcW w:w="676" w:type="pct"/>
                  <w:tcBorders>
                    <w:tl2br w:val="nil"/>
                    <w:tr2bl w:val="nil"/>
                  </w:tcBorders>
                  <w:noWrap w:val="0"/>
                  <w:vAlign w:val="center"/>
                </w:tcPr>
                <w:p w14:paraId="7FEA2C23">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auto"/>
                      <w:kern w:val="21"/>
                      <w:sz w:val="21"/>
                      <w:szCs w:val="21"/>
                      <w:highlight w:val="none"/>
                      <w:vertAlign w:val="baseline"/>
                      <w:lang w:val="en-US" w:eastAsia="zh-CN"/>
                    </w:rPr>
                  </w:pPr>
                  <w:r>
                    <w:rPr>
                      <w:rFonts w:hint="default" w:ascii="Times New Roman" w:hAnsi="Times New Roman" w:eastAsia="宋体" w:cs="Times New Roman"/>
                      <w:color w:val="auto"/>
                      <w:kern w:val="21"/>
                      <w:sz w:val="21"/>
                      <w:szCs w:val="21"/>
                      <w:highlight w:val="none"/>
                      <w:vertAlign w:val="baseline"/>
                      <w:lang w:val="en-US" w:eastAsia="zh-CN"/>
                    </w:rPr>
                    <w:t>空间布局约束</w:t>
                  </w:r>
                </w:p>
              </w:tc>
              <w:tc>
                <w:tcPr>
                  <w:tcW w:w="1773" w:type="pct"/>
                  <w:tcBorders>
                    <w:tl2br w:val="nil"/>
                    <w:tr2bl w:val="nil"/>
                  </w:tcBorders>
                  <w:noWrap w:val="0"/>
                  <w:vAlign w:val="center"/>
                </w:tcPr>
                <w:p w14:paraId="547C57AD">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auto"/>
                      <w:kern w:val="21"/>
                      <w:sz w:val="21"/>
                      <w:szCs w:val="21"/>
                      <w:highlight w:val="none"/>
                      <w:vertAlign w:val="baseline"/>
                      <w:lang w:val="en-US" w:eastAsia="zh-CN"/>
                    </w:rPr>
                  </w:pPr>
                  <w:r>
                    <w:rPr>
                      <w:rFonts w:hint="default" w:ascii="Times New Roman" w:hAnsi="Times New Roman" w:cs="Times New Roman"/>
                      <w:color w:val="auto"/>
                    </w:rPr>
                    <w:t>1、执行《中华人民共和国水土保持法》</w:t>
                  </w:r>
                  <w:r>
                    <w:rPr>
                      <w:rFonts w:hint="default" w:ascii="Times New Roman" w:hAnsi="Times New Roman" w:cs="Times New Roman"/>
                      <w:color w:val="auto"/>
                      <w:lang w:eastAsia="zh-CN"/>
                    </w:rPr>
                    <w:t>（</w:t>
                  </w:r>
                  <w:r>
                    <w:rPr>
                      <w:rFonts w:hint="default" w:ascii="Times New Roman" w:hAnsi="Times New Roman" w:cs="Times New Roman"/>
                      <w:color w:val="auto"/>
                    </w:rPr>
                    <w:t>主席令第三十九号</w:t>
                  </w:r>
                  <w:r>
                    <w:rPr>
                      <w:rFonts w:hint="default" w:ascii="Times New Roman" w:hAnsi="Times New Roman" w:cs="Times New Roman"/>
                      <w:color w:val="auto"/>
                      <w:lang w:eastAsia="zh-CN"/>
                    </w:rPr>
                    <w:t>）</w:t>
                  </w:r>
                  <w:r>
                    <w:rPr>
                      <w:rFonts w:hint="default" w:ascii="Times New Roman" w:hAnsi="Times New Roman" w:cs="Times New Roman"/>
                      <w:color w:val="auto"/>
                    </w:rPr>
                    <w:t>、《中国生物多样性保护战略与行动计划《2011-2030</w:t>
                  </w:r>
                  <w:r>
                    <w:rPr>
                      <w:rFonts w:hint="default" w:ascii="Times New Roman" w:hAnsi="Times New Roman" w:cs="Times New Roman"/>
                      <w:color w:val="auto"/>
                      <w:lang w:eastAsia="zh-CN"/>
                    </w:rPr>
                    <w:t>年）》《</w:t>
                  </w:r>
                  <w:r>
                    <w:rPr>
                      <w:rFonts w:hint="default" w:ascii="Times New Roman" w:hAnsi="Times New Roman" w:cs="Times New Roman"/>
                      <w:color w:val="auto"/>
                    </w:rPr>
                    <w:t>新疆维吾尔自治区主体功能区划》</w:t>
                  </w:r>
                  <w:r>
                    <w:rPr>
                      <w:rFonts w:hint="default" w:ascii="Times New Roman" w:hAnsi="Times New Roman" w:cs="Times New Roman"/>
                      <w:color w:val="auto"/>
                      <w:lang w:eastAsia="zh-CN"/>
                    </w:rPr>
                    <w:t>（</w:t>
                  </w:r>
                  <w:r>
                    <w:rPr>
                      <w:rFonts w:hint="default" w:ascii="Times New Roman" w:hAnsi="Times New Roman" w:cs="Times New Roman"/>
                      <w:color w:val="auto"/>
                    </w:rPr>
                    <w:t>2017年7月</w:t>
                  </w:r>
                  <w:r>
                    <w:rPr>
                      <w:rFonts w:hint="default" w:ascii="Times New Roman" w:hAnsi="Times New Roman" w:cs="Times New Roman"/>
                      <w:color w:val="auto"/>
                      <w:lang w:eastAsia="zh-CN"/>
                    </w:rPr>
                    <w:t>）</w:t>
                  </w:r>
                  <w:r>
                    <w:rPr>
                      <w:rFonts w:hint="default" w:ascii="Times New Roman" w:hAnsi="Times New Roman" w:cs="Times New Roman"/>
                      <w:color w:val="auto"/>
                    </w:rPr>
                    <w:t>相关要求。2、执行《中华人民共和国水污染防治法》(主席令第70号</w:t>
                  </w:r>
                  <w:r>
                    <w:rPr>
                      <w:rFonts w:hint="default" w:ascii="Times New Roman" w:hAnsi="Times New Roman" w:cs="Times New Roman"/>
                      <w:color w:val="auto"/>
                      <w:lang w:eastAsia="zh-CN"/>
                    </w:rPr>
                    <w:t>，2017年修订）、</w:t>
                  </w:r>
                  <w:r>
                    <w:rPr>
                      <w:rFonts w:hint="default" w:ascii="Times New Roman" w:hAnsi="Times New Roman" w:cs="Times New Roman"/>
                      <w:color w:val="auto"/>
                    </w:rPr>
                    <w:t>《饮用水水源保护区污染防治管理规定》</w:t>
                  </w:r>
                  <w:r>
                    <w:rPr>
                      <w:rFonts w:hint="default" w:ascii="Times New Roman" w:hAnsi="Times New Roman" w:cs="Times New Roman"/>
                      <w:color w:val="auto"/>
                      <w:lang w:eastAsia="zh-CN"/>
                    </w:rPr>
                    <w:t>（</w:t>
                  </w:r>
                  <w:r>
                    <w:rPr>
                      <w:rFonts w:hint="default" w:ascii="Times New Roman" w:hAnsi="Times New Roman" w:cs="Times New Roman"/>
                      <w:color w:val="auto"/>
                    </w:rPr>
                    <w:t>环管字</w:t>
                  </w:r>
                  <w:r>
                    <w:rPr>
                      <w:rFonts w:hint="default" w:ascii="Times New Roman" w:hAnsi="Times New Roman" w:cs="Times New Roman"/>
                      <w:color w:val="auto"/>
                      <w:lang w:eastAsia="zh-CN"/>
                    </w:rPr>
                    <w:t>〔1989〕201号</w:t>
                  </w:r>
                  <w:r>
                    <w:rPr>
                      <w:rFonts w:hint="default" w:ascii="Times New Roman" w:hAnsi="Times New Roman" w:cs="Times New Roman"/>
                      <w:color w:val="auto"/>
                    </w:rPr>
                    <w:t>2010</w:t>
                  </w:r>
                  <w:r>
                    <w:rPr>
                      <w:rFonts w:hint="default" w:ascii="Times New Roman" w:hAnsi="Times New Roman" w:cs="Times New Roman"/>
                      <w:color w:val="auto"/>
                      <w:lang w:eastAsia="zh-CN"/>
                    </w:rPr>
                    <w:t>年修订）</w:t>
                  </w:r>
                  <w:r>
                    <w:rPr>
                      <w:rFonts w:hint="default" w:ascii="Times New Roman" w:hAnsi="Times New Roman" w:cs="Times New Roman"/>
                      <w:color w:val="auto"/>
                    </w:rPr>
                    <w:t>等</w:t>
                  </w:r>
                  <w:r>
                    <w:rPr>
                      <w:rFonts w:hint="default" w:ascii="Times New Roman" w:hAnsi="Times New Roman" w:cs="Times New Roman"/>
                      <w:color w:val="auto"/>
                      <w:lang w:eastAsia="zh-CN"/>
                    </w:rPr>
                    <w:t>相关</w:t>
                  </w:r>
                  <w:r>
                    <w:rPr>
                      <w:rFonts w:hint="default" w:ascii="Times New Roman" w:hAnsi="Times New Roman" w:cs="Times New Roman"/>
                      <w:color w:val="auto"/>
                      <w:lang w:val="en-US" w:eastAsia="zh-CN"/>
                    </w:rPr>
                    <w:t>要求</w:t>
                  </w:r>
                </w:p>
              </w:tc>
              <w:tc>
                <w:tcPr>
                  <w:tcW w:w="1231" w:type="pct"/>
                  <w:tcBorders>
                    <w:tl2br w:val="nil"/>
                    <w:tr2bl w:val="nil"/>
                  </w:tcBorders>
                  <w:noWrap w:val="0"/>
                  <w:vAlign w:val="center"/>
                </w:tcPr>
                <w:p w14:paraId="735D0803">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auto"/>
                      <w:kern w:val="21"/>
                      <w:sz w:val="21"/>
                      <w:szCs w:val="21"/>
                      <w:highlight w:val="none"/>
                      <w:vertAlign w:val="baseline"/>
                      <w:lang w:val="en-US" w:eastAsia="zh-CN"/>
                    </w:rPr>
                  </w:pPr>
                  <w:r>
                    <w:rPr>
                      <w:rFonts w:hint="default" w:ascii="Times New Roman" w:hAnsi="Times New Roman" w:eastAsia="宋体" w:cs="Times New Roman"/>
                      <w:color w:val="auto"/>
                      <w:kern w:val="21"/>
                      <w:sz w:val="21"/>
                      <w:szCs w:val="21"/>
                      <w:highlight w:val="none"/>
                      <w:vertAlign w:val="baseline"/>
                      <w:lang w:val="en-US" w:eastAsia="zh-CN"/>
                    </w:rPr>
                    <w:t>本项目符合《新疆维吾尔自治区主体功能区划》</w:t>
                  </w:r>
                  <w:r>
                    <w:rPr>
                      <w:rFonts w:hint="default" w:ascii="Times New Roman" w:hAnsi="Times New Roman" w:cs="Times New Roman"/>
                      <w:color w:val="auto"/>
                      <w:kern w:val="21"/>
                      <w:sz w:val="21"/>
                      <w:szCs w:val="21"/>
                      <w:highlight w:val="none"/>
                      <w:vertAlign w:val="baseline"/>
                      <w:lang w:val="en-US" w:eastAsia="zh-CN"/>
                    </w:rPr>
                    <w:t>（</w:t>
                  </w:r>
                  <w:r>
                    <w:rPr>
                      <w:rFonts w:hint="default" w:ascii="Times New Roman" w:hAnsi="Times New Roman" w:eastAsia="宋体" w:cs="Times New Roman"/>
                      <w:color w:val="auto"/>
                      <w:kern w:val="21"/>
                      <w:sz w:val="21"/>
                      <w:szCs w:val="21"/>
                      <w:highlight w:val="none"/>
                      <w:vertAlign w:val="baseline"/>
                      <w:lang w:val="en-US" w:eastAsia="zh-CN"/>
                    </w:rPr>
                    <w:t>2017年7月</w:t>
                  </w:r>
                  <w:r>
                    <w:rPr>
                      <w:rFonts w:hint="default" w:ascii="Times New Roman" w:hAnsi="Times New Roman" w:cs="Times New Roman"/>
                      <w:color w:val="auto"/>
                      <w:kern w:val="21"/>
                      <w:sz w:val="21"/>
                      <w:szCs w:val="21"/>
                      <w:highlight w:val="none"/>
                      <w:vertAlign w:val="baseline"/>
                      <w:lang w:val="en-US" w:eastAsia="zh-CN"/>
                    </w:rPr>
                    <w:t>）</w:t>
                  </w:r>
                  <w:r>
                    <w:rPr>
                      <w:rFonts w:hint="default" w:ascii="Times New Roman" w:hAnsi="Times New Roman" w:eastAsia="宋体" w:cs="Times New Roman"/>
                      <w:color w:val="auto"/>
                      <w:kern w:val="21"/>
                      <w:sz w:val="21"/>
                      <w:szCs w:val="21"/>
                      <w:highlight w:val="none"/>
                      <w:vertAlign w:val="baseline"/>
                      <w:lang w:val="en-US" w:eastAsia="zh-CN"/>
                    </w:rPr>
                    <w:t>相关要求。</w:t>
                  </w:r>
                </w:p>
              </w:tc>
              <w:tc>
                <w:tcPr>
                  <w:tcW w:w="270" w:type="pct"/>
                  <w:tcBorders>
                    <w:tl2br w:val="nil"/>
                    <w:tr2bl w:val="nil"/>
                  </w:tcBorders>
                  <w:noWrap w:val="0"/>
                  <w:vAlign w:val="center"/>
                </w:tcPr>
                <w:p w14:paraId="4821AF8F">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auto"/>
                      <w:kern w:val="21"/>
                      <w:sz w:val="21"/>
                      <w:szCs w:val="21"/>
                      <w:highlight w:val="none"/>
                      <w:vertAlign w:val="baseline"/>
                      <w:lang w:val="en-US" w:eastAsia="zh-CN"/>
                    </w:rPr>
                  </w:pPr>
                  <w:r>
                    <w:rPr>
                      <w:rFonts w:hint="default" w:ascii="Times New Roman" w:hAnsi="Times New Roman" w:eastAsia="宋体" w:cs="Times New Roman"/>
                      <w:color w:val="auto"/>
                      <w:kern w:val="21"/>
                      <w:sz w:val="21"/>
                      <w:szCs w:val="21"/>
                      <w:highlight w:val="none"/>
                      <w:vertAlign w:val="baseline"/>
                      <w:lang w:val="en-US" w:eastAsia="zh-CN"/>
                    </w:rPr>
                    <w:t>符合</w:t>
                  </w:r>
                </w:p>
              </w:tc>
            </w:tr>
            <w:tr w14:paraId="260490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1047" w:type="pct"/>
                  <w:vMerge w:val="continue"/>
                  <w:tcBorders>
                    <w:tl2br w:val="nil"/>
                    <w:tr2bl w:val="nil"/>
                  </w:tcBorders>
                  <w:noWrap w:val="0"/>
                  <w:vAlign w:val="center"/>
                </w:tcPr>
                <w:p w14:paraId="533F0246">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auto"/>
                      <w:kern w:val="21"/>
                      <w:sz w:val="21"/>
                      <w:szCs w:val="21"/>
                      <w:highlight w:val="none"/>
                      <w:vertAlign w:val="baseline"/>
                      <w:lang w:val="en-US" w:eastAsia="zh-CN"/>
                    </w:rPr>
                  </w:pPr>
                </w:p>
              </w:tc>
              <w:tc>
                <w:tcPr>
                  <w:tcW w:w="676" w:type="pct"/>
                  <w:tcBorders>
                    <w:tl2br w:val="nil"/>
                    <w:tr2bl w:val="nil"/>
                  </w:tcBorders>
                  <w:noWrap w:val="0"/>
                  <w:vAlign w:val="center"/>
                </w:tcPr>
                <w:p w14:paraId="0D446799">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auto"/>
                      <w:kern w:val="21"/>
                      <w:sz w:val="21"/>
                      <w:szCs w:val="21"/>
                      <w:highlight w:val="none"/>
                      <w:vertAlign w:val="baseline"/>
                      <w:lang w:val="en-US" w:eastAsia="zh-CN"/>
                    </w:rPr>
                  </w:pPr>
                  <w:r>
                    <w:rPr>
                      <w:rFonts w:hint="default" w:ascii="Times New Roman" w:hAnsi="Times New Roman" w:eastAsia="宋体" w:cs="Times New Roman"/>
                      <w:color w:val="auto"/>
                      <w:kern w:val="21"/>
                      <w:sz w:val="21"/>
                      <w:szCs w:val="21"/>
                      <w:highlight w:val="none"/>
                      <w:vertAlign w:val="baseline"/>
                      <w:lang w:val="en-US" w:eastAsia="zh-CN"/>
                    </w:rPr>
                    <w:t>污染物排放管控</w:t>
                  </w:r>
                </w:p>
              </w:tc>
              <w:tc>
                <w:tcPr>
                  <w:tcW w:w="1773" w:type="pct"/>
                  <w:tcBorders>
                    <w:tl2br w:val="nil"/>
                    <w:tr2bl w:val="nil"/>
                  </w:tcBorders>
                  <w:noWrap w:val="0"/>
                  <w:vAlign w:val="center"/>
                </w:tcPr>
                <w:p w14:paraId="6CC305BE">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auto"/>
                      <w:kern w:val="21"/>
                      <w:sz w:val="21"/>
                      <w:szCs w:val="21"/>
                      <w:highlight w:val="none"/>
                      <w:vertAlign w:val="baseline"/>
                      <w:lang w:val="en-US" w:eastAsia="zh-CN"/>
                    </w:rPr>
                  </w:pPr>
                  <w:r>
                    <w:rPr>
                      <w:rFonts w:hint="default" w:ascii="Times New Roman" w:hAnsi="Times New Roman" w:cs="Times New Roman"/>
                      <w:color w:val="auto"/>
                      <w:lang w:eastAsia="zh-CN"/>
                    </w:rPr>
                    <w:t>/</w:t>
                  </w:r>
                </w:p>
              </w:tc>
              <w:tc>
                <w:tcPr>
                  <w:tcW w:w="1231" w:type="pct"/>
                  <w:tcBorders>
                    <w:tl2br w:val="nil"/>
                    <w:tr2bl w:val="nil"/>
                  </w:tcBorders>
                  <w:noWrap w:val="0"/>
                  <w:vAlign w:val="center"/>
                </w:tcPr>
                <w:p w14:paraId="6D8C5267">
                  <w:pPr>
                    <w:pStyle w:val="12"/>
                    <w:rPr>
                      <w:rFonts w:hint="default" w:ascii="Times New Roman" w:hAnsi="Times New Roman" w:eastAsia="宋体" w:cs="Times New Roman"/>
                      <w:color w:val="auto"/>
                      <w:kern w:val="21"/>
                      <w:sz w:val="21"/>
                      <w:szCs w:val="21"/>
                      <w:highlight w:val="none"/>
                      <w:vertAlign w:val="baseline"/>
                      <w:lang w:val="en-US" w:eastAsia="zh-CN"/>
                    </w:rPr>
                  </w:pPr>
                  <w:r>
                    <w:rPr>
                      <w:rFonts w:hint="default" w:ascii="Times New Roman" w:hAnsi="Times New Roman" w:eastAsia="宋体" w:cs="Times New Roman"/>
                      <w:color w:val="auto"/>
                      <w:kern w:val="21"/>
                      <w:sz w:val="21"/>
                      <w:szCs w:val="21"/>
                      <w:highlight w:val="none"/>
                      <w:vertAlign w:val="baseline"/>
                      <w:lang w:val="en-US" w:eastAsia="zh-CN"/>
                    </w:rPr>
                    <w:t>本项目属于</w:t>
                  </w:r>
                  <w:r>
                    <w:rPr>
                      <w:rFonts w:hint="default" w:ascii="Times New Roman" w:hAnsi="Times New Roman" w:eastAsia="宋体" w:cs="Times New Roman"/>
                      <w:color w:val="auto"/>
                      <w:kern w:val="21"/>
                      <w:sz w:val="21"/>
                      <w:szCs w:val="21"/>
                      <w:highlight w:val="none"/>
                      <w:vertAlign w:val="baseline"/>
                      <w:lang w:val="en-US" w:eastAsia="zh-CN"/>
                    </w:rPr>
                    <w:t>风力</w:t>
                  </w:r>
                  <w:r>
                    <w:rPr>
                      <w:rFonts w:hint="default" w:ascii="Times New Roman" w:hAnsi="Times New Roman" w:eastAsia="宋体" w:cs="Times New Roman"/>
                      <w:color w:val="auto"/>
                      <w:kern w:val="21"/>
                      <w:sz w:val="21"/>
                      <w:szCs w:val="21"/>
                      <w:highlight w:val="none"/>
                      <w:vertAlign w:val="baseline"/>
                      <w:lang w:val="en-US" w:eastAsia="zh-CN"/>
                    </w:rPr>
                    <w:t>发电项目。</w:t>
                  </w:r>
                </w:p>
              </w:tc>
              <w:tc>
                <w:tcPr>
                  <w:tcW w:w="270" w:type="pct"/>
                  <w:tcBorders>
                    <w:tl2br w:val="nil"/>
                    <w:tr2bl w:val="nil"/>
                  </w:tcBorders>
                  <w:noWrap w:val="0"/>
                  <w:vAlign w:val="center"/>
                </w:tcPr>
                <w:p w14:paraId="66211DBA">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auto"/>
                      <w:kern w:val="21"/>
                      <w:sz w:val="21"/>
                      <w:szCs w:val="21"/>
                      <w:highlight w:val="none"/>
                      <w:vertAlign w:val="baseline"/>
                      <w:lang w:val="en-US" w:eastAsia="zh-CN"/>
                    </w:rPr>
                  </w:pPr>
                  <w:r>
                    <w:rPr>
                      <w:rFonts w:hint="default" w:ascii="Times New Roman" w:hAnsi="Times New Roman" w:eastAsia="宋体" w:cs="Times New Roman"/>
                      <w:color w:val="auto"/>
                      <w:kern w:val="21"/>
                      <w:sz w:val="21"/>
                      <w:szCs w:val="21"/>
                      <w:highlight w:val="none"/>
                      <w:vertAlign w:val="baseline"/>
                      <w:lang w:val="en-US" w:eastAsia="zh-CN"/>
                    </w:rPr>
                    <w:t>符合</w:t>
                  </w:r>
                </w:p>
              </w:tc>
            </w:tr>
            <w:tr w14:paraId="375341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7" w:type="pct"/>
                  <w:vMerge w:val="continue"/>
                  <w:tcBorders>
                    <w:tl2br w:val="nil"/>
                    <w:tr2bl w:val="nil"/>
                  </w:tcBorders>
                  <w:noWrap w:val="0"/>
                  <w:vAlign w:val="center"/>
                </w:tcPr>
                <w:p w14:paraId="12F8EEE6">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auto"/>
                      <w:kern w:val="21"/>
                      <w:sz w:val="21"/>
                      <w:szCs w:val="21"/>
                      <w:highlight w:val="none"/>
                      <w:vertAlign w:val="baseline"/>
                      <w:lang w:val="en-US" w:eastAsia="zh-CN"/>
                    </w:rPr>
                  </w:pPr>
                </w:p>
              </w:tc>
              <w:tc>
                <w:tcPr>
                  <w:tcW w:w="676" w:type="pct"/>
                  <w:tcBorders>
                    <w:tl2br w:val="nil"/>
                    <w:tr2bl w:val="nil"/>
                  </w:tcBorders>
                  <w:noWrap w:val="0"/>
                  <w:vAlign w:val="center"/>
                </w:tcPr>
                <w:p w14:paraId="6C57E6C9">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auto"/>
                      <w:kern w:val="21"/>
                      <w:sz w:val="21"/>
                      <w:szCs w:val="21"/>
                      <w:highlight w:val="none"/>
                      <w:vertAlign w:val="baseline"/>
                      <w:lang w:val="en-US" w:eastAsia="zh-CN"/>
                    </w:rPr>
                  </w:pPr>
                  <w:r>
                    <w:rPr>
                      <w:rFonts w:hint="default" w:ascii="Times New Roman" w:hAnsi="Times New Roman" w:eastAsia="宋体" w:cs="Times New Roman"/>
                      <w:color w:val="auto"/>
                      <w:kern w:val="21"/>
                      <w:sz w:val="21"/>
                      <w:szCs w:val="21"/>
                      <w:highlight w:val="none"/>
                      <w:vertAlign w:val="baseline"/>
                      <w:lang w:val="en-US" w:eastAsia="zh-CN"/>
                    </w:rPr>
                    <w:t>环境风险防控</w:t>
                  </w:r>
                </w:p>
              </w:tc>
              <w:tc>
                <w:tcPr>
                  <w:tcW w:w="1773" w:type="pct"/>
                  <w:tcBorders>
                    <w:tl2br w:val="nil"/>
                    <w:tr2bl w:val="nil"/>
                  </w:tcBorders>
                  <w:noWrap w:val="0"/>
                  <w:vAlign w:val="center"/>
                </w:tcPr>
                <w:p w14:paraId="372A6D6C">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auto"/>
                      <w:kern w:val="21"/>
                      <w:sz w:val="21"/>
                      <w:szCs w:val="21"/>
                      <w:highlight w:val="none"/>
                      <w:vertAlign w:val="baseline"/>
                      <w:lang w:val="en-US" w:eastAsia="zh-CN"/>
                    </w:rPr>
                  </w:pPr>
                  <w:r>
                    <w:rPr>
                      <w:rFonts w:hint="default" w:ascii="Times New Roman" w:hAnsi="Times New Roman" w:cs="Times New Roman"/>
                      <w:color w:val="auto"/>
                      <w:kern w:val="21"/>
                      <w:sz w:val="21"/>
                      <w:szCs w:val="21"/>
                      <w:highlight w:val="none"/>
                      <w:vertAlign w:val="baseline"/>
                      <w:lang w:val="en-US" w:eastAsia="zh-CN"/>
                    </w:rPr>
                    <w:t>/</w:t>
                  </w:r>
                </w:p>
              </w:tc>
              <w:tc>
                <w:tcPr>
                  <w:tcW w:w="1231" w:type="pct"/>
                  <w:tcBorders>
                    <w:tl2br w:val="nil"/>
                    <w:tr2bl w:val="nil"/>
                  </w:tcBorders>
                  <w:noWrap w:val="0"/>
                  <w:vAlign w:val="center"/>
                </w:tcPr>
                <w:p w14:paraId="6E57C972">
                  <w:pPr>
                    <w:pStyle w:val="12"/>
                    <w:rPr>
                      <w:rFonts w:hint="default" w:ascii="Times New Roman" w:hAnsi="Times New Roman" w:eastAsia="宋体" w:cs="Times New Roman"/>
                      <w:color w:val="auto"/>
                      <w:kern w:val="21"/>
                      <w:sz w:val="21"/>
                      <w:szCs w:val="21"/>
                      <w:highlight w:val="none"/>
                      <w:vertAlign w:val="baseline"/>
                      <w:lang w:val="en-US" w:eastAsia="zh-CN"/>
                    </w:rPr>
                  </w:pPr>
                  <w:r>
                    <w:rPr>
                      <w:rFonts w:hint="default" w:ascii="Times New Roman" w:hAnsi="Times New Roman" w:eastAsia="宋体" w:cs="Times New Roman"/>
                      <w:color w:val="auto"/>
                      <w:kern w:val="21"/>
                      <w:sz w:val="21"/>
                      <w:szCs w:val="21"/>
                      <w:highlight w:val="none"/>
                      <w:vertAlign w:val="baseline"/>
                      <w:lang w:val="en-US" w:eastAsia="zh-CN"/>
                    </w:rPr>
                    <w:t>本项目不涉及化学品。</w:t>
                  </w:r>
                </w:p>
              </w:tc>
              <w:tc>
                <w:tcPr>
                  <w:tcW w:w="270" w:type="pct"/>
                  <w:tcBorders>
                    <w:tl2br w:val="nil"/>
                    <w:tr2bl w:val="nil"/>
                  </w:tcBorders>
                  <w:noWrap w:val="0"/>
                  <w:vAlign w:val="center"/>
                </w:tcPr>
                <w:p w14:paraId="3131DB48">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auto"/>
                      <w:kern w:val="21"/>
                      <w:sz w:val="21"/>
                      <w:szCs w:val="21"/>
                      <w:highlight w:val="none"/>
                      <w:vertAlign w:val="baseline"/>
                      <w:lang w:val="en-US" w:eastAsia="zh-CN"/>
                    </w:rPr>
                  </w:pPr>
                  <w:r>
                    <w:rPr>
                      <w:rFonts w:hint="default" w:ascii="Times New Roman" w:hAnsi="Times New Roman" w:eastAsia="宋体" w:cs="Times New Roman"/>
                      <w:color w:val="auto"/>
                      <w:kern w:val="21"/>
                      <w:sz w:val="21"/>
                      <w:szCs w:val="21"/>
                      <w:highlight w:val="none"/>
                      <w:vertAlign w:val="baseline"/>
                      <w:lang w:val="en-US" w:eastAsia="zh-CN"/>
                    </w:rPr>
                    <w:t>符合</w:t>
                  </w:r>
                </w:p>
              </w:tc>
            </w:tr>
            <w:tr w14:paraId="078160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7" w:type="pct"/>
                  <w:vMerge w:val="continue"/>
                  <w:tcBorders>
                    <w:tl2br w:val="nil"/>
                    <w:tr2bl w:val="nil"/>
                  </w:tcBorders>
                  <w:noWrap w:val="0"/>
                  <w:vAlign w:val="center"/>
                </w:tcPr>
                <w:p w14:paraId="07A4EC55">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auto"/>
                      <w:kern w:val="21"/>
                      <w:sz w:val="21"/>
                      <w:szCs w:val="21"/>
                      <w:highlight w:val="none"/>
                      <w:vertAlign w:val="baseline"/>
                      <w:lang w:val="en-US" w:eastAsia="zh-CN"/>
                    </w:rPr>
                  </w:pPr>
                </w:p>
              </w:tc>
              <w:tc>
                <w:tcPr>
                  <w:tcW w:w="676" w:type="pct"/>
                  <w:tcBorders>
                    <w:tl2br w:val="nil"/>
                    <w:tr2bl w:val="nil"/>
                  </w:tcBorders>
                  <w:noWrap w:val="0"/>
                  <w:vAlign w:val="center"/>
                </w:tcPr>
                <w:p w14:paraId="7208D071">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auto"/>
                      <w:kern w:val="21"/>
                      <w:sz w:val="21"/>
                      <w:szCs w:val="21"/>
                      <w:highlight w:val="none"/>
                      <w:vertAlign w:val="baseline"/>
                      <w:lang w:val="en-US" w:eastAsia="zh-CN"/>
                    </w:rPr>
                  </w:pPr>
                  <w:r>
                    <w:rPr>
                      <w:rFonts w:hint="default" w:ascii="Times New Roman" w:hAnsi="Times New Roman" w:eastAsia="宋体" w:cs="Times New Roman"/>
                      <w:color w:val="auto"/>
                      <w:kern w:val="21"/>
                      <w:sz w:val="21"/>
                      <w:szCs w:val="21"/>
                      <w:highlight w:val="none"/>
                      <w:vertAlign w:val="baseline"/>
                      <w:lang w:val="en-US" w:eastAsia="zh-CN"/>
                    </w:rPr>
                    <w:t>资源利用效率</w:t>
                  </w:r>
                </w:p>
              </w:tc>
              <w:tc>
                <w:tcPr>
                  <w:tcW w:w="1773" w:type="pct"/>
                  <w:tcBorders>
                    <w:tl2br w:val="nil"/>
                    <w:tr2bl w:val="nil"/>
                  </w:tcBorders>
                  <w:noWrap w:val="0"/>
                  <w:vAlign w:val="center"/>
                </w:tcPr>
                <w:p w14:paraId="30B14ADB">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auto"/>
                      <w:kern w:val="21"/>
                      <w:sz w:val="21"/>
                      <w:szCs w:val="21"/>
                      <w:highlight w:val="none"/>
                      <w:vertAlign w:val="baseline"/>
                      <w:lang w:val="en-US" w:eastAsia="zh-CN"/>
                    </w:rPr>
                  </w:pPr>
                  <w:r>
                    <w:rPr>
                      <w:rFonts w:hint="default" w:ascii="Times New Roman" w:hAnsi="Times New Roman" w:cs="Times New Roman"/>
                      <w:color w:val="auto"/>
                      <w:kern w:val="21"/>
                      <w:sz w:val="21"/>
                      <w:szCs w:val="21"/>
                      <w:highlight w:val="none"/>
                      <w:vertAlign w:val="baseline"/>
                      <w:lang w:val="en-US" w:eastAsia="zh-CN"/>
                    </w:rPr>
                    <w:t>/</w:t>
                  </w:r>
                </w:p>
              </w:tc>
              <w:tc>
                <w:tcPr>
                  <w:tcW w:w="1231" w:type="pct"/>
                  <w:tcBorders>
                    <w:tl2br w:val="nil"/>
                    <w:tr2bl w:val="nil"/>
                  </w:tcBorders>
                  <w:noWrap w:val="0"/>
                  <w:vAlign w:val="center"/>
                </w:tcPr>
                <w:p w14:paraId="7B955F25">
                  <w:pPr>
                    <w:pStyle w:val="12"/>
                    <w:ind w:right="113" w:rightChars="0"/>
                    <w:rPr>
                      <w:rFonts w:hint="default" w:ascii="Times New Roman" w:hAnsi="Times New Roman" w:eastAsia="宋体" w:cs="Times New Roman"/>
                      <w:color w:val="auto"/>
                      <w:kern w:val="21"/>
                      <w:sz w:val="21"/>
                      <w:szCs w:val="21"/>
                      <w:highlight w:val="none"/>
                      <w:vertAlign w:val="baseline"/>
                      <w:lang w:val="en-US" w:eastAsia="zh-CN"/>
                    </w:rPr>
                  </w:pPr>
                  <w:r>
                    <w:rPr>
                      <w:rFonts w:hint="default" w:ascii="Times New Roman" w:hAnsi="Times New Roman" w:eastAsia="宋体" w:cs="Times New Roman"/>
                      <w:color w:val="auto"/>
                      <w:kern w:val="21"/>
                      <w:sz w:val="21"/>
                      <w:szCs w:val="21"/>
                      <w:highlight w:val="none"/>
                      <w:vertAlign w:val="baseline"/>
                      <w:lang w:val="en-US" w:eastAsia="zh-CN"/>
                    </w:rPr>
                    <w:t>本项目不涉及农田灌溉用水</w:t>
                  </w:r>
                </w:p>
              </w:tc>
              <w:tc>
                <w:tcPr>
                  <w:tcW w:w="270" w:type="pct"/>
                  <w:tcBorders>
                    <w:tl2br w:val="nil"/>
                    <w:tr2bl w:val="nil"/>
                  </w:tcBorders>
                  <w:noWrap w:val="0"/>
                  <w:vAlign w:val="center"/>
                </w:tcPr>
                <w:p w14:paraId="4A6E0AD8">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default" w:ascii="Times New Roman" w:hAnsi="Times New Roman" w:eastAsia="宋体" w:cs="Times New Roman"/>
                      <w:color w:val="auto"/>
                      <w:kern w:val="21"/>
                      <w:sz w:val="21"/>
                      <w:szCs w:val="21"/>
                      <w:highlight w:val="none"/>
                      <w:vertAlign w:val="baseline"/>
                      <w:lang w:val="en-US" w:eastAsia="zh-CN"/>
                    </w:rPr>
                  </w:pPr>
                  <w:r>
                    <w:rPr>
                      <w:rFonts w:hint="default" w:ascii="Times New Roman" w:hAnsi="Times New Roman" w:eastAsia="宋体" w:cs="Times New Roman"/>
                      <w:color w:val="auto"/>
                      <w:kern w:val="21"/>
                      <w:sz w:val="21"/>
                      <w:szCs w:val="21"/>
                      <w:highlight w:val="none"/>
                      <w:vertAlign w:val="baseline"/>
                      <w:lang w:val="en-US" w:eastAsia="zh-CN"/>
                    </w:rPr>
                    <w:t>符合</w:t>
                  </w:r>
                </w:p>
              </w:tc>
            </w:tr>
          </w:tbl>
          <w:p w14:paraId="200FD23C">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综上分析，项目的建设符合“三线一单”的要求。</w:t>
            </w:r>
          </w:p>
          <w:p w14:paraId="4543D92C">
            <w:pPr>
              <w:spacing w:line="360" w:lineRule="auto"/>
              <w:ind w:firstLine="482" w:firstLineChars="200"/>
              <w:rPr>
                <w:rFonts w:hint="default" w:ascii="Times New Roman" w:hAnsi="Times New Roman" w:cs="Times New Roman"/>
                <w:b/>
                <w:bCs/>
                <w:color w:val="auto"/>
                <w:sz w:val="24"/>
              </w:rPr>
            </w:pPr>
            <w:r>
              <w:rPr>
                <w:rFonts w:hint="default" w:ascii="Times New Roman" w:hAnsi="Times New Roman" w:cs="Times New Roman"/>
                <w:b/>
                <w:bCs/>
                <w:color w:val="auto"/>
                <w:sz w:val="24"/>
                <w:lang w:val="en-US" w:eastAsia="zh-CN"/>
              </w:rPr>
              <w:t>3、</w:t>
            </w:r>
            <w:r>
              <w:rPr>
                <w:rFonts w:hint="default" w:ascii="Times New Roman" w:hAnsi="Times New Roman" w:cs="Times New Roman"/>
                <w:b/>
                <w:bCs/>
                <w:color w:val="auto"/>
                <w:sz w:val="24"/>
              </w:rPr>
              <w:t>与“十四五”规划符合性分析</w:t>
            </w:r>
          </w:p>
          <w:p w14:paraId="62ECC82D">
            <w:pPr>
              <w:numPr>
                <w:ilvl w:val="0"/>
                <w:numId w:val="0"/>
              </w:num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根据《中华人民共和国国民经济和社会发展第十四个五年规划和</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2035年远景目标纲要》中提出的要求</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推进能源革命，建设清洁低碳、安全高效的能源体系，提高能源供给保障能力。加快发展非化石能源，坚持集中式和分布式并举，大力提升风电、光伏发电规模，加快发展东中部分布式能源，有序发展海上风电，加快西南水电基地建设，安全稳妥推动沿海核电建设，建设一批多能互补的清洁能源基地，非化石能源占能源消费总量比重提高到</w:t>
            </w:r>
            <w:r>
              <w:rPr>
                <w:rFonts w:hint="default" w:ascii="Times New Roman" w:hAnsi="Times New Roman" w:cs="Times New Roman"/>
                <w:color w:val="auto"/>
                <w:sz w:val="24"/>
                <w:szCs w:val="24"/>
                <w:lang w:eastAsia="zh-CN"/>
              </w:rPr>
              <w:t>60%</w:t>
            </w:r>
            <w:r>
              <w:rPr>
                <w:rFonts w:hint="default" w:ascii="Times New Roman" w:hAnsi="Times New Roman" w:cs="Times New Roman"/>
                <w:color w:val="auto"/>
                <w:sz w:val="24"/>
                <w:szCs w:val="24"/>
              </w:rPr>
              <w:t>左右。</w:t>
            </w:r>
          </w:p>
          <w:p w14:paraId="0E7A5198">
            <w:pPr>
              <w:numPr>
                <w:ilvl w:val="0"/>
                <w:numId w:val="0"/>
              </w:num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本项目属于</w:t>
            </w:r>
            <w:r>
              <w:rPr>
                <w:rFonts w:hint="default" w:ascii="Times New Roman" w:hAnsi="Times New Roman" w:cs="Times New Roman"/>
                <w:color w:val="auto"/>
                <w:sz w:val="24"/>
                <w:szCs w:val="24"/>
                <w:lang w:eastAsia="zh-CN"/>
              </w:rPr>
              <w:t>风力发电项目</w:t>
            </w:r>
            <w:r>
              <w:rPr>
                <w:rFonts w:hint="default" w:ascii="Times New Roman" w:hAnsi="Times New Roman" w:cs="Times New Roman"/>
                <w:color w:val="auto"/>
                <w:sz w:val="24"/>
                <w:szCs w:val="24"/>
              </w:rPr>
              <w:t>，符合《中华人民共和国国民经济和社会发展第十四个五年规划和2035年远景目标纲要》中“大力提升</w:t>
            </w:r>
            <w:r>
              <w:rPr>
                <w:rFonts w:hint="default" w:ascii="Times New Roman" w:hAnsi="Times New Roman" w:cs="Times New Roman"/>
                <w:color w:val="auto"/>
                <w:sz w:val="24"/>
                <w:szCs w:val="24"/>
                <w:lang w:val="en-US" w:eastAsia="zh-CN"/>
              </w:rPr>
              <w:t>光伏发电</w:t>
            </w:r>
            <w:r>
              <w:rPr>
                <w:rFonts w:hint="default" w:ascii="Times New Roman" w:hAnsi="Times New Roman" w:cs="Times New Roman"/>
                <w:color w:val="auto"/>
                <w:sz w:val="24"/>
                <w:szCs w:val="24"/>
              </w:rPr>
              <w:t>规模”</w:t>
            </w:r>
            <w:r>
              <w:rPr>
                <w:rFonts w:hint="default" w:ascii="Times New Roman" w:hAnsi="Times New Roman" w:cs="Times New Roman"/>
                <w:color w:val="auto"/>
                <w:sz w:val="24"/>
                <w:szCs w:val="24"/>
                <w:lang w:eastAsia="zh-CN"/>
              </w:rPr>
              <w:t>的要求</w:t>
            </w:r>
            <w:r>
              <w:rPr>
                <w:rFonts w:hint="default" w:ascii="Times New Roman" w:hAnsi="Times New Roman" w:cs="Times New Roman"/>
                <w:color w:val="auto"/>
                <w:sz w:val="24"/>
                <w:szCs w:val="24"/>
              </w:rPr>
              <w:t>。</w:t>
            </w:r>
          </w:p>
          <w:p w14:paraId="6860EB3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4、与《</w:t>
            </w:r>
            <w:r>
              <w:rPr>
                <w:rFonts w:hint="default" w:ascii="Times New Roman" w:hAnsi="Times New Roman" w:eastAsia="宋体" w:cs="Times New Roman"/>
                <w:b/>
                <w:bCs/>
                <w:color w:val="auto"/>
                <w:sz w:val="24"/>
                <w:szCs w:val="24"/>
                <w:lang w:val="en-US" w:eastAsia="zh-CN"/>
              </w:rPr>
              <w:t>昌吉回族自治州国民经济和社会发展第十四个五年规划和2035年远景目标纲要</w:t>
            </w:r>
            <w:r>
              <w:rPr>
                <w:rFonts w:hint="default" w:ascii="Times New Roman" w:hAnsi="Times New Roman" w:cs="Times New Roman"/>
                <w:b/>
                <w:bCs/>
                <w:color w:val="auto"/>
                <w:sz w:val="24"/>
                <w:szCs w:val="24"/>
                <w:lang w:val="en-US" w:eastAsia="zh-CN"/>
              </w:rPr>
              <w:t>》的符合性分析</w:t>
            </w:r>
          </w:p>
          <w:p w14:paraId="230E84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二、统筹优化电源布局</w:t>
            </w:r>
          </w:p>
          <w:p w14:paraId="4AA513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建设风光水火储一体化基地。因地制宜采取风电、光伏、水电、煤电、储能等互相补充多品种开发，强化灵活性电源调节作用，优化各类电源规模配比，保持能源基地送电可持续性。打造准东千万千瓦级风电光伏基地，推进新能源平价上网示范基地建设，加强调峰能力建设，促进可再生能源消纳，实现多能互补、综合开发。</w:t>
            </w:r>
          </w:p>
          <w:p w14:paraId="6D1076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加快“疆电外送”通道建设。加快准东至华东“疆电外送”配套电源项目建设，在“十四五”中期实现全面建成并网，提升准东至华东（皖南）±1100千伏特高压直流输电工程送电能力。</w:t>
            </w:r>
          </w:p>
          <w:p w14:paraId="53EB9F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促进源网荷储一体化融合发展。创新电力生产消费模式，优化整合电源侧、电网侧和需求侧资源，构建源网荷储高度融合的新一代电力系统，实现源网荷储的深度协同，充分发挥负荷侧的调节能力。利用云计算、大数据、人工智能、物联网等技术，加强源网荷储互动，建立新型电力调度运行体系，构建虚拟电厂，发挥市场机制作用，引导源网荷储主动作为、自发组合、优化匹配、灵活调节、一体化发展，为电力系统提供支撑。</w:t>
            </w:r>
          </w:p>
          <w:p w14:paraId="005AA03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val="0"/>
                <w:bCs/>
                <w:snapToGrid w:val="0"/>
                <w:color w:val="auto"/>
                <w:sz w:val="24"/>
                <w:szCs w:val="24"/>
                <w:lang w:val="en-US" w:eastAsia="zh-CN" w:bidi="ar-SA"/>
              </w:rPr>
              <w:t>本项目为</w:t>
            </w:r>
            <w:r>
              <w:rPr>
                <w:rFonts w:hint="default" w:ascii="Times New Roman" w:hAnsi="Times New Roman" w:cs="Times New Roman"/>
                <w:color w:val="auto"/>
                <w:sz w:val="24"/>
                <w:szCs w:val="24"/>
                <w:lang w:eastAsia="zh-CN"/>
              </w:rPr>
              <w:t>风力发电项目，</w:t>
            </w:r>
            <w:r>
              <w:rPr>
                <w:rFonts w:hint="default" w:ascii="Times New Roman" w:hAnsi="Times New Roman" w:eastAsia="宋体" w:cs="Times New Roman"/>
                <w:b w:val="0"/>
                <w:bCs/>
                <w:snapToGrid w:val="0"/>
                <w:color w:val="auto"/>
                <w:sz w:val="24"/>
                <w:szCs w:val="24"/>
                <w:lang w:val="en-US" w:eastAsia="zh-CN" w:bidi="ar-SA"/>
              </w:rPr>
              <w:t>符合《昌吉回族自治州国民经济和社会发展第十四个五年规划和2035年远景目标纲要》。</w:t>
            </w:r>
          </w:p>
          <w:p w14:paraId="44046A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5</w:t>
            </w:r>
            <w:r>
              <w:rPr>
                <w:rFonts w:hint="default" w:ascii="Times New Roman" w:hAnsi="Times New Roman" w:eastAsia="宋体" w:cs="Times New Roman"/>
                <w:b/>
                <w:bCs/>
                <w:color w:val="auto"/>
                <w:sz w:val="24"/>
                <w:szCs w:val="24"/>
                <w:lang w:val="en-US" w:eastAsia="zh-CN"/>
              </w:rPr>
              <w:t>、与《新疆生态环境保护“十四五”规划》符合性分析</w:t>
            </w:r>
          </w:p>
          <w:p w14:paraId="1613232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根据《新疆生态环境保护“十四五”规划》：第三节建设清洁低碳能源体系</w:t>
            </w:r>
          </w:p>
          <w:p w14:paraId="75B1ED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严格控制煤炭消费。加强能耗“双控”管理，合理控制能源消费增量，优化能源消费结构，对“乌—昌—石”“奎—独—乌”等重点区域实施新建用煤项目等量或减量替代。合理控制煤电装机规模，有序淘汰煤电落后产能，推进燃煤电厂灵活性和供热改造。按照宜电则电、宜气则气的原则，继续推进“电气化新疆”建设，实施清洁能源行动计划，加快城乡结合部、农村民用和农业生产散烧煤的清洁能源替代，加大可再生能源消纳力度。稳步推进“煤改电”工程，拓展多种清洁供暖方式，提高清洁能源利用水平，暂不能通过清洁供暖替代散煤的地区，严禁使用劣质煤，可利用“洁净煤+节能环保炉具”替代散烧煤，或鼓励在小城镇和农村地区用户使用太阳能供暖系统。</w:t>
            </w:r>
          </w:p>
          <w:p w14:paraId="7F19BC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大力发展清洁能源。进一步壮大清洁能源产业，着力转变能源生产和消费模式，推动化石能源转型升级。加快非化石能源发展，推进风电和太阳能发电基地建设，积极开发分布式太阳能发电和分散式风电，支持可再生能源与工业、建筑、交通、农业、生态等产业和设施协同发展，配套发展储能产业，推进抽水蓄能电站建设，加快新型储能示范推广应用。积极发展可再生能源微电网、局域网，提高可再生能源的推广和消纳能力。</w:t>
            </w:r>
          </w:p>
          <w:p w14:paraId="31A6B4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推动建筑领域绿色低碳发展。严格新建建筑节能要求，推进公共建筑执行节能75%标准，鼓励建设超低能耗建筑和近零能耗建筑。将绿色建筑基本要求纳入工程建设强制规范，城镇新建建筑全面建成绿色建筑。推动农村居住建筑节能设计标准实施，开展节能技术试点。持续推动供热老旧管网节能改造，因地制宜采用可再生能源、燃气、电力、热电联产等方式加快供暖燃煤锅炉替代，逐步开展公共建筑能耗限额管理。提高清洁能源占比和能源高效利用，鼓励有条件的地区实施太阳能、浅层地热能、空气热能、生物质能等可再生能源供暖。</w:t>
            </w:r>
          </w:p>
          <w:p w14:paraId="43560E2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b w:val="0"/>
                <w:bCs/>
                <w:snapToGrid w:val="0"/>
                <w:color w:val="auto"/>
                <w:sz w:val="24"/>
                <w:szCs w:val="24"/>
                <w:lang w:val="en-US" w:eastAsia="zh-CN" w:bidi="ar-SA"/>
              </w:rPr>
            </w:pPr>
            <w:r>
              <w:rPr>
                <w:rFonts w:hint="default" w:ascii="Times New Roman" w:hAnsi="Times New Roman" w:eastAsia="宋体" w:cs="Times New Roman"/>
                <w:b w:val="0"/>
                <w:bCs/>
                <w:snapToGrid w:val="0"/>
                <w:color w:val="auto"/>
                <w:sz w:val="24"/>
                <w:szCs w:val="24"/>
                <w:lang w:val="en-US" w:eastAsia="zh-CN" w:bidi="ar-SA"/>
              </w:rPr>
              <w:t>本项目为</w:t>
            </w:r>
            <w:r>
              <w:rPr>
                <w:rFonts w:hint="default" w:ascii="Times New Roman" w:hAnsi="Times New Roman" w:cs="Times New Roman"/>
                <w:color w:val="auto"/>
                <w:sz w:val="24"/>
                <w:szCs w:val="24"/>
                <w:lang w:eastAsia="zh-CN"/>
              </w:rPr>
              <w:t>风力发电项目，</w:t>
            </w:r>
            <w:r>
              <w:rPr>
                <w:rFonts w:hint="default" w:ascii="Times New Roman" w:hAnsi="Times New Roman" w:eastAsia="宋体" w:cs="Times New Roman"/>
                <w:b w:val="0"/>
                <w:bCs/>
                <w:snapToGrid w:val="0"/>
                <w:color w:val="auto"/>
                <w:sz w:val="24"/>
                <w:szCs w:val="24"/>
                <w:lang w:val="en-US" w:eastAsia="zh-CN" w:bidi="ar-SA"/>
              </w:rPr>
              <w:t>符合《新疆生态环境保护“十四五”规划》。</w:t>
            </w:r>
          </w:p>
          <w:p w14:paraId="54481D37">
            <w:pPr>
              <w:numPr>
                <w:ilvl w:val="0"/>
                <w:numId w:val="0"/>
              </w:numPr>
              <w:spacing w:line="360" w:lineRule="auto"/>
              <w:ind w:firstLine="482" w:firstLineChars="200"/>
              <w:rPr>
                <w:rFonts w:hint="default" w:ascii="Times New Roman" w:hAnsi="Times New Roman" w:eastAsia="宋体" w:cs="Times New Roman"/>
                <w:b/>
                <w:bCs w:val="0"/>
                <w:snapToGrid w:val="0"/>
                <w:color w:val="auto"/>
                <w:sz w:val="24"/>
                <w:szCs w:val="24"/>
                <w:lang w:val="en-US" w:eastAsia="zh-CN" w:bidi="ar-SA"/>
              </w:rPr>
            </w:pPr>
            <w:r>
              <w:rPr>
                <w:rFonts w:hint="default" w:ascii="Times New Roman" w:hAnsi="Times New Roman" w:cs="Times New Roman"/>
                <w:b/>
                <w:bCs/>
                <w:color w:val="auto"/>
                <w:sz w:val="24"/>
                <w:szCs w:val="24"/>
                <w:lang w:val="en-US" w:eastAsia="zh-CN"/>
              </w:rPr>
              <w:t>6</w:t>
            </w:r>
            <w:r>
              <w:rPr>
                <w:rFonts w:hint="default" w:ascii="Times New Roman" w:hAnsi="Times New Roman" w:eastAsia="宋体" w:cs="Times New Roman"/>
                <w:b/>
                <w:bCs/>
                <w:color w:val="auto"/>
                <w:sz w:val="24"/>
                <w:szCs w:val="24"/>
                <w:lang w:val="en-US" w:eastAsia="zh-CN"/>
              </w:rPr>
              <w:t>、</w:t>
            </w:r>
            <w:r>
              <w:rPr>
                <w:rFonts w:hint="default" w:ascii="Times New Roman" w:hAnsi="Times New Roman" w:eastAsia="宋体" w:cs="Times New Roman"/>
                <w:b/>
                <w:bCs w:val="0"/>
                <w:snapToGrid w:val="0"/>
                <w:color w:val="auto"/>
                <w:sz w:val="24"/>
                <w:szCs w:val="24"/>
                <w:lang w:val="en-US" w:eastAsia="zh-CN" w:bidi="ar-SA"/>
              </w:rPr>
              <w:t>与《可再生能源中长期发展规划》的符合性</w:t>
            </w:r>
          </w:p>
          <w:p w14:paraId="3ADB78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sz w:val="24"/>
                <w:szCs w:val="24"/>
                <w:lang w:val="en-US" w:eastAsia="zh-CN" w:bidi="ar-SA"/>
              </w:rPr>
            </w:pPr>
            <w:r>
              <w:rPr>
                <w:rFonts w:hint="default" w:ascii="Times New Roman" w:hAnsi="Times New Roman" w:eastAsia="宋体" w:cs="Times New Roman"/>
                <w:b w:val="0"/>
                <w:bCs/>
                <w:snapToGrid w:val="0"/>
                <w:color w:val="auto"/>
                <w:sz w:val="24"/>
                <w:szCs w:val="24"/>
                <w:lang w:val="en-US" w:eastAsia="zh-CN" w:bidi="ar-SA"/>
              </w:rPr>
              <w:t>《可再生能源中长期发展规划》提出，从现在到2020年期间我国可再生能源发展的具体发展目标包括充分利用水电、沼气、太阳能热利用和地热能等技术成熟、经济性好的可再生能源，加快推进风力发电、生物质发电、太阳能发电的产业化发展。</w:t>
            </w:r>
          </w:p>
          <w:p w14:paraId="3AC0F2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sz w:val="24"/>
                <w:szCs w:val="24"/>
                <w:lang w:val="en-US" w:eastAsia="zh-CN" w:bidi="ar-SA"/>
              </w:rPr>
            </w:pPr>
            <w:r>
              <w:rPr>
                <w:rFonts w:hint="default" w:ascii="Times New Roman" w:hAnsi="Times New Roman" w:eastAsia="宋体" w:cs="Times New Roman"/>
                <w:b w:val="0"/>
                <w:bCs/>
                <w:snapToGrid w:val="0"/>
                <w:color w:val="auto"/>
                <w:sz w:val="24"/>
                <w:szCs w:val="24"/>
                <w:lang w:val="en-US" w:eastAsia="zh-CN" w:bidi="ar-SA"/>
              </w:rPr>
              <w:t>本项目为</w:t>
            </w:r>
            <w:r>
              <w:rPr>
                <w:rFonts w:hint="default" w:ascii="Times New Roman" w:hAnsi="Times New Roman" w:cs="Times New Roman"/>
                <w:color w:val="auto"/>
                <w:sz w:val="24"/>
                <w:szCs w:val="24"/>
                <w:lang w:eastAsia="zh-CN"/>
              </w:rPr>
              <w:t>风力发电项目</w:t>
            </w:r>
            <w:r>
              <w:rPr>
                <w:rFonts w:hint="default" w:ascii="Times New Roman" w:hAnsi="Times New Roman" w:eastAsia="宋体" w:cs="Times New Roman"/>
                <w:b w:val="0"/>
                <w:bCs/>
                <w:snapToGrid w:val="0"/>
                <w:color w:val="auto"/>
                <w:sz w:val="24"/>
                <w:szCs w:val="24"/>
                <w:lang w:val="en-US" w:eastAsia="zh-CN" w:bidi="ar-SA"/>
              </w:rPr>
              <w:t>，符合《可再生能源中长期发展规划》。</w:t>
            </w:r>
          </w:p>
          <w:p w14:paraId="188280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val="0"/>
                <w:snapToGrid w:val="0"/>
                <w:color w:val="auto"/>
                <w:sz w:val="24"/>
                <w:szCs w:val="24"/>
                <w:lang w:val="en-US" w:eastAsia="zh-CN" w:bidi="ar-SA"/>
              </w:rPr>
            </w:pPr>
            <w:r>
              <w:rPr>
                <w:rFonts w:hint="default" w:ascii="Times New Roman" w:hAnsi="Times New Roman" w:cs="Times New Roman"/>
                <w:b/>
                <w:bCs w:val="0"/>
                <w:snapToGrid w:val="0"/>
                <w:color w:val="auto"/>
                <w:sz w:val="24"/>
                <w:szCs w:val="24"/>
                <w:lang w:val="en-US" w:eastAsia="zh-CN" w:bidi="ar-SA"/>
              </w:rPr>
              <w:t>7</w:t>
            </w:r>
            <w:r>
              <w:rPr>
                <w:rFonts w:hint="default" w:ascii="Times New Roman" w:hAnsi="Times New Roman" w:eastAsia="宋体" w:cs="Times New Roman"/>
                <w:b/>
                <w:bCs w:val="0"/>
                <w:snapToGrid w:val="0"/>
                <w:color w:val="auto"/>
                <w:sz w:val="24"/>
                <w:szCs w:val="24"/>
                <w:lang w:val="en-US" w:eastAsia="zh-CN" w:bidi="ar-SA"/>
              </w:rPr>
              <w:t>、与《</w:t>
            </w:r>
            <w:r>
              <w:rPr>
                <w:rFonts w:hint="default" w:ascii="Times New Roman" w:hAnsi="Times New Roman" w:cs="Times New Roman"/>
                <w:b/>
                <w:bCs w:val="0"/>
                <w:snapToGrid w:val="0"/>
                <w:color w:val="auto"/>
                <w:sz w:val="24"/>
                <w:szCs w:val="24"/>
                <w:lang w:val="en-US" w:eastAsia="zh-CN" w:bidi="ar-SA"/>
              </w:rPr>
              <w:t>中共中央、国务院</w:t>
            </w:r>
            <w:r>
              <w:rPr>
                <w:rFonts w:hint="default" w:ascii="Times New Roman" w:hAnsi="Times New Roman" w:eastAsia="宋体" w:cs="Times New Roman"/>
                <w:b/>
                <w:bCs w:val="0"/>
                <w:snapToGrid w:val="0"/>
                <w:color w:val="auto"/>
                <w:sz w:val="24"/>
                <w:szCs w:val="24"/>
                <w:lang w:val="en-US" w:eastAsia="zh-CN" w:bidi="ar-SA"/>
              </w:rPr>
              <w:t>关于加快推进生态文明</w:t>
            </w:r>
            <w:r>
              <w:rPr>
                <w:rFonts w:hint="default" w:ascii="Times New Roman" w:hAnsi="Times New Roman" w:cs="Times New Roman"/>
                <w:b/>
                <w:bCs w:val="0"/>
                <w:snapToGrid w:val="0"/>
                <w:color w:val="auto"/>
                <w:sz w:val="24"/>
                <w:szCs w:val="24"/>
                <w:lang w:val="en-US" w:eastAsia="zh-CN" w:bidi="ar-SA"/>
              </w:rPr>
              <w:t>建设</w:t>
            </w:r>
            <w:r>
              <w:rPr>
                <w:rFonts w:hint="default" w:ascii="Times New Roman" w:hAnsi="Times New Roman" w:eastAsia="宋体" w:cs="Times New Roman"/>
                <w:b/>
                <w:bCs w:val="0"/>
                <w:snapToGrid w:val="0"/>
                <w:color w:val="auto"/>
                <w:sz w:val="24"/>
                <w:szCs w:val="24"/>
                <w:lang w:val="en-US" w:eastAsia="zh-CN" w:bidi="ar-SA"/>
              </w:rPr>
              <w:t>意见》（中发</w:t>
            </w:r>
            <w:r>
              <w:rPr>
                <w:rFonts w:hint="default" w:ascii="Times New Roman" w:hAnsi="Times New Roman" w:eastAsia="宋体" w:cs="Times New Roman"/>
                <w:b/>
                <w:bCs w:val="0"/>
                <w:snapToGrid w:val="0"/>
                <w:color w:val="auto"/>
                <w:sz w:val="24"/>
                <w:szCs w:val="24"/>
                <w:lang w:val="en-US" w:eastAsia="zh-CN" w:bidi="ar-SA"/>
              </w:rPr>
              <w:t>〔</w:t>
            </w:r>
            <w:r>
              <w:rPr>
                <w:rFonts w:hint="default" w:ascii="Times New Roman" w:hAnsi="Times New Roman" w:eastAsia="宋体" w:cs="Times New Roman"/>
                <w:b/>
                <w:bCs w:val="0"/>
                <w:snapToGrid w:val="0"/>
                <w:color w:val="auto"/>
                <w:sz w:val="24"/>
                <w:szCs w:val="24"/>
                <w:lang w:val="en-US" w:eastAsia="zh-CN" w:bidi="ar-SA"/>
              </w:rPr>
              <w:t>2015</w:t>
            </w:r>
            <w:r>
              <w:rPr>
                <w:rFonts w:hint="default" w:ascii="Times New Roman" w:hAnsi="Times New Roman" w:eastAsia="宋体" w:cs="Times New Roman"/>
                <w:b/>
                <w:bCs w:val="0"/>
                <w:snapToGrid w:val="0"/>
                <w:color w:val="auto"/>
                <w:sz w:val="24"/>
                <w:szCs w:val="24"/>
                <w:lang w:val="en-US" w:eastAsia="zh-CN" w:bidi="ar-SA"/>
              </w:rPr>
              <w:t>〕</w:t>
            </w:r>
            <w:r>
              <w:rPr>
                <w:rFonts w:hint="default" w:ascii="Times New Roman" w:hAnsi="Times New Roman" w:eastAsia="宋体" w:cs="Times New Roman"/>
                <w:b/>
                <w:bCs w:val="0"/>
                <w:snapToGrid w:val="0"/>
                <w:color w:val="auto"/>
                <w:sz w:val="24"/>
                <w:szCs w:val="24"/>
                <w:lang w:val="en-US" w:eastAsia="zh-CN" w:bidi="ar-SA"/>
              </w:rPr>
              <w:t>12号）的符合性</w:t>
            </w:r>
          </w:p>
          <w:p w14:paraId="76AEB6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sz w:val="24"/>
                <w:szCs w:val="24"/>
                <w:lang w:val="en-US" w:eastAsia="zh-CN" w:bidi="ar-SA"/>
              </w:rPr>
            </w:pPr>
            <w:r>
              <w:rPr>
                <w:rFonts w:hint="default" w:ascii="Times New Roman" w:hAnsi="Times New Roman" w:eastAsia="宋体" w:cs="Times New Roman"/>
                <w:b w:val="0"/>
                <w:bCs/>
                <w:snapToGrid w:val="0"/>
                <w:color w:val="auto"/>
                <w:sz w:val="24"/>
                <w:szCs w:val="24"/>
                <w:lang w:val="en-US" w:eastAsia="zh-CN" w:bidi="ar-SA"/>
              </w:rPr>
              <w:t>意见提出，调整能源结构，推动传统能源安全绿色开发和清洁低碳利用。发展清洁能源、可再生能源，不断提高非化石能源在能源消费结构中的比重。加快核电、风电、太阳能光伏发电等新材料、新装备的研发和推广，推进生物质发电、生物质能源、沼气、地热、浅层低温能、海洋能等应用，发展分布式能源，建设智能电网，完善运行管理体系。</w:t>
            </w:r>
          </w:p>
          <w:p w14:paraId="3CE981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sz w:val="24"/>
                <w:szCs w:val="24"/>
                <w:lang w:val="en-US" w:eastAsia="zh-CN" w:bidi="ar-SA"/>
              </w:rPr>
            </w:pPr>
            <w:r>
              <w:rPr>
                <w:rFonts w:hint="default" w:ascii="Times New Roman" w:hAnsi="Times New Roman" w:eastAsia="宋体" w:cs="Times New Roman"/>
                <w:b w:val="0"/>
                <w:bCs/>
                <w:snapToGrid w:val="0"/>
                <w:color w:val="auto"/>
                <w:sz w:val="24"/>
                <w:szCs w:val="24"/>
                <w:lang w:val="en-US" w:eastAsia="zh-CN" w:bidi="ar-SA"/>
              </w:rPr>
              <w:t>本项目为</w:t>
            </w:r>
            <w:r>
              <w:rPr>
                <w:rFonts w:hint="default" w:ascii="Times New Roman" w:hAnsi="Times New Roman" w:cs="Times New Roman"/>
                <w:color w:val="auto"/>
                <w:sz w:val="24"/>
                <w:lang w:val="en-US" w:eastAsia="zh-CN"/>
              </w:rPr>
              <w:t>风力发电项目</w:t>
            </w:r>
            <w:r>
              <w:rPr>
                <w:rFonts w:hint="default" w:ascii="Times New Roman" w:hAnsi="Times New Roman" w:eastAsia="宋体" w:cs="Times New Roman"/>
                <w:b w:val="0"/>
                <w:bCs/>
                <w:snapToGrid w:val="0"/>
                <w:color w:val="auto"/>
                <w:sz w:val="24"/>
                <w:szCs w:val="24"/>
                <w:lang w:val="en-US" w:eastAsia="zh-CN" w:bidi="ar-SA"/>
              </w:rPr>
              <w:t>，符合</w:t>
            </w:r>
            <w:r>
              <w:rPr>
                <w:rFonts w:hint="default" w:ascii="Times New Roman" w:hAnsi="Times New Roman" w:cs="Times New Roman"/>
                <w:b w:val="0"/>
                <w:bCs/>
                <w:snapToGrid w:val="0"/>
                <w:color w:val="auto"/>
                <w:sz w:val="24"/>
                <w:szCs w:val="24"/>
                <w:lang w:val="en-US" w:eastAsia="zh-CN" w:bidi="ar-SA"/>
              </w:rPr>
              <w:t>《中共中央 国务院</w:t>
            </w:r>
            <w:r>
              <w:rPr>
                <w:rFonts w:hint="default" w:ascii="Times New Roman" w:hAnsi="Times New Roman" w:eastAsia="宋体" w:cs="Times New Roman"/>
                <w:b w:val="0"/>
                <w:bCs/>
                <w:snapToGrid w:val="0"/>
                <w:color w:val="auto"/>
                <w:sz w:val="24"/>
                <w:szCs w:val="24"/>
                <w:lang w:val="en-US" w:eastAsia="zh-CN" w:bidi="ar-SA"/>
              </w:rPr>
              <w:t>关于加快推进生态文明</w:t>
            </w:r>
            <w:r>
              <w:rPr>
                <w:rFonts w:hint="default" w:ascii="Times New Roman" w:hAnsi="Times New Roman" w:cs="Times New Roman"/>
                <w:b w:val="0"/>
                <w:bCs/>
                <w:snapToGrid w:val="0"/>
                <w:color w:val="auto"/>
                <w:sz w:val="24"/>
                <w:szCs w:val="24"/>
                <w:lang w:val="en-US" w:eastAsia="zh-CN" w:bidi="ar-SA"/>
              </w:rPr>
              <w:t>建设</w:t>
            </w:r>
            <w:r>
              <w:rPr>
                <w:rFonts w:hint="default" w:ascii="Times New Roman" w:hAnsi="Times New Roman" w:eastAsia="宋体" w:cs="Times New Roman"/>
                <w:b w:val="0"/>
                <w:bCs/>
                <w:snapToGrid w:val="0"/>
                <w:color w:val="auto"/>
                <w:sz w:val="24"/>
                <w:szCs w:val="24"/>
                <w:lang w:val="en-US" w:eastAsia="zh-CN" w:bidi="ar-SA"/>
              </w:rPr>
              <w:t>意见》（中发</w:t>
            </w:r>
            <w:r>
              <w:rPr>
                <w:rFonts w:hint="default" w:ascii="Times New Roman" w:hAnsi="Times New Roman" w:eastAsia="宋体" w:cs="Times New Roman"/>
                <w:b w:val="0"/>
                <w:bCs/>
                <w:snapToGrid w:val="0"/>
                <w:color w:val="auto"/>
                <w:sz w:val="24"/>
                <w:szCs w:val="24"/>
                <w:lang w:val="en-US" w:eastAsia="zh-CN" w:bidi="ar-SA"/>
              </w:rPr>
              <w:t>〔</w:t>
            </w:r>
            <w:r>
              <w:rPr>
                <w:rFonts w:hint="default" w:ascii="Times New Roman" w:hAnsi="Times New Roman" w:eastAsia="宋体" w:cs="Times New Roman"/>
                <w:b w:val="0"/>
                <w:bCs/>
                <w:snapToGrid w:val="0"/>
                <w:color w:val="auto"/>
                <w:sz w:val="24"/>
                <w:szCs w:val="24"/>
                <w:lang w:val="en-US" w:eastAsia="zh-CN" w:bidi="ar-SA"/>
              </w:rPr>
              <w:t>2015</w:t>
            </w:r>
            <w:r>
              <w:rPr>
                <w:rFonts w:hint="default" w:ascii="Times New Roman" w:hAnsi="Times New Roman" w:eastAsia="宋体" w:cs="Times New Roman"/>
                <w:b w:val="0"/>
                <w:bCs/>
                <w:snapToGrid w:val="0"/>
                <w:color w:val="auto"/>
                <w:sz w:val="24"/>
                <w:szCs w:val="24"/>
                <w:lang w:val="en-US" w:eastAsia="zh-CN" w:bidi="ar-SA"/>
              </w:rPr>
              <w:t>〕</w:t>
            </w:r>
            <w:r>
              <w:rPr>
                <w:rFonts w:hint="default" w:ascii="Times New Roman" w:hAnsi="Times New Roman" w:eastAsia="宋体" w:cs="Times New Roman"/>
                <w:b w:val="0"/>
                <w:bCs/>
                <w:snapToGrid w:val="0"/>
                <w:color w:val="auto"/>
                <w:sz w:val="24"/>
                <w:szCs w:val="24"/>
                <w:lang w:val="en-US" w:eastAsia="zh-CN" w:bidi="ar-SA"/>
              </w:rPr>
              <w:t>12号）。</w:t>
            </w:r>
          </w:p>
          <w:p w14:paraId="30B683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auto"/>
                <w:sz w:val="24"/>
                <w:lang w:val="en-US" w:eastAsia="zh-CN"/>
              </w:rPr>
            </w:pPr>
            <w:r>
              <w:rPr>
                <w:rFonts w:hint="default" w:ascii="Times New Roman" w:hAnsi="Times New Roman" w:cs="Times New Roman"/>
                <w:b/>
                <w:bCs/>
                <w:color w:val="auto"/>
                <w:sz w:val="24"/>
                <w:lang w:val="en-US" w:eastAsia="zh-CN"/>
              </w:rPr>
              <w:t>8</w:t>
            </w:r>
            <w:r>
              <w:rPr>
                <w:rFonts w:hint="default" w:ascii="Times New Roman" w:hAnsi="Times New Roman" w:cs="Times New Roman"/>
                <w:b/>
                <w:bCs/>
                <w:color w:val="auto"/>
                <w:sz w:val="24"/>
                <w:lang w:val="en-US" w:eastAsia="zh-CN"/>
              </w:rPr>
              <w:t>、与《</w:t>
            </w:r>
            <w:r>
              <w:rPr>
                <w:rFonts w:hint="default" w:ascii="Times New Roman" w:hAnsi="Times New Roman" w:cs="Times New Roman"/>
                <w:b/>
                <w:bCs/>
                <w:color w:val="auto"/>
                <w:sz w:val="24"/>
                <w:lang w:val="en-US"/>
              </w:rPr>
              <w:t>新疆维吾尔自治区重点行业环境准入条件（修订）</w:t>
            </w:r>
            <w:r>
              <w:rPr>
                <w:rFonts w:hint="default" w:ascii="Times New Roman" w:hAnsi="Times New Roman" w:cs="Times New Roman"/>
                <w:b/>
                <w:bCs/>
                <w:color w:val="auto"/>
                <w:sz w:val="24"/>
                <w:lang w:val="en-US" w:eastAsia="zh-CN"/>
              </w:rPr>
              <w:t>》符合性分析</w:t>
            </w:r>
          </w:p>
          <w:p w14:paraId="72E1597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lang w:val="en-US"/>
              </w:rPr>
            </w:pPr>
            <w:r>
              <w:rPr>
                <w:rFonts w:hint="default" w:ascii="Times New Roman" w:hAnsi="Times New Roman" w:cs="Times New Roman"/>
                <w:color w:val="auto"/>
                <w:sz w:val="24"/>
                <w:lang w:val="en-US"/>
              </w:rPr>
              <w:t>四、电力行业</w:t>
            </w:r>
          </w:p>
          <w:p w14:paraId="00C52B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lang w:val="en-US"/>
              </w:rPr>
            </w:pPr>
            <w:r>
              <w:rPr>
                <w:rFonts w:hint="default" w:ascii="Times New Roman" w:hAnsi="Times New Roman" w:cs="Times New Roman"/>
                <w:color w:val="auto"/>
                <w:sz w:val="24"/>
                <w:lang w:val="en-US"/>
              </w:rPr>
              <w:t>为规范电力建设项目环境管理，促进电力行业结构调整和技术进步，推动节能减排，控制污染，促进绿色发展，根据国家有关环保法律法规和规范要求，制定本环境准入条件。</w:t>
            </w:r>
          </w:p>
          <w:p w14:paraId="0C8B7D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lang w:val="en-US"/>
              </w:rPr>
            </w:pPr>
            <w:r>
              <w:rPr>
                <w:rFonts w:hint="default" w:ascii="Times New Roman" w:hAnsi="Times New Roman" w:cs="Times New Roman"/>
                <w:color w:val="auto"/>
                <w:sz w:val="24"/>
                <w:lang w:val="en-US"/>
              </w:rPr>
              <w:t>（一）适用范围</w:t>
            </w:r>
          </w:p>
          <w:p w14:paraId="5BE36C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lang w:val="en-US"/>
              </w:rPr>
            </w:pPr>
            <w:r>
              <w:rPr>
                <w:rFonts w:hint="default" w:ascii="Times New Roman" w:hAnsi="Times New Roman" w:cs="Times New Roman"/>
                <w:color w:val="auto"/>
                <w:sz w:val="24"/>
                <w:lang w:val="en-US"/>
              </w:rPr>
              <w:t>适用于自治区行政区域内新建、改建和扩建电源建设项目。包括火力、风力、光伏、垃圾、生物质发电项目。</w:t>
            </w:r>
          </w:p>
          <w:p w14:paraId="0014C6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lang w:val="en-US"/>
              </w:rPr>
            </w:pPr>
            <w:r>
              <w:rPr>
                <w:rFonts w:hint="default" w:ascii="Times New Roman" w:hAnsi="Times New Roman" w:cs="Times New Roman"/>
                <w:color w:val="auto"/>
                <w:sz w:val="24"/>
                <w:lang w:val="en-US"/>
              </w:rPr>
              <w:t>（二）选址与空间布局</w:t>
            </w:r>
          </w:p>
          <w:p w14:paraId="0C4BF0A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lang w:val="en-US"/>
              </w:rPr>
            </w:pPr>
            <w:r>
              <w:rPr>
                <w:rFonts w:hint="default" w:ascii="Times New Roman" w:hAnsi="Times New Roman" w:cs="Times New Roman"/>
                <w:color w:val="auto"/>
                <w:sz w:val="24"/>
                <w:lang w:val="en-US"/>
              </w:rPr>
              <w:t>风电、光伏发电项目应符合自治区风区规划及区域、产业规划要求，与项目当地风能、光伏资源、环境等情况相适应，用地必须符合土地供应政策和土地使用标准。</w:t>
            </w:r>
          </w:p>
          <w:p w14:paraId="77036D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lang w:val="en-US"/>
              </w:rPr>
            </w:pPr>
            <w:r>
              <w:rPr>
                <w:rFonts w:hint="default" w:ascii="Times New Roman" w:hAnsi="Times New Roman" w:cs="Times New Roman"/>
                <w:color w:val="auto"/>
                <w:sz w:val="24"/>
                <w:lang w:val="en-US"/>
              </w:rPr>
              <w:t>需采用先进成熟、节能环保型技术装备，保证机组的安全、稳定和长期运转。</w:t>
            </w:r>
          </w:p>
          <w:p w14:paraId="1A57A6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lang w:val="en-US"/>
              </w:rPr>
            </w:pPr>
            <w:r>
              <w:rPr>
                <w:rFonts w:hint="default" w:ascii="Times New Roman" w:hAnsi="Times New Roman" w:cs="Times New Roman"/>
                <w:color w:val="auto"/>
                <w:sz w:val="24"/>
                <w:lang w:val="en-US" w:eastAsia="zh-CN"/>
              </w:rPr>
              <w:t>本项目</w:t>
            </w:r>
            <w:r>
              <w:rPr>
                <w:rFonts w:hint="default" w:ascii="Times New Roman" w:hAnsi="Times New Roman" w:cs="Times New Roman"/>
                <w:color w:val="auto"/>
                <w:sz w:val="24"/>
                <w:lang w:val="en-US"/>
              </w:rPr>
              <w:t>采用先进成熟、节能环保型技术装备，保证机组的安全、稳定和长期运转。</w:t>
            </w:r>
          </w:p>
          <w:p w14:paraId="7C67BF8D">
            <w:pPr>
              <w:numPr>
                <w:ilvl w:val="0"/>
                <w:numId w:val="0"/>
              </w:numPr>
              <w:adjustRightInd w:val="0"/>
              <w:snapToGrid w:val="0"/>
              <w:spacing w:line="360" w:lineRule="auto"/>
              <w:ind w:firstLine="482" w:firstLineChars="200"/>
              <w:rPr>
                <w:rFonts w:hint="default" w:ascii="Times New Roman" w:hAnsi="Times New Roman" w:eastAsia="宋体" w:cs="Times New Roman"/>
                <w:color w:val="auto"/>
                <w:sz w:val="24"/>
                <w:szCs w:val="24"/>
              </w:rPr>
            </w:pPr>
            <w:r>
              <w:rPr>
                <w:rFonts w:hint="default" w:ascii="Times New Roman" w:hAnsi="Times New Roman" w:cs="Times New Roman"/>
                <w:b/>
                <w:bCs/>
                <w:color w:val="auto"/>
                <w:sz w:val="24"/>
                <w:szCs w:val="24"/>
                <w:lang w:val="en-US" w:eastAsia="zh-CN"/>
              </w:rPr>
              <w:t>9</w:t>
            </w:r>
            <w:r>
              <w:rPr>
                <w:rFonts w:hint="default" w:ascii="Times New Roman" w:hAnsi="Times New Roman" w:eastAsia="宋体" w:cs="Times New Roman"/>
                <w:b/>
                <w:bCs/>
                <w:color w:val="auto"/>
                <w:sz w:val="24"/>
                <w:szCs w:val="24"/>
              </w:rPr>
              <w:t>、与新疆维吾尔自治区主体功能区规划相符性</w:t>
            </w:r>
          </w:p>
          <w:p w14:paraId="796D7B9B">
            <w:pPr>
              <w:numPr>
                <w:ilvl w:val="0"/>
                <w:numId w:val="0"/>
              </w:numPr>
              <w:adjustRightInd w:val="0"/>
              <w:snapToGrid w:val="0"/>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新疆维吾尔自治区主体功能区规划》，新疆国土空间划分为重点开发、限制开发和禁止开发区域；按开发内容，分为城市化地区、农产品主产区和重点生态功能区；按层级，包括国家和自治区两个层面。本项目位于新疆维吾尔自治区昌吉回族自治州</w:t>
            </w:r>
            <w:r>
              <w:rPr>
                <w:rFonts w:hint="default" w:ascii="Times New Roman" w:hAnsi="Times New Roman" w:cs="Times New Roman"/>
                <w:color w:val="auto"/>
                <w:sz w:val="24"/>
                <w:szCs w:val="24"/>
                <w:lang w:eastAsia="zh-CN"/>
              </w:rPr>
              <w:t>木垒哈萨克自治县</w:t>
            </w:r>
            <w:r>
              <w:rPr>
                <w:rFonts w:hint="default" w:ascii="Times New Roman" w:hAnsi="Times New Roman" w:eastAsia="宋体" w:cs="Times New Roman"/>
                <w:color w:val="auto"/>
                <w:sz w:val="24"/>
                <w:szCs w:val="24"/>
              </w:rPr>
              <w:t>县城北侧；不属于主体功能区划中确定的国家和自治区层面的禁止开发区域。对照《新疆维吾尔自治区主体功能区规划》的划分，</w:t>
            </w:r>
            <w:r>
              <w:rPr>
                <w:rFonts w:hint="default" w:ascii="Times New Roman" w:hAnsi="Times New Roman" w:cs="Times New Roman"/>
                <w:color w:val="auto"/>
                <w:sz w:val="24"/>
                <w:szCs w:val="24"/>
                <w:lang w:eastAsia="zh-CN"/>
              </w:rPr>
              <w:t>木垒哈萨克自治县</w:t>
            </w:r>
            <w:r>
              <w:rPr>
                <w:rFonts w:hint="default" w:ascii="Times New Roman" w:hAnsi="Times New Roman" w:eastAsia="宋体" w:cs="Times New Roman"/>
                <w:color w:val="auto"/>
                <w:sz w:val="24"/>
                <w:szCs w:val="24"/>
              </w:rPr>
              <w:t>属于自治区级点状开发城镇。项目区主体功能区划图见附图5。</w:t>
            </w:r>
          </w:p>
          <w:p w14:paraId="2704BB59">
            <w:pPr>
              <w:numPr>
                <w:ilvl w:val="0"/>
                <w:numId w:val="0"/>
              </w:numPr>
              <w:spacing w:line="360" w:lineRule="auto"/>
              <w:ind w:leftChars="0" w:firstLine="480" w:firstLineChars="200"/>
              <w:rPr>
                <w:rFonts w:hint="default" w:ascii="Times New Roman" w:hAnsi="Times New Roman" w:cs="Times New Roman"/>
                <w:color w:val="auto"/>
                <w:sz w:val="24"/>
                <w:szCs w:val="24"/>
                <w:lang w:eastAsia="zh-CN"/>
              </w:rPr>
            </w:pPr>
            <w:r>
              <w:rPr>
                <w:rFonts w:hint="default" w:ascii="Times New Roman" w:hAnsi="Times New Roman" w:eastAsia="宋体" w:cs="Times New Roman"/>
                <w:color w:val="auto"/>
                <w:sz w:val="24"/>
                <w:szCs w:val="24"/>
              </w:rPr>
              <w:t>开发原则：统筹规划有限的绿洲空间；健全城市规模结构；加强基础设施建设；加快建立现代产业体系；保护生态环境；高效利用水资源，保护水环境，提高水质量；把握开发时序。相符性分析：本项目为电力能源基础设施建设项目，项目所在区域不在生态红线区内，符合“加强基础设施建设”</w:t>
            </w:r>
            <w:r>
              <w:rPr>
                <w:rFonts w:hint="default" w:ascii="Times New Roman" w:hAnsi="Times New Roman" w:cs="Times New Roman"/>
                <w:color w:val="auto"/>
                <w:sz w:val="24"/>
                <w:szCs w:val="24"/>
                <w:lang w:eastAsia="zh-CN"/>
              </w:rPr>
              <w:t>的开发原则</w:t>
            </w:r>
            <w:r>
              <w:rPr>
                <w:rFonts w:hint="default" w:ascii="Times New Roman" w:hAnsi="Times New Roman" w:eastAsia="宋体" w:cs="Times New Roman"/>
                <w:color w:val="auto"/>
                <w:sz w:val="24"/>
                <w:szCs w:val="24"/>
              </w:rPr>
              <w:t>；本工程为</w:t>
            </w:r>
            <w:r>
              <w:rPr>
                <w:rFonts w:hint="default" w:ascii="Times New Roman" w:hAnsi="Times New Roman" w:cs="Times New Roman"/>
                <w:color w:val="auto"/>
                <w:sz w:val="24"/>
                <w:szCs w:val="24"/>
                <w:lang w:val="en-US" w:eastAsia="zh-CN"/>
              </w:rPr>
              <w:t>新建</w:t>
            </w:r>
            <w:r>
              <w:rPr>
                <w:rFonts w:hint="default" w:ascii="Times New Roman" w:hAnsi="Times New Roman" w:eastAsia="宋体" w:cs="Times New Roman"/>
                <w:color w:val="auto"/>
                <w:sz w:val="24"/>
                <w:szCs w:val="24"/>
              </w:rPr>
              <w:t>工程，要求建设单位需对开发活动严格控制，尽可能减少对生态系统的干扰；在项目实施过程中积极采取生态保护措施，防沙治沙措施，加强对生态系统保护和恢复，高度注意保护植被，保护野生动物，保护地貌，维护自然生态环境，积极落实本环评提出的各项生态环境保护措施，因此，本项目建设符合《新疆维吾尔自治区主体功能区规划》对于项目区块的开发原则，与区域生态功能的保护是协调的</w:t>
            </w:r>
            <w:r>
              <w:rPr>
                <w:rFonts w:hint="default" w:ascii="Times New Roman" w:hAnsi="Times New Roman" w:cs="Times New Roman"/>
                <w:color w:val="auto"/>
                <w:sz w:val="24"/>
                <w:szCs w:val="24"/>
                <w:lang w:eastAsia="zh-CN"/>
              </w:rPr>
              <w:t>。</w:t>
            </w:r>
          </w:p>
          <w:p w14:paraId="415B762F">
            <w:pPr>
              <w:numPr>
                <w:ilvl w:val="0"/>
                <w:numId w:val="0"/>
              </w:numPr>
              <w:spacing w:line="360" w:lineRule="auto"/>
              <w:ind w:leftChars="0" w:firstLine="482" w:firstLineChars="200"/>
              <w:rPr>
                <w:rFonts w:hint="default" w:ascii="Times New Roman" w:hAnsi="Times New Roman" w:eastAsia="宋体"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10、</w:t>
            </w:r>
            <w:r>
              <w:rPr>
                <w:rFonts w:hint="default" w:ascii="Times New Roman" w:hAnsi="Times New Roman" w:eastAsia="宋体" w:cs="Times New Roman"/>
                <w:b/>
                <w:bCs/>
                <w:color w:val="auto"/>
                <w:sz w:val="24"/>
                <w:szCs w:val="24"/>
                <w:lang w:val="en-US" w:eastAsia="zh-CN"/>
              </w:rPr>
              <w:t>《新疆电网“十四五”电力发展规划》</w:t>
            </w:r>
            <w:r>
              <w:rPr>
                <w:rFonts w:hint="default" w:ascii="Times New Roman" w:hAnsi="Times New Roman" w:eastAsia="宋体" w:cs="Times New Roman"/>
                <w:b/>
                <w:bCs/>
                <w:color w:val="auto"/>
                <w:sz w:val="24"/>
                <w:szCs w:val="24"/>
                <w:lang w:val="en-US" w:eastAsia="zh-CN"/>
              </w:rPr>
              <w:t>的符合性</w:t>
            </w:r>
          </w:p>
          <w:p w14:paraId="70D668B7">
            <w:pPr>
              <w:numPr>
                <w:ilvl w:val="0"/>
                <w:numId w:val="0"/>
              </w:numPr>
              <w:spacing w:line="360" w:lineRule="auto"/>
              <w:ind w:leftChars="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新疆电网“十四五”电力发展规划》提出，“十四五”期间，风电新增规模2245万千瓦，其中内用风电主要布局在具备平价上网条件的哈密、昌吉、吐鲁番、阿勒泰、塔城、乌鲁木齐、巴州等主要地州，外送风电主要结合哈密北直流在哈密北部布局配套电源600万千瓦。</w:t>
            </w:r>
          </w:p>
          <w:p w14:paraId="0E46DC46">
            <w:pPr>
              <w:numPr>
                <w:ilvl w:val="0"/>
                <w:numId w:val="0"/>
              </w:numPr>
              <w:spacing w:line="360" w:lineRule="auto"/>
              <w:ind w:leftChars="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本项目位于</w:t>
            </w:r>
            <w:r>
              <w:rPr>
                <w:rFonts w:hint="default" w:ascii="Times New Roman" w:hAnsi="Times New Roman" w:cs="Times New Roman"/>
                <w:color w:val="auto"/>
                <w:sz w:val="24"/>
                <w:lang w:val="en-US" w:eastAsia="zh-CN"/>
              </w:rPr>
              <w:t>新疆昌吉回族自治州木垒哈萨克自治县境内</w:t>
            </w:r>
            <w:r>
              <w:rPr>
                <w:rFonts w:hint="default" w:ascii="Times New Roman" w:hAnsi="Times New Roman" w:eastAsia="宋体" w:cs="Times New Roman"/>
                <w:color w:val="auto"/>
                <w:sz w:val="24"/>
                <w:szCs w:val="24"/>
                <w:lang w:val="en-US" w:eastAsia="zh-CN"/>
              </w:rPr>
              <w:t>，本项目位于规划提出的准东千万千瓦级新能源基地中的</w:t>
            </w:r>
            <w:r>
              <w:rPr>
                <w:rFonts w:hint="default" w:ascii="Times New Roman" w:hAnsi="Times New Roman" w:cs="Times New Roman"/>
                <w:color w:val="auto"/>
                <w:sz w:val="24"/>
                <w:szCs w:val="24"/>
                <w:lang w:val="en-US" w:eastAsia="zh-CN"/>
              </w:rPr>
              <w:t>光伏</w:t>
            </w:r>
            <w:r>
              <w:rPr>
                <w:rFonts w:hint="default" w:ascii="Times New Roman" w:hAnsi="Times New Roman" w:eastAsia="宋体" w:cs="Times New Roman"/>
                <w:color w:val="auto"/>
                <w:sz w:val="24"/>
                <w:szCs w:val="24"/>
                <w:lang w:val="en-US" w:eastAsia="zh-CN"/>
              </w:rPr>
              <w:t>发电组成部分，符合《新疆电网“十四五”电力发展规划》要求。</w:t>
            </w:r>
          </w:p>
          <w:p w14:paraId="49E02DB8">
            <w:pPr>
              <w:numPr>
                <w:ilvl w:val="0"/>
                <w:numId w:val="0"/>
              </w:numPr>
              <w:spacing w:line="360" w:lineRule="auto"/>
              <w:ind w:leftChars="0" w:firstLine="482" w:firstLineChars="200"/>
              <w:rPr>
                <w:rFonts w:hint="default" w:ascii="Times New Roman" w:hAnsi="Times New Roman" w:eastAsia="宋体" w:cs="Times New Roman"/>
                <w:color w:val="auto"/>
                <w:sz w:val="24"/>
                <w:szCs w:val="24"/>
                <w:lang w:val="en-US" w:eastAsia="zh-CN"/>
              </w:rPr>
            </w:pPr>
            <w:r>
              <w:rPr>
                <w:rFonts w:hint="default" w:ascii="Times New Roman" w:hAnsi="Times New Roman" w:cs="Times New Roman"/>
                <w:b/>
                <w:bCs/>
                <w:color w:val="auto"/>
                <w:sz w:val="24"/>
                <w:szCs w:val="24"/>
                <w:lang w:val="en-US" w:eastAsia="zh-CN"/>
              </w:rPr>
              <w:t>11、与</w:t>
            </w:r>
            <w:r>
              <w:rPr>
                <w:rFonts w:hint="default" w:ascii="Times New Roman" w:hAnsi="Times New Roman" w:eastAsia="宋体" w:cs="Times New Roman"/>
                <w:b/>
                <w:bCs/>
                <w:color w:val="auto"/>
                <w:sz w:val="24"/>
                <w:szCs w:val="24"/>
                <w:lang w:val="en-US" w:eastAsia="zh-CN"/>
              </w:rPr>
              <w:t>《关于建立新能源开发管理工作机制的通知》的符合性分析</w:t>
            </w:r>
          </w:p>
          <w:p w14:paraId="0F1A3FA2">
            <w:pPr>
              <w:numPr>
                <w:ilvl w:val="0"/>
                <w:numId w:val="0"/>
              </w:numPr>
              <w:spacing w:line="360" w:lineRule="auto"/>
              <w:ind w:leftChars="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通知》明确，通过“新能源资源禀赋、第三次全国国土调查成果、主干网架、产业布局”四个叠加，形成区域新能源开发布局“一张图”。强化规划布局指导，用足用好“一张图”，与自治区电力发展规划、可再生能源发展规划衔接，确保项目选址符合国土空间规划及“三区三线”等空间管控要求，研究确定新能源项目建设开发规划布局和建设时序，为企业投资提供便利。提前落实项目建设条件，按照“一张图”和新能源规划布局，提前开展用林用草、环评等手续办理，为新能源项目尽快落地创造条件。自治区发展和改革委员会将及时印发项目清单，同步抄送自治区自然资源厅、生态环境厅、林草局等部门和国网新疆电力有限公司，作为项目用地、环评、林草、电网接入等手续办理依据，有效缩短前期手续办理时间。</w:t>
            </w:r>
          </w:p>
          <w:p w14:paraId="75CF3FFA">
            <w:pPr>
              <w:numPr>
                <w:ilvl w:val="0"/>
                <w:numId w:val="0"/>
              </w:numPr>
              <w:spacing w:line="360" w:lineRule="auto"/>
              <w:ind w:leftChars="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通知》要求，提前开展新建项目用地区域评价、控制指标设定、“三通一平”、土地征用等工作，形成“标准地”；支持地方国资企业与政府合作，提前推进新能源项目用地由“生地”变为“熟地”，由“项目等地”变为“地等项目”。规范复合项目用地管理，优先利用沙地、裸土地、裸岩石砾地、盐碱地等国有未利用地，合理利用农用地，不占用生态保护红线、耕地、基本草原、园地等。对于符合国土空间规划和用途管制要求、纳入新能源建设清单的项目，及时开展新能源项目土地、林地、草地现场踏勘，实行用地手续并行办理，提升用地用林用草审批效率。项目用地供应及建设情况应及时在土地市场动态监管平台填报，依法依规办理不动产登记。</w:t>
            </w:r>
          </w:p>
          <w:p w14:paraId="5319E48E">
            <w:pPr>
              <w:numPr>
                <w:ilvl w:val="0"/>
                <w:numId w:val="0"/>
              </w:numPr>
              <w:spacing w:line="360" w:lineRule="auto"/>
              <w:ind w:leftChars="0" w:firstLine="480" w:firstLineChars="200"/>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本项目占地为天然草地，</w:t>
            </w:r>
            <w:r>
              <w:rPr>
                <w:rFonts w:hint="default" w:ascii="Times New Roman" w:hAnsi="Times New Roman" w:eastAsia="宋体" w:cs="Times New Roman"/>
                <w:b w:val="0"/>
                <w:bCs w:val="0"/>
                <w:color w:val="auto"/>
                <w:sz w:val="24"/>
                <w:szCs w:val="24"/>
                <w:lang w:val="en-US" w:eastAsia="zh-CN"/>
              </w:rPr>
              <w:t>不占用生态保护红线、耕地、基本草原、园地等，符合要求。</w:t>
            </w:r>
          </w:p>
          <w:p w14:paraId="649BDCEB">
            <w:pPr>
              <w:numPr>
                <w:ilvl w:val="0"/>
                <w:numId w:val="0"/>
              </w:numPr>
              <w:spacing w:line="360" w:lineRule="auto"/>
              <w:ind w:leftChars="0" w:firstLine="482" w:firstLineChars="200"/>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b/>
                <w:bCs/>
                <w:color w:val="auto"/>
                <w:kern w:val="2"/>
                <w:sz w:val="24"/>
                <w:szCs w:val="24"/>
                <w:lang w:val="en-US" w:eastAsia="zh-CN" w:bidi="ar-SA"/>
              </w:rPr>
              <w:t>1</w:t>
            </w:r>
            <w:r>
              <w:rPr>
                <w:rFonts w:hint="default" w:ascii="Times New Roman" w:hAnsi="Times New Roman" w:cs="Times New Roman"/>
                <w:b/>
                <w:bCs/>
                <w:color w:val="auto"/>
                <w:kern w:val="2"/>
                <w:sz w:val="24"/>
                <w:szCs w:val="24"/>
                <w:lang w:val="en-US" w:eastAsia="zh-CN" w:bidi="ar-SA"/>
              </w:rPr>
              <w:t>2</w:t>
            </w:r>
            <w:r>
              <w:rPr>
                <w:rFonts w:hint="default" w:ascii="Times New Roman" w:hAnsi="Times New Roman" w:eastAsia="宋体" w:cs="Times New Roman"/>
                <w:b/>
                <w:bCs/>
                <w:color w:val="auto"/>
                <w:kern w:val="2"/>
                <w:sz w:val="24"/>
                <w:szCs w:val="24"/>
                <w:lang w:val="en-US" w:eastAsia="zh-CN" w:bidi="ar-SA"/>
              </w:rPr>
              <w:t>、与《水利部关于加强河湖水域岸线空间管控的指导意见》</w:t>
            </w:r>
            <w:r>
              <w:rPr>
                <w:rFonts w:hint="default" w:ascii="Times New Roman" w:hAnsi="Times New Roman" w:eastAsia="宋体" w:cs="Times New Roman"/>
                <w:b/>
                <w:bCs/>
                <w:color w:val="auto"/>
                <w:sz w:val="24"/>
                <w:szCs w:val="24"/>
                <w:lang w:val="en-US" w:eastAsia="zh-CN"/>
              </w:rPr>
              <w:t>的符合性分析</w:t>
            </w:r>
          </w:p>
          <w:p w14:paraId="3E913273">
            <w:pPr>
              <w:numPr>
                <w:ilvl w:val="0"/>
                <w:numId w:val="0"/>
              </w:numPr>
              <w:spacing w:line="360" w:lineRule="auto"/>
              <w:ind w:leftChars="0" w:firstLine="480" w:firstLineChars="20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一）完善河湖管理范围划定成果。河湖管理范围划定是河湖管理保护的重要基础性工作，要抓紧完善第一次全国水利普查名录内河湖划界成果，在“全国水利一张图”上图，同步推进水利普查以外其他河湖管理范围划定工作。对于不依法依规，降低划定标准人为缩窄河道管理范围，故意避让村镇、农田、基础设施以及建筑物、构筑物等问题，各流域管理机构、各省级水行政主管部门要督促有关地方及时整改，并依法公告。做好河湖划界与“三区三线”划定等工作的对接，积极推进与相关部门实现成果共享。</w:t>
            </w:r>
          </w:p>
          <w:p w14:paraId="3218DD3F">
            <w:pPr>
              <w:numPr>
                <w:ilvl w:val="0"/>
                <w:numId w:val="0"/>
              </w:numPr>
              <w:spacing w:line="360" w:lineRule="auto"/>
              <w:ind w:leftChars="0" w:firstLine="480" w:firstLineChars="20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二）因地制宜安排河湖管理保护控制带。依法依规划定的河湖管理范围，是守住河湖水域岸线空间的底线，严禁以任何名义非法占用和束窄。各地可结合水安全、水资源、水生态、水环境及河湖自然风貌保护等需求，针对城市、农村、郊野等不同区域特点，根据相关规划，在已划定的河湖管理范围边界的基础上，探索向陆域延伸适当宽度，合理安排河湖管理保护控制地带，加强对河湖周边房地产、工矿企业、化工园区等“贴线”开发管控，让广大人民群众见山见水，共享河湖公共空间。法律法规另有规定的，从其规定。</w:t>
            </w:r>
          </w:p>
          <w:p w14:paraId="1E9636D5">
            <w:pPr>
              <w:numPr>
                <w:ilvl w:val="0"/>
                <w:numId w:val="0"/>
              </w:numPr>
              <w:spacing w:line="360" w:lineRule="auto"/>
              <w:ind w:leftChars="0" w:firstLine="480" w:firstLineChars="20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本项目不涉及河湖。</w:t>
            </w:r>
          </w:p>
          <w:p w14:paraId="16879B4F">
            <w:pPr>
              <w:numPr>
                <w:ilvl w:val="0"/>
                <w:numId w:val="0"/>
              </w:numPr>
              <w:spacing w:line="360" w:lineRule="auto"/>
              <w:ind w:leftChars="0" w:firstLine="482" w:firstLineChars="200"/>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b/>
                <w:bCs/>
                <w:color w:val="auto"/>
                <w:kern w:val="2"/>
                <w:sz w:val="24"/>
                <w:szCs w:val="24"/>
                <w:lang w:val="en-US" w:eastAsia="zh-CN" w:bidi="ar-SA"/>
              </w:rPr>
              <w:t>1</w:t>
            </w:r>
            <w:r>
              <w:rPr>
                <w:rFonts w:hint="default" w:ascii="Times New Roman" w:hAnsi="Times New Roman" w:cs="Times New Roman"/>
                <w:b/>
                <w:bCs/>
                <w:color w:val="auto"/>
                <w:kern w:val="2"/>
                <w:sz w:val="24"/>
                <w:szCs w:val="24"/>
                <w:lang w:val="en-US" w:eastAsia="zh-CN" w:bidi="ar-SA"/>
              </w:rPr>
              <w:t>3</w:t>
            </w:r>
            <w:r>
              <w:rPr>
                <w:rFonts w:hint="default" w:ascii="Times New Roman" w:hAnsi="Times New Roman" w:eastAsia="宋体" w:cs="Times New Roman"/>
                <w:b/>
                <w:bCs/>
                <w:color w:val="auto"/>
                <w:kern w:val="2"/>
                <w:sz w:val="24"/>
                <w:szCs w:val="24"/>
                <w:lang w:val="en-US" w:eastAsia="zh-CN" w:bidi="ar-SA"/>
              </w:rPr>
              <w:t>、与《风电场工程建设用地和环境保护管理暂行办法》</w:t>
            </w:r>
            <w:r>
              <w:rPr>
                <w:rFonts w:hint="default" w:ascii="Times New Roman" w:hAnsi="Times New Roman" w:eastAsia="宋体" w:cs="Times New Roman"/>
                <w:b/>
                <w:bCs/>
                <w:color w:val="auto"/>
                <w:sz w:val="24"/>
                <w:szCs w:val="24"/>
                <w:lang w:val="en-US" w:eastAsia="zh-CN"/>
              </w:rPr>
              <w:t>的符合性分析</w:t>
            </w:r>
          </w:p>
          <w:p w14:paraId="54514B24">
            <w:pPr>
              <w:numPr>
                <w:ilvl w:val="0"/>
                <w:numId w:val="0"/>
              </w:numPr>
              <w:spacing w:line="360" w:lineRule="auto"/>
              <w:ind w:leftChars="0" w:firstLine="480" w:firstLineChars="20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第九条风电场工程建设项目实行环境影响评价制度。风电场建设的环境影响评价由所在地省级环境保护行政主管部门负责审批。凡涉及国家级自然保护区的风电场工程建设项目，省级环境保护行政主管部门在审批前，应征求国家环境保护行政主管部门的意见。</w:t>
            </w:r>
          </w:p>
          <w:p w14:paraId="53AF0814">
            <w:pPr>
              <w:numPr>
                <w:ilvl w:val="0"/>
                <w:numId w:val="0"/>
              </w:numPr>
              <w:spacing w:line="360" w:lineRule="auto"/>
              <w:ind w:leftChars="0" w:firstLine="480" w:firstLineChars="20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第十条加强环境影响评价工作，认真编制环境影响报告表。风电规划、预可行性研究报告和可行性研究报告都要编制环境影响评价篇章，对风电建设的环境问题、拟采取措施和效果进行分析和评价。</w:t>
            </w:r>
          </w:p>
          <w:p w14:paraId="7A5D6F3E">
            <w:pPr>
              <w:numPr>
                <w:ilvl w:val="0"/>
                <w:numId w:val="0"/>
              </w:numPr>
              <w:spacing w:line="360" w:lineRule="auto"/>
              <w:ind w:leftChars="0" w:firstLine="480" w:firstLineChars="20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第十一条建设单位在项目申请核准前要取得项目环境影响评价批准文件。项目环境影响评价报告应委托有相应资质的单位编制，并提交"风电场工程建设项目环境影响报告表"。</w:t>
            </w:r>
          </w:p>
          <w:p w14:paraId="2332FE8F">
            <w:pPr>
              <w:numPr>
                <w:ilvl w:val="0"/>
                <w:numId w:val="0"/>
              </w:numPr>
              <w:spacing w:line="360" w:lineRule="auto"/>
              <w:ind w:leftChars="0" w:firstLine="480" w:firstLineChars="20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第十二条风电场工程经核准后，项目建设单位要按照环境影响报告表及其审批意见的要求，加强环境保护设计，落实环境保护措施。按规定程序申请环境保护设施竣工验收，验收合格后，该项目方可正式投入运营。</w:t>
            </w:r>
          </w:p>
          <w:p w14:paraId="1AB371FB">
            <w:pPr>
              <w:numPr>
                <w:ilvl w:val="0"/>
                <w:numId w:val="0"/>
              </w:numPr>
              <w:adjustRightInd w:val="0"/>
              <w:snapToGrid w:val="0"/>
              <w:spacing w:line="36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kern w:val="2"/>
                <w:sz w:val="24"/>
                <w:szCs w:val="24"/>
                <w:lang w:val="en-US" w:eastAsia="zh-CN" w:bidi="ar-SA"/>
              </w:rPr>
              <w:t>本项目属于风电项目，已取得核准文件（见附件），不涉及国家级自然保护区，符合《风电场工程建设用地和环境保护管理暂行办法》的要求。</w:t>
            </w:r>
          </w:p>
        </w:tc>
      </w:tr>
    </w:tbl>
    <w:p w14:paraId="476FB7B6">
      <w:pPr>
        <w:spacing w:line="360" w:lineRule="auto"/>
        <w:outlineLvl w:val="9"/>
        <w:rPr>
          <w:rFonts w:hint="default" w:ascii="Times New Roman" w:hAnsi="Times New Roman" w:cs="Times New Roman"/>
          <w:color w:val="auto"/>
          <w:sz w:val="24"/>
        </w:rPr>
        <w:sectPr>
          <w:footerReference r:id="rId6"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6C03BAF0">
      <w:pPr>
        <w:pStyle w:val="21"/>
        <w:jc w:val="center"/>
        <w:outlineLvl w:val="0"/>
        <w:rPr>
          <w:rFonts w:hint="default" w:ascii="Times New Roman" w:hAnsi="Times New Roman" w:eastAsia="黑体" w:cs="Times New Roman"/>
          <w:snapToGrid w:val="0"/>
          <w:color w:val="auto"/>
          <w:sz w:val="30"/>
          <w:szCs w:val="30"/>
        </w:rPr>
      </w:pPr>
      <w:bookmarkStart w:id="3" w:name="_Toc8175"/>
      <w:r>
        <w:rPr>
          <w:rFonts w:hint="default" w:ascii="Times New Roman" w:hAnsi="Times New Roman" w:eastAsia="黑体" w:cs="Times New Roman"/>
          <w:snapToGrid w:val="0"/>
          <w:color w:val="auto"/>
          <w:sz w:val="30"/>
          <w:szCs w:val="30"/>
        </w:rPr>
        <w:t>二、建设内容</w:t>
      </w:r>
      <w:bookmarkEnd w:id="3"/>
    </w:p>
    <w:tbl>
      <w:tblPr>
        <w:tblStyle w:val="22"/>
        <w:tblW w:w="915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697"/>
      </w:tblGrid>
      <w:tr w14:paraId="6A4EFB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710" w:type="dxa"/>
            <w:noWrap w:val="0"/>
            <w:vAlign w:val="center"/>
          </w:tcPr>
          <w:p w14:paraId="070FB3C8">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地理位置</w:t>
            </w:r>
          </w:p>
        </w:tc>
        <w:tc>
          <w:tcPr>
            <w:tcW w:w="8441" w:type="dxa"/>
            <w:noWrap w:val="0"/>
            <w:vAlign w:val="center"/>
          </w:tcPr>
          <w:p w14:paraId="59E0105D">
            <w:pPr>
              <w:adjustRightInd w:val="0"/>
              <w:snapToGrid w:val="0"/>
              <w:spacing w:line="360" w:lineRule="auto"/>
              <w:ind w:firstLine="480" w:firstLineChars="200"/>
              <w:rPr>
                <w:rFonts w:hint="default" w:ascii="Times New Roman" w:hAnsi="Times New Roman" w:cs="Times New Roman"/>
                <w:color w:val="auto"/>
                <w:kern w:val="0"/>
                <w:sz w:val="24"/>
                <w:lang w:val="en-US" w:eastAsia="zh-CN"/>
              </w:rPr>
            </w:pPr>
            <w:r>
              <w:rPr>
                <w:rFonts w:hint="default" w:ascii="Times New Roman" w:hAnsi="Times New Roman" w:cs="Times New Roman"/>
                <w:color w:val="auto"/>
                <w:kern w:val="0"/>
                <w:sz w:val="24"/>
                <w:lang w:val="en-US" w:eastAsia="zh-CN"/>
              </w:rPr>
              <w:t>国能木垒40万千瓦风电项目国能木垒40万风电场位于昌吉木垒哈萨克自治县东北侧低山地区，风电场中心点地处木垒哈萨克自治县东北方向约75km，G7在场区南侧约25km处呈东西向通过，风机位于山脊或山前丘陵顶部，场区北侧可见一条乡村公路呈东西向通过场区边界</w:t>
            </w:r>
            <w:r>
              <w:rPr>
                <w:rFonts w:hint="default" w:ascii="Times New Roman" w:hAnsi="Times New Roman" w:cs="Times New Roman"/>
                <w:color w:val="auto"/>
                <w:kern w:val="0"/>
                <w:sz w:val="24"/>
                <w:lang w:val="en-US" w:eastAsia="zh-CN"/>
              </w:rPr>
              <w:t>。</w:t>
            </w:r>
          </w:p>
          <w:p w14:paraId="3CABDE1C">
            <w:pPr>
              <w:adjustRightInd w:val="0"/>
              <w:snapToGrid w:val="0"/>
              <w:spacing w:line="360" w:lineRule="auto"/>
              <w:ind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项目区地理位置图详见附图2</w:t>
            </w:r>
            <w:r>
              <w:rPr>
                <w:rFonts w:hint="default" w:ascii="Times New Roman" w:hAnsi="Times New Roman" w:cs="Times New Roman"/>
                <w:color w:val="auto"/>
                <w:kern w:val="0"/>
                <w:sz w:val="24"/>
                <w:lang w:val="en-US" w:eastAsia="zh-CN"/>
              </w:rPr>
              <w:t>-1</w:t>
            </w:r>
            <w:r>
              <w:rPr>
                <w:rFonts w:hint="default" w:ascii="Times New Roman" w:hAnsi="Times New Roman" w:cs="Times New Roman"/>
                <w:color w:val="auto"/>
                <w:kern w:val="0"/>
                <w:sz w:val="24"/>
              </w:rPr>
              <w:t>。</w:t>
            </w:r>
          </w:p>
          <w:p w14:paraId="36738CF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2"/>
                <w:sz w:val="21"/>
                <w:szCs w:val="21"/>
              </w:rPr>
              <w:t>表</w:t>
            </w:r>
            <w:r>
              <w:rPr>
                <w:rFonts w:hint="default" w:ascii="Times New Roman" w:hAnsi="Times New Roman" w:eastAsia="宋体" w:cs="Times New Roman"/>
                <w:b/>
                <w:bCs/>
                <w:color w:val="auto"/>
                <w:spacing w:val="-2"/>
                <w:sz w:val="21"/>
                <w:szCs w:val="21"/>
                <w:lang w:val="en-US" w:eastAsia="zh-CN"/>
              </w:rPr>
              <w:t>2-1</w:t>
            </w:r>
            <w:r>
              <w:rPr>
                <w:rFonts w:hint="default" w:ascii="Times New Roman" w:hAnsi="Times New Roman" w:eastAsia="宋体" w:cs="Times New Roman"/>
                <w:b/>
                <w:bCs/>
                <w:color w:val="auto"/>
                <w:spacing w:val="-2"/>
                <w:sz w:val="21"/>
                <w:szCs w:val="21"/>
              </w:rPr>
              <w:t xml:space="preserve"> 风电场范围拐点坐标（WGS84坐标系）</w:t>
            </w:r>
          </w:p>
          <w:tbl>
            <w:tblPr>
              <w:tblStyle w:val="49"/>
              <w:tblW w:w="8476" w:type="dxa"/>
              <w:tblInd w:w="8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32"/>
              <w:gridCol w:w="3898"/>
              <w:gridCol w:w="3846"/>
            </w:tblGrid>
            <w:tr w14:paraId="7B9BA9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732" w:type="dxa"/>
                  <w:vAlign w:val="top"/>
                </w:tcPr>
                <w:p w14:paraId="7BF131D5">
                  <w:pPr>
                    <w:spacing w:before="121" w:line="222" w:lineRule="auto"/>
                    <w:ind w:left="150"/>
                    <w:rPr>
                      <w:rFonts w:hint="default" w:ascii="Times New Roman" w:hAnsi="Times New Roman" w:eastAsia="宋体" w:cs="Times New Roman"/>
                      <w:color w:val="auto"/>
                      <w:sz w:val="22"/>
                      <w:szCs w:val="22"/>
                    </w:rPr>
                  </w:pPr>
                  <w:r>
                    <w:rPr>
                      <w:rFonts w:hint="default" w:ascii="Times New Roman" w:hAnsi="Times New Roman" w:eastAsia="宋体" w:cs="Times New Roman"/>
                      <w:b/>
                      <w:bCs/>
                      <w:color w:val="auto"/>
                      <w:spacing w:val="-6"/>
                      <w:sz w:val="22"/>
                      <w:szCs w:val="22"/>
                    </w:rPr>
                    <w:t>序号</w:t>
                  </w:r>
                </w:p>
              </w:tc>
              <w:tc>
                <w:tcPr>
                  <w:tcW w:w="3898" w:type="dxa"/>
                  <w:vAlign w:val="top"/>
                </w:tcPr>
                <w:p w14:paraId="10F28733">
                  <w:pPr>
                    <w:spacing w:before="122" w:line="221" w:lineRule="auto"/>
                    <w:ind w:left="1735"/>
                    <w:rPr>
                      <w:rFonts w:hint="default" w:ascii="Times New Roman" w:hAnsi="Times New Roman" w:eastAsia="宋体" w:cs="Times New Roman"/>
                      <w:color w:val="auto"/>
                      <w:sz w:val="22"/>
                      <w:szCs w:val="22"/>
                    </w:rPr>
                  </w:pPr>
                  <w:r>
                    <w:rPr>
                      <w:rFonts w:hint="default" w:ascii="Times New Roman" w:hAnsi="Times New Roman" w:eastAsia="宋体" w:cs="Times New Roman"/>
                      <w:b/>
                      <w:bCs/>
                      <w:color w:val="auto"/>
                      <w:spacing w:val="-7"/>
                      <w:sz w:val="22"/>
                      <w:szCs w:val="22"/>
                    </w:rPr>
                    <w:t>经度</w:t>
                  </w:r>
                </w:p>
              </w:tc>
              <w:tc>
                <w:tcPr>
                  <w:tcW w:w="3846" w:type="dxa"/>
                  <w:vAlign w:val="top"/>
                </w:tcPr>
                <w:p w14:paraId="644B85B8">
                  <w:pPr>
                    <w:spacing w:before="122" w:line="221" w:lineRule="auto"/>
                    <w:ind w:left="1707"/>
                    <w:rPr>
                      <w:rFonts w:hint="default" w:ascii="Times New Roman" w:hAnsi="Times New Roman" w:eastAsia="宋体" w:cs="Times New Roman"/>
                      <w:color w:val="auto"/>
                      <w:sz w:val="22"/>
                      <w:szCs w:val="22"/>
                    </w:rPr>
                  </w:pPr>
                  <w:r>
                    <w:rPr>
                      <w:rFonts w:hint="default" w:ascii="Times New Roman" w:hAnsi="Times New Roman" w:eastAsia="宋体" w:cs="Times New Roman"/>
                      <w:b/>
                      <w:bCs/>
                      <w:color w:val="auto"/>
                      <w:spacing w:val="-7"/>
                      <w:sz w:val="22"/>
                      <w:szCs w:val="22"/>
                    </w:rPr>
                    <w:t>纬度</w:t>
                  </w:r>
                </w:p>
              </w:tc>
            </w:tr>
            <w:tr w14:paraId="402AE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32" w:type="dxa"/>
                  <w:vAlign w:val="top"/>
                </w:tcPr>
                <w:p w14:paraId="024D0699">
                  <w:pPr>
                    <w:pStyle w:val="50"/>
                    <w:spacing w:before="120" w:line="189" w:lineRule="auto"/>
                    <w:ind w:left="252"/>
                    <w:rPr>
                      <w:rFonts w:hint="default" w:ascii="Times New Roman" w:hAnsi="Times New Roman" w:cs="Times New Roman"/>
                      <w:color w:val="auto"/>
                    </w:rPr>
                  </w:pPr>
                  <w:r>
                    <w:rPr>
                      <w:rFonts w:hint="default" w:ascii="Times New Roman" w:hAnsi="Times New Roman" w:cs="Times New Roman"/>
                      <w:color w:val="auto"/>
                      <w:spacing w:val="-2"/>
                    </w:rPr>
                    <w:t>P1</w:t>
                  </w:r>
                </w:p>
              </w:tc>
              <w:tc>
                <w:tcPr>
                  <w:tcW w:w="3898" w:type="dxa"/>
                  <w:vAlign w:val="top"/>
                </w:tcPr>
                <w:p w14:paraId="0E2F2817">
                  <w:pPr>
                    <w:pStyle w:val="50"/>
                    <w:spacing w:before="120" w:line="189" w:lineRule="auto"/>
                    <w:ind w:left="1486"/>
                    <w:rPr>
                      <w:rFonts w:hint="default" w:ascii="Times New Roman" w:hAnsi="Times New Roman" w:cs="Times New Roman"/>
                      <w:color w:val="auto"/>
                    </w:rPr>
                  </w:pPr>
                  <w:r>
                    <w:rPr>
                      <w:rFonts w:hint="default" w:ascii="Times New Roman" w:hAnsi="Times New Roman" w:cs="Times New Roman"/>
                      <w:color w:val="auto"/>
                      <w:spacing w:val="-1"/>
                    </w:rPr>
                    <w:t>91.330791</w:t>
                  </w:r>
                </w:p>
              </w:tc>
              <w:tc>
                <w:tcPr>
                  <w:tcW w:w="3846" w:type="dxa"/>
                  <w:vAlign w:val="top"/>
                </w:tcPr>
                <w:p w14:paraId="03E508CE">
                  <w:pPr>
                    <w:pStyle w:val="50"/>
                    <w:spacing w:before="120" w:line="189" w:lineRule="auto"/>
                    <w:ind w:left="1454"/>
                    <w:rPr>
                      <w:rFonts w:hint="default" w:ascii="Times New Roman" w:hAnsi="Times New Roman" w:cs="Times New Roman"/>
                      <w:color w:val="auto"/>
                    </w:rPr>
                  </w:pPr>
                  <w:r>
                    <w:rPr>
                      <w:rFonts w:hint="default" w:ascii="Times New Roman" w:hAnsi="Times New Roman" w:cs="Times New Roman"/>
                      <w:color w:val="auto"/>
                      <w:spacing w:val="-1"/>
                    </w:rPr>
                    <w:t>43.969092</w:t>
                  </w:r>
                </w:p>
              </w:tc>
            </w:tr>
            <w:tr w14:paraId="08D2FA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32" w:type="dxa"/>
                  <w:vAlign w:val="top"/>
                </w:tcPr>
                <w:p w14:paraId="7CE37456">
                  <w:pPr>
                    <w:pStyle w:val="50"/>
                    <w:spacing w:before="113" w:line="189" w:lineRule="auto"/>
                    <w:ind w:left="252"/>
                    <w:rPr>
                      <w:rFonts w:hint="default" w:ascii="Times New Roman" w:hAnsi="Times New Roman" w:cs="Times New Roman"/>
                      <w:color w:val="auto"/>
                    </w:rPr>
                  </w:pPr>
                  <w:r>
                    <w:rPr>
                      <w:rFonts w:hint="default" w:ascii="Times New Roman" w:hAnsi="Times New Roman" w:cs="Times New Roman"/>
                      <w:color w:val="auto"/>
                      <w:spacing w:val="-2"/>
                    </w:rPr>
                    <w:t>P2</w:t>
                  </w:r>
                </w:p>
              </w:tc>
              <w:tc>
                <w:tcPr>
                  <w:tcW w:w="3898" w:type="dxa"/>
                  <w:vAlign w:val="top"/>
                </w:tcPr>
                <w:p w14:paraId="7FE8F73C">
                  <w:pPr>
                    <w:pStyle w:val="50"/>
                    <w:spacing w:before="113" w:line="189" w:lineRule="auto"/>
                    <w:ind w:left="1486"/>
                    <w:rPr>
                      <w:rFonts w:hint="default" w:ascii="Times New Roman" w:hAnsi="Times New Roman" w:cs="Times New Roman"/>
                      <w:color w:val="auto"/>
                    </w:rPr>
                  </w:pPr>
                  <w:r>
                    <w:rPr>
                      <w:rFonts w:hint="default" w:ascii="Times New Roman" w:hAnsi="Times New Roman" w:cs="Times New Roman"/>
                      <w:color w:val="auto"/>
                      <w:spacing w:val="-1"/>
                    </w:rPr>
                    <w:t>91.285019</w:t>
                  </w:r>
                </w:p>
              </w:tc>
              <w:tc>
                <w:tcPr>
                  <w:tcW w:w="3846" w:type="dxa"/>
                  <w:vAlign w:val="top"/>
                </w:tcPr>
                <w:p w14:paraId="542E9823">
                  <w:pPr>
                    <w:pStyle w:val="50"/>
                    <w:spacing w:before="113" w:line="189" w:lineRule="auto"/>
                    <w:ind w:left="1454"/>
                    <w:rPr>
                      <w:rFonts w:hint="default" w:ascii="Times New Roman" w:hAnsi="Times New Roman" w:cs="Times New Roman"/>
                      <w:color w:val="auto"/>
                    </w:rPr>
                  </w:pPr>
                  <w:r>
                    <w:rPr>
                      <w:rFonts w:hint="default" w:ascii="Times New Roman" w:hAnsi="Times New Roman" w:cs="Times New Roman"/>
                      <w:color w:val="auto"/>
                      <w:spacing w:val="-1"/>
                    </w:rPr>
                    <w:t>44.017555</w:t>
                  </w:r>
                </w:p>
              </w:tc>
            </w:tr>
            <w:tr w14:paraId="2822D5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32" w:type="dxa"/>
                  <w:vAlign w:val="top"/>
                </w:tcPr>
                <w:p w14:paraId="47C02797">
                  <w:pPr>
                    <w:pStyle w:val="50"/>
                    <w:spacing w:before="75" w:line="186" w:lineRule="auto"/>
                    <w:ind w:left="252"/>
                    <w:rPr>
                      <w:rFonts w:hint="default" w:ascii="Times New Roman" w:hAnsi="Times New Roman" w:cs="Times New Roman"/>
                      <w:color w:val="auto"/>
                    </w:rPr>
                  </w:pPr>
                  <w:r>
                    <w:rPr>
                      <w:rFonts w:hint="default" w:ascii="Times New Roman" w:hAnsi="Times New Roman" w:cs="Times New Roman"/>
                      <w:color w:val="auto"/>
                      <w:spacing w:val="-2"/>
                    </w:rPr>
                    <w:t>P3</w:t>
                  </w:r>
                </w:p>
              </w:tc>
              <w:tc>
                <w:tcPr>
                  <w:tcW w:w="3898" w:type="dxa"/>
                  <w:vAlign w:val="top"/>
                </w:tcPr>
                <w:p w14:paraId="1F826282">
                  <w:pPr>
                    <w:pStyle w:val="50"/>
                    <w:spacing w:before="75" w:line="186" w:lineRule="auto"/>
                    <w:ind w:left="1486"/>
                    <w:rPr>
                      <w:rFonts w:hint="default" w:ascii="Times New Roman" w:hAnsi="Times New Roman" w:cs="Times New Roman"/>
                      <w:color w:val="auto"/>
                    </w:rPr>
                  </w:pPr>
                  <w:r>
                    <w:rPr>
                      <w:rFonts w:hint="default" w:ascii="Times New Roman" w:hAnsi="Times New Roman" w:cs="Times New Roman"/>
                      <w:color w:val="auto"/>
                      <w:spacing w:val="-1"/>
                    </w:rPr>
                    <w:t>91.235709</w:t>
                  </w:r>
                </w:p>
              </w:tc>
              <w:tc>
                <w:tcPr>
                  <w:tcW w:w="3846" w:type="dxa"/>
                  <w:vAlign w:val="top"/>
                </w:tcPr>
                <w:p w14:paraId="4732E56E">
                  <w:pPr>
                    <w:pStyle w:val="50"/>
                    <w:spacing w:before="75" w:line="186" w:lineRule="auto"/>
                    <w:ind w:left="1454"/>
                    <w:rPr>
                      <w:rFonts w:hint="default" w:ascii="Times New Roman" w:hAnsi="Times New Roman" w:cs="Times New Roman"/>
                      <w:color w:val="auto"/>
                    </w:rPr>
                  </w:pPr>
                  <w:r>
                    <w:rPr>
                      <w:rFonts w:hint="default" w:ascii="Times New Roman" w:hAnsi="Times New Roman" w:cs="Times New Roman"/>
                      <w:color w:val="auto"/>
                      <w:spacing w:val="-1"/>
                    </w:rPr>
                    <w:t>44.018098</w:t>
                  </w:r>
                </w:p>
              </w:tc>
            </w:tr>
            <w:tr w14:paraId="4CE9B7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732" w:type="dxa"/>
                  <w:vAlign w:val="top"/>
                </w:tcPr>
                <w:p w14:paraId="599076D3">
                  <w:pPr>
                    <w:pStyle w:val="50"/>
                    <w:spacing w:before="115" w:line="189" w:lineRule="auto"/>
                    <w:ind w:left="252"/>
                    <w:rPr>
                      <w:rFonts w:hint="default" w:ascii="Times New Roman" w:hAnsi="Times New Roman" w:cs="Times New Roman"/>
                      <w:color w:val="auto"/>
                    </w:rPr>
                  </w:pPr>
                  <w:r>
                    <w:rPr>
                      <w:rFonts w:hint="default" w:ascii="Times New Roman" w:hAnsi="Times New Roman" w:cs="Times New Roman"/>
                      <w:color w:val="auto"/>
                      <w:spacing w:val="-2"/>
                    </w:rPr>
                    <w:t>P4</w:t>
                  </w:r>
                </w:p>
              </w:tc>
              <w:tc>
                <w:tcPr>
                  <w:tcW w:w="3898" w:type="dxa"/>
                  <w:vAlign w:val="top"/>
                </w:tcPr>
                <w:p w14:paraId="7C7CEF6D">
                  <w:pPr>
                    <w:pStyle w:val="50"/>
                    <w:spacing w:before="115" w:line="189" w:lineRule="auto"/>
                    <w:ind w:left="1486"/>
                    <w:rPr>
                      <w:rFonts w:hint="default" w:ascii="Times New Roman" w:hAnsi="Times New Roman" w:cs="Times New Roman"/>
                      <w:color w:val="auto"/>
                    </w:rPr>
                  </w:pPr>
                  <w:r>
                    <w:rPr>
                      <w:rFonts w:hint="default" w:ascii="Times New Roman" w:hAnsi="Times New Roman" w:cs="Times New Roman"/>
                      <w:color w:val="auto"/>
                      <w:spacing w:val="-1"/>
                    </w:rPr>
                    <w:t>91.235573</w:t>
                  </w:r>
                </w:p>
              </w:tc>
              <w:tc>
                <w:tcPr>
                  <w:tcW w:w="3846" w:type="dxa"/>
                  <w:vAlign w:val="top"/>
                </w:tcPr>
                <w:p w14:paraId="7CA39EE1">
                  <w:pPr>
                    <w:pStyle w:val="50"/>
                    <w:spacing w:before="115" w:line="189" w:lineRule="auto"/>
                    <w:ind w:left="1454"/>
                    <w:rPr>
                      <w:rFonts w:hint="default" w:ascii="Times New Roman" w:hAnsi="Times New Roman" w:cs="Times New Roman"/>
                      <w:color w:val="auto"/>
                    </w:rPr>
                  </w:pPr>
                  <w:r>
                    <w:rPr>
                      <w:rFonts w:hint="default" w:ascii="Times New Roman" w:hAnsi="Times New Roman" w:cs="Times New Roman"/>
                      <w:color w:val="auto"/>
                      <w:spacing w:val="-1"/>
                    </w:rPr>
                    <w:t>43.996847</w:t>
                  </w:r>
                </w:p>
              </w:tc>
            </w:tr>
            <w:tr w14:paraId="71832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732" w:type="dxa"/>
                  <w:vAlign w:val="top"/>
                </w:tcPr>
                <w:p w14:paraId="70D5FCF6">
                  <w:pPr>
                    <w:pStyle w:val="50"/>
                    <w:spacing w:before="109" w:line="186" w:lineRule="auto"/>
                    <w:ind w:left="252"/>
                    <w:rPr>
                      <w:rFonts w:hint="default" w:ascii="Times New Roman" w:hAnsi="Times New Roman" w:cs="Times New Roman"/>
                      <w:color w:val="auto"/>
                    </w:rPr>
                  </w:pPr>
                  <w:r>
                    <w:rPr>
                      <w:rFonts w:hint="default" w:ascii="Times New Roman" w:hAnsi="Times New Roman" w:cs="Times New Roman"/>
                      <w:color w:val="auto"/>
                      <w:spacing w:val="-2"/>
                    </w:rPr>
                    <w:t>P5</w:t>
                  </w:r>
                </w:p>
              </w:tc>
              <w:tc>
                <w:tcPr>
                  <w:tcW w:w="3898" w:type="dxa"/>
                  <w:vAlign w:val="top"/>
                </w:tcPr>
                <w:p w14:paraId="279F8697">
                  <w:pPr>
                    <w:pStyle w:val="50"/>
                    <w:spacing w:before="106" w:line="189" w:lineRule="auto"/>
                    <w:ind w:left="1486"/>
                    <w:rPr>
                      <w:rFonts w:hint="default" w:ascii="Times New Roman" w:hAnsi="Times New Roman" w:cs="Times New Roman"/>
                      <w:color w:val="auto"/>
                    </w:rPr>
                  </w:pPr>
                  <w:r>
                    <w:rPr>
                      <w:rFonts w:hint="default" w:ascii="Times New Roman" w:hAnsi="Times New Roman" w:cs="Times New Roman"/>
                      <w:color w:val="auto"/>
                      <w:spacing w:val="-1"/>
                    </w:rPr>
                    <w:t>91.137348</w:t>
                  </w:r>
                </w:p>
              </w:tc>
              <w:tc>
                <w:tcPr>
                  <w:tcW w:w="3846" w:type="dxa"/>
                  <w:vAlign w:val="top"/>
                </w:tcPr>
                <w:p w14:paraId="60C63D1E">
                  <w:pPr>
                    <w:pStyle w:val="50"/>
                    <w:spacing w:before="106" w:line="189" w:lineRule="auto"/>
                    <w:ind w:left="1454"/>
                    <w:rPr>
                      <w:rFonts w:hint="default" w:ascii="Times New Roman" w:hAnsi="Times New Roman" w:cs="Times New Roman"/>
                      <w:color w:val="auto"/>
                    </w:rPr>
                  </w:pPr>
                  <w:r>
                    <w:rPr>
                      <w:rFonts w:hint="default" w:ascii="Times New Roman" w:hAnsi="Times New Roman" w:cs="Times New Roman"/>
                      <w:color w:val="auto"/>
                      <w:spacing w:val="-1"/>
                    </w:rPr>
                    <w:t>43.995406</w:t>
                  </w:r>
                </w:p>
              </w:tc>
            </w:tr>
            <w:tr w14:paraId="1E9140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732" w:type="dxa"/>
                  <w:vAlign w:val="top"/>
                </w:tcPr>
                <w:p w14:paraId="106D9694">
                  <w:pPr>
                    <w:pStyle w:val="50"/>
                    <w:spacing w:before="92" w:line="189" w:lineRule="auto"/>
                    <w:ind w:left="252"/>
                    <w:rPr>
                      <w:rFonts w:hint="default" w:ascii="Times New Roman" w:hAnsi="Times New Roman" w:cs="Times New Roman"/>
                      <w:color w:val="auto"/>
                    </w:rPr>
                  </w:pPr>
                  <w:r>
                    <w:rPr>
                      <w:rFonts w:hint="default" w:ascii="Times New Roman" w:hAnsi="Times New Roman" w:cs="Times New Roman"/>
                      <w:color w:val="auto"/>
                      <w:spacing w:val="-2"/>
                    </w:rPr>
                    <w:t>P6</w:t>
                  </w:r>
                </w:p>
              </w:tc>
              <w:tc>
                <w:tcPr>
                  <w:tcW w:w="3898" w:type="dxa"/>
                  <w:vAlign w:val="top"/>
                </w:tcPr>
                <w:p w14:paraId="11D1F38D">
                  <w:pPr>
                    <w:pStyle w:val="50"/>
                    <w:spacing w:before="92" w:line="189" w:lineRule="auto"/>
                    <w:ind w:left="1486"/>
                    <w:rPr>
                      <w:rFonts w:hint="default" w:ascii="Times New Roman" w:hAnsi="Times New Roman" w:cs="Times New Roman"/>
                      <w:color w:val="auto"/>
                    </w:rPr>
                  </w:pPr>
                  <w:r>
                    <w:rPr>
                      <w:rFonts w:hint="default" w:ascii="Times New Roman" w:hAnsi="Times New Roman" w:cs="Times New Roman"/>
                      <w:color w:val="auto"/>
                      <w:spacing w:val="-1"/>
                    </w:rPr>
                    <w:t>91.191515</w:t>
                  </w:r>
                </w:p>
              </w:tc>
              <w:tc>
                <w:tcPr>
                  <w:tcW w:w="3846" w:type="dxa"/>
                  <w:vAlign w:val="top"/>
                </w:tcPr>
                <w:p w14:paraId="2FC3A891">
                  <w:pPr>
                    <w:pStyle w:val="50"/>
                    <w:spacing w:before="92" w:line="189" w:lineRule="auto"/>
                    <w:ind w:left="1454"/>
                    <w:rPr>
                      <w:rFonts w:hint="default" w:ascii="Times New Roman" w:hAnsi="Times New Roman" w:cs="Times New Roman"/>
                      <w:color w:val="auto"/>
                    </w:rPr>
                  </w:pPr>
                  <w:r>
                    <w:rPr>
                      <w:rFonts w:hint="default" w:ascii="Times New Roman" w:hAnsi="Times New Roman" w:cs="Times New Roman"/>
                      <w:color w:val="auto"/>
                      <w:spacing w:val="-1"/>
                    </w:rPr>
                    <w:t>43.969315</w:t>
                  </w:r>
                </w:p>
              </w:tc>
            </w:tr>
            <w:tr w14:paraId="51692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732" w:type="dxa"/>
                  <w:vAlign w:val="top"/>
                </w:tcPr>
                <w:p w14:paraId="42FE9190">
                  <w:pPr>
                    <w:pStyle w:val="50"/>
                    <w:spacing w:before="96" w:line="186" w:lineRule="auto"/>
                    <w:ind w:left="252"/>
                    <w:rPr>
                      <w:rFonts w:hint="default" w:ascii="Times New Roman" w:hAnsi="Times New Roman" w:cs="Times New Roman"/>
                      <w:color w:val="auto"/>
                    </w:rPr>
                  </w:pPr>
                  <w:r>
                    <w:rPr>
                      <w:rFonts w:hint="default" w:ascii="Times New Roman" w:hAnsi="Times New Roman" w:cs="Times New Roman"/>
                      <w:color w:val="auto"/>
                      <w:spacing w:val="-2"/>
                    </w:rPr>
                    <w:t>P7</w:t>
                  </w:r>
                </w:p>
              </w:tc>
              <w:tc>
                <w:tcPr>
                  <w:tcW w:w="3898" w:type="dxa"/>
                  <w:vAlign w:val="top"/>
                </w:tcPr>
                <w:p w14:paraId="1BC51E91">
                  <w:pPr>
                    <w:pStyle w:val="50"/>
                    <w:spacing w:before="93" w:line="189" w:lineRule="auto"/>
                    <w:ind w:left="1486"/>
                    <w:rPr>
                      <w:rFonts w:hint="default" w:ascii="Times New Roman" w:hAnsi="Times New Roman" w:cs="Times New Roman"/>
                      <w:color w:val="auto"/>
                    </w:rPr>
                  </w:pPr>
                  <w:r>
                    <w:rPr>
                      <w:rFonts w:hint="default" w:ascii="Times New Roman" w:hAnsi="Times New Roman" w:cs="Times New Roman"/>
                      <w:color w:val="auto"/>
                      <w:spacing w:val="-1"/>
                    </w:rPr>
                    <w:t>91.161955</w:t>
                  </w:r>
                </w:p>
              </w:tc>
              <w:tc>
                <w:tcPr>
                  <w:tcW w:w="3846" w:type="dxa"/>
                  <w:vAlign w:val="top"/>
                </w:tcPr>
                <w:p w14:paraId="67882CDF">
                  <w:pPr>
                    <w:pStyle w:val="50"/>
                    <w:spacing w:before="93" w:line="189" w:lineRule="auto"/>
                    <w:ind w:left="1454"/>
                    <w:rPr>
                      <w:rFonts w:hint="default" w:ascii="Times New Roman" w:hAnsi="Times New Roman" w:cs="Times New Roman"/>
                      <w:color w:val="auto"/>
                    </w:rPr>
                  </w:pPr>
                  <w:r>
                    <w:rPr>
                      <w:rFonts w:hint="default" w:ascii="Times New Roman" w:hAnsi="Times New Roman" w:cs="Times New Roman"/>
                      <w:color w:val="auto"/>
                      <w:spacing w:val="-1"/>
                    </w:rPr>
                    <w:t>43.929497</w:t>
                  </w:r>
                </w:p>
              </w:tc>
            </w:tr>
            <w:tr w14:paraId="6432E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32" w:type="dxa"/>
                  <w:vAlign w:val="top"/>
                </w:tcPr>
                <w:p w14:paraId="0823BD33">
                  <w:pPr>
                    <w:pStyle w:val="50"/>
                    <w:spacing w:before="92" w:line="189" w:lineRule="auto"/>
                    <w:ind w:left="252"/>
                    <w:rPr>
                      <w:rFonts w:hint="default" w:ascii="Times New Roman" w:hAnsi="Times New Roman" w:cs="Times New Roman"/>
                      <w:color w:val="auto"/>
                    </w:rPr>
                  </w:pPr>
                  <w:r>
                    <w:rPr>
                      <w:rFonts w:hint="default" w:ascii="Times New Roman" w:hAnsi="Times New Roman" w:cs="Times New Roman"/>
                      <w:color w:val="auto"/>
                      <w:spacing w:val="-2"/>
                    </w:rPr>
                    <w:t>P8</w:t>
                  </w:r>
                </w:p>
              </w:tc>
              <w:tc>
                <w:tcPr>
                  <w:tcW w:w="3898" w:type="dxa"/>
                  <w:vAlign w:val="top"/>
                </w:tcPr>
                <w:p w14:paraId="70AA4414">
                  <w:pPr>
                    <w:pStyle w:val="50"/>
                    <w:spacing w:before="92" w:line="189" w:lineRule="auto"/>
                    <w:ind w:left="1486"/>
                    <w:rPr>
                      <w:rFonts w:hint="default" w:ascii="Times New Roman" w:hAnsi="Times New Roman" w:cs="Times New Roman"/>
                      <w:color w:val="auto"/>
                    </w:rPr>
                  </w:pPr>
                  <w:r>
                    <w:rPr>
                      <w:rFonts w:hint="default" w:ascii="Times New Roman" w:hAnsi="Times New Roman" w:cs="Times New Roman"/>
                      <w:color w:val="auto"/>
                      <w:spacing w:val="-1"/>
                    </w:rPr>
                    <w:t>91.249861</w:t>
                  </w:r>
                </w:p>
              </w:tc>
              <w:tc>
                <w:tcPr>
                  <w:tcW w:w="3846" w:type="dxa"/>
                  <w:vAlign w:val="top"/>
                </w:tcPr>
                <w:p w14:paraId="78917FF3">
                  <w:pPr>
                    <w:pStyle w:val="50"/>
                    <w:spacing w:before="92" w:line="189" w:lineRule="auto"/>
                    <w:ind w:left="1454"/>
                    <w:rPr>
                      <w:rFonts w:hint="default" w:ascii="Times New Roman" w:hAnsi="Times New Roman" w:cs="Times New Roman"/>
                      <w:color w:val="auto"/>
                    </w:rPr>
                  </w:pPr>
                  <w:r>
                    <w:rPr>
                      <w:rFonts w:hint="default" w:ascii="Times New Roman" w:hAnsi="Times New Roman" w:cs="Times New Roman"/>
                      <w:color w:val="auto"/>
                      <w:spacing w:val="-1"/>
                    </w:rPr>
                    <w:t>43.938747</w:t>
                  </w:r>
                </w:p>
              </w:tc>
            </w:tr>
          </w:tbl>
          <w:p w14:paraId="2EA8451F">
            <w:pPr>
              <w:pStyle w:val="27"/>
              <w:rPr>
                <w:rFonts w:hint="default" w:ascii="Times New Roman" w:hAnsi="Times New Roman" w:cs="Times New Roman"/>
                <w:color w:val="auto"/>
                <w:lang w:eastAsia="zh-CN"/>
              </w:rPr>
            </w:pPr>
          </w:p>
        </w:tc>
      </w:tr>
      <w:tr w14:paraId="46D31B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0" w:type="dxa"/>
            <w:noWrap w:val="0"/>
            <w:vAlign w:val="center"/>
          </w:tcPr>
          <w:p w14:paraId="366A7F6F">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项目组成及规模</w:t>
            </w:r>
          </w:p>
        </w:tc>
        <w:tc>
          <w:tcPr>
            <w:tcW w:w="8441" w:type="dxa"/>
            <w:noWrap w:val="0"/>
            <w:vAlign w:val="center"/>
          </w:tcPr>
          <w:p w14:paraId="7155B8DC">
            <w:pPr>
              <w:adjustRightInd w:val="0"/>
              <w:snapToGrid w:val="0"/>
              <w:spacing w:line="360" w:lineRule="auto"/>
              <w:ind w:firstLine="482" w:firstLineChars="200"/>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rPr>
              <w:t>1</w:t>
            </w:r>
            <w:r>
              <w:rPr>
                <w:rFonts w:hint="default" w:ascii="Times New Roman" w:hAnsi="Times New Roman" w:cs="Times New Roman"/>
                <w:b/>
                <w:bCs/>
                <w:color w:val="auto"/>
                <w:kern w:val="0"/>
                <w:sz w:val="24"/>
                <w:lang w:eastAsia="zh-CN"/>
              </w:rPr>
              <w:t>、</w:t>
            </w:r>
            <w:r>
              <w:rPr>
                <w:rFonts w:hint="default" w:ascii="Times New Roman" w:hAnsi="Times New Roman" w:cs="Times New Roman"/>
                <w:b/>
                <w:bCs/>
                <w:color w:val="auto"/>
                <w:kern w:val="0"/>
                <w:sz w:val="24"/>
              </w:rPr>
              <w:t>主要建设内容</w:t>
            </w:r>
          </w:p>
          <w:p w14:paraId="354240B3">
            <w:pPr>
              <w:numPr>
                <w:ilvl w:val="0"/>
                <w:numId w:val="0"/>
              </w:numPr>
              <w:adjustRightInd w:val="0"/>
              <w:snapToGrid w:val="0"/>
              <w:spacing w:line="360" w:lineRule="auto"/>
              <w:ind w:firstLine="480" w:firstLineChars="200"/>
              <w:rPr>
                <w:rFonts w:hint="default" w:ascii="Times New Roman" w:hAnsi="Times New Roman" w:cs="Times New Roman"/>
                <w:b w:val="0"/>
                <w:bCs w:val="0"/>
                <w:color w:val="auto"/>
                <w:sz w:val="24"/>
                <w:lang w:val="en-US" w:eastAsia="zh-CN"/>
              </w:rPr>
            </w:pPr>
            <w:r>
              <w:rPr>
                <w:rFonts w:hint="default" w:ascii="Times New Roman" w:hAnsi="Times New Roman" w:cs="Times New Roman"/>
                <w:b w:val="0"/>
                <w:bCs w:val="0"/>
                <w:color w:val="auto"/>
                <w:sz w:val="24"/>
                <w:lang w:val="en-US" w:eastAsia="zh-CN"/>
              </w:rPr>
              <w:t>本工程总装机规模400MW，拟安装40台10MW风电机组，配套工程包括新建40台风电机组基础、40台箱变基础、场内输变电线路及检修道路等</w:t>
            </w:r>
            <w:r>
              <w:rPr>
                <w:rFonts w:hint="default" w:ascii="Times New Roman" w:hAnsi="Times New Roman" w:cs="Times New Roman"/>
                <w:b w:val="0"/>
                <w:bCs w:val="0"/>
                <w:color w:val="auto"/>
                <w:sz w:val="24"/>
                <w:lang w:val="en-US" w:eastAsia="zh-CN"/>
              </w:rPr>
              <w:t>。</w:t>
            </w:r>
          </w:p>
          <w:p w14:paraId="44227939">
            <w:pPr>
              <w:numPr>
                <w:ilvl w:val="0"/>
                <w:numId w:val="0"/>
              </w:numPr>
              <w:adjustRightInd w:val="0"/>
              <w:snapToGrid w:val="0"/>
              <w:spacing w:line="360" w:lineRule="auto"/>
              <w:ind w:firstLine="480" w:firstLineChars="200"/>
              <w:rPr>
                <w:rFonts w:hint="default" w:ascii="Times New Roman" w:hAnsi="Times New Roman" w:cs="Times New Roman"/>
                <w:b w:val="0"/>
                <w:bCs w:val="0"/>
                <w:color w:val="auto"/>
                <w:sz w:val="24"/>
                <w:lang w:val="en-US" w:eastAsia="zh-CN"/>
              </w:rPr>
            </w:pPr>
            <w:r>
              <w:rPr>
                <w:rFonts w:hint="default" w:ascii="Times New Roman" w:hAnsi="Times New Roman" w:cs="Times New Roman"/>
                <w:color w:val="auto"/>
                <w:sz w:val="24"/>
              </w:rPr>
              <w:t>220kV风电</w:t>
            </w:r>
            <w:r>
              <w:rPr>
                <w:rFonts w:hint="default" w:ascii="Times New Roman" w:hAnsi="Times New Roman" w:cs="Times New Roman"/>
                <w:color w:val="auto"/>
                <w:sz w:val="24"/>
                <w:lang w:eastAsia="zh-CN"/>
              </w:rPr>
              <w:t>升压站</w:t>
            </w:r>
            <w:r>
              <w:rPr>
                <w:rFonts w:hint="default" w:ascii="Times New Roman" w:hAnsi="Times New Roman" w:cs="Times New Roman"/>
                <w:color w:val="auto"/>
                <w:sz w:val="24"/>
                <w:lang w:val="en-US" w:eastAsia="zh-CN"/>
              </w:rPr>
              <w:t>不在本次评价范围内。</w:t>
            </w:r>
          </w:p>
          <w:p w14:paraId="60E0E4DD">
            <w:pPr>
              <w:numPr>
                <w:ilvl w:val="0"/>
                <w:numId w:val="0"/>
              </w:num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w:t>
            </w:r>
            <w:r>
              <w:rPr>
                <w:rFonts w:hint="default" w:ascii="Times New Roman" w:hAnsi="Times New Roman" w:cs="Times New Roman"/>
                <w:color w:val="auto"/>
                <w:sz w:val="24"/>
                <w:lang w:val="en-US" w:eastAsia="zh-CN"/>
              </w:rPr>
              <w:t>风电场</w:t>
            </w:r>
            <w:r>
              <w:rPr>
                <w:rFonts w:hint="default" w:ascii="Times New Roman" w:hAnsi="Times New Roman" w:cs="Times New Roman"/>
                <w:color w:val="auto"/>
                <w:sz w:val="24"/>
              </w:rPr>
              <w:t>主要建设内容一览表见表2-</w:t>
            </w:r>
            <w:r>
              <w:rPr>
                <w:rFonts w:hint="default" w:ascii="Times New Roman" w:hAnsi="Times New Roman" w:cs="Times New Roman"/>
                <w:color w:val="auto"/>
                <w:sz w:val="24"/>
                <w:lang w:val="en-US" w:eastAsia="zh-CN"/>
              </w:rPr>
              <w:t>2</w:t>
            </w:r>
            <w:r>
              <w:rPr>
                <w:rFonts w:hint="default" w:ascii="Times New Roman" w:hAnsi="Times New Roman" w:cs="Times New Roman"/>
                <w:color w:val="auto"/>
                <w:sz w:val="24"/>
              </w:rPr>
              <w:t>。</w:t>
            </w:r>
          </w:p>
          <w:p w14:paraId="2D617B24">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jc w:val="center"/>
              <w:textAlignment w:val="auto"/>
              <w:rPr>
                <w:rFonts w:hint="default" w:ascii="Times New Roman" w:hAnsi="Times New Roman" w:cs="Times New Roman"/>
                <w:b/>
                <w:bCs/>
                <w:color w:val="auto"/>
                <w:szCs w:val="21"/>
              </w:rPr>
            </w:pPr>
            <w:r>
              <w:rPr>
                <w:rFonts w:hint="default" w:ascii="Times New Roman" w:hAnsi="Times New Roman" w:cs="Times New Roman"/>
                <w:b/>
                <w:bCs/>
                <w:color w:val="auto"/>
                <w:szCs w:val="21"/>
              </w:rPr>
              <w:t>表2-</w:t>
            </w:r>
            <w:r>
              <w:rPr>
                <w:rFonts w:hint="default" w:ascii="Times New Roman" w:hAnsi="Times New Roman" w:cs="Times New Roman"/>
                <w:b/>
                <w:bCs/>
                <w:color w:val="auto"/>
                <w:szCs w:val="21"/>
                <w:lang w:val="en-US" w:eastAsia="zh-CN"/>
              </w:rPr>
              <w:t>2风电场</w:t>
            </w:r>
            <w:r>
              <w:rPr>
                <w:rFonts w:hint="default" w:ascii="Times New Roman" w:hAnsi="Times New Roman" w:cs="Times New Roman"/>
                <w:b/>
                <w:bCs/>
                <w:color w:val="auto"/>
                <w:szCs w:val="21"/>
              </w:rPr>
              <w:t>主要建设内容一览表</w:t>
            </w:r>
          </w:p>
          <w:tbl>
            <w:tblPr>
              <w:tblStyle w:val="22"/>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2"/>
              <w:gridCol w:w="2272"/>
              <w:gridCol w:w="5252"/>
            </w:tblGrid>
            <w:tr w14:paraId="2C5CB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1" w:type="pct"/>
                  <w:noWrap w:val="0"/>
                  <w:vAlign w:val="center"/>
                </w:tcPr>
                <w:p w14:paraId="6DF75242">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分类</w:t>
                  </w:r>
                </w:p>
              </w:tc>
              <w:tc>
                <w:tcPr>
                  <w:tcW w:w="1343" w:type="pct"/>
                  <w:noWrap w:val="0"/>
                  <w:vAlign w:val="center"/>
                </w:tcPr>
                <w:p w14:paraId="4AD12BD1">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建设内容</w:t>
                  </w:r>
                </w:p>
              </w:tc>
              <w:tc>
                <w:tcPr>
                  <w:tcW w:w="3104" w:type="pct"/>
                  <w:noWrap w:val="0"/>
                  <w:vAlign w:val="center"/>
                </w:tcPr>
                <w:p w14:paraId="3EE96292">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规模</w:t>
                  </w:r>
                </w:p>
              </w:tc>
            </w:tr>
            <w:tr w14:paraId="358D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1" w:type="pct"/>
                  <w:noWrap w:val="0"/>
                  <w:vAlign w:val="center"/>
                </w:tcPr>
                <w:p w14:paraId="0E680797">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szCs w:val="21"/>
                    </w:rPr>
                    <w:t>主体工程</w:t>
                  </w:r>
                </w:p>
              </w:tc>
              <w:tc>
                <w:tcPr>
                  <w:tcW w:w="1343" w:type="pct"/>
                  <w:noWrap w:val="0"/>
                  <w:vAlign w:val="center"/>
                </w:tcPr>
                <w:p w14:paraId="30F4A177">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szCs w:val="21"/>
                      <w:lang w:val="en-US" w:eastAsia="zh-CN"/>
                    </w:rPr>
                    <w:t>风电项目</w:t>
                  </w:r>
                </w:p>
              </w:tc>
              <w:tc>
                <w:tcPr>
                  <w:tcW w:w="3104" w:type="pct"/>
                  <w:noWrap w:val="0"/>
                  <w:vAlign w:val="center"/>
                </w:tcPr>
                <w:p w14:paraId="402F58F8">
                  <w:pPr>
                    <w:keepNext w:val="0"/>
                    <w:keepLines w:val="0"/>
                    <w:pageBreakBefore w:val="0"/>
                    <w:kinsoku/>
                    <w:wordWrap/>
                    <w:overflowPunct/>
                    <w:topLinePunct w:val="0"/>
                    <w:autoSpaceDE/>
                    <w:autoSpaceDN/>
                    <w:bidi w:val="0"/>
                    <w:adjustRightInd w:val="0"/>
                    <w:snapToGrid w:val="0"/>
                    <w:spacing w:line="240" w:lineRule="auto"/>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安装</w:t>
                  </w:r>
                  <w:r>
                    <w:rPr>
                      <w:rFonts w:hint="default" w:ascii="Times New Roman" w:hAnsi="Times New Roman" w:cs="Times New Roman"/>
                      <w:color w:val="auto"/>
                      <w:szCs w:val="21"/>
                      <w:lang w:val="en-US" w:eastAsia="zh-CN"/>
                    </w:rPr>
                    <w:t>40</w:t>
                  </w:r>
                  <w:r>
                    <w:rPr>
                      <w:rFonts w:hint="default" w:ascii="Times New Roman" w:hAnsi="Times New Roman" w:cs="Times New Roman"/>
                      <w:color w:val="auto"/>
                      <w:szCs w:val="21"/>
                      <w:lang w:val="en-US" w:eastAsia="zh-CN"/>
                    </w:rPr>
                    <w:t>台单机容量为10MW风电机组，采取一机一变一杆塔布置。</w:t>
                  </w:r>
                </w:p>
              </w:tc>
            </w:tr>
            <w:tr w14:paraId="54D07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551" w:type="pct"/>
                  <w:vMerge w:val="restart"/>
                  <w:noWrap w:val="0"/>
                  <w:vAlign w:val="center"/>
                </w:tcPr>
                <w:p w14:paraId="7071AE71">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szCs w:val="21"/>
                    </w:rPr>
                    <w:t>辅助工程</w:t>
                  </w:r>
                </w:p>
              </w:tc>
              <w:tc>
                <w:tcPr>
                  <w:tcW w:w="1343" w:type="pct"/>
                  <w:noWrap w:val="0"/>
                  <w:vAlign w:val="center"/>
                </w:tcPr>
                <w:p w14:paraId="55C69E1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集电线路</w:t>
                  </w:r>
                </w:p>
              </w:tc>
              <w:tc>
                <w:tcPr>
                  <w:tcW w:w="3104" w:type="pct"/>
                  <w:noWrap w:val="0"/>
                  <w:vAlign w:val="center"/>
                </w:tcPr>
                <w:p w14:paraId="7775BDA4">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本工程自各风机箱变高压侧起经由14回主线，最终经电缆接入至本期新建220kV升压汇集站35kV配电柜止，电压等级35kV。</w:t>
                  </w:r>
                </w:p>
                <w:p w14:paraId="6A0A3991">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工程集电线路亘长约68km，全线单、双回路混合架设，导线均采用JL/G1A-240/30型钢芯铝绞线。其中单回路亘长约37km，双回路亘长约31km。全线单地线架设，单回路采用一根OPGW（32芯）复合光缆，双回路采用一根OPGW（64芯）复合光缆。</w:t>
                  </w:r>
                </w:p>
              </w:tc>
            </w:tr>
            <w:tr w14:paraId="2D13E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551" w:type="pct"/>
                  <w:vMerge w:val="continue"/>
                  <w:noWrap w:val="0"/>
                  <w:vAlign w:val="center"/>
                </w:tcPr>
                <w:p w14:paraId="476F3D02">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Cs w:val="21"/>
                    </w:rPr>
                  </w:pPr>
                </w:p>
              </w:tc>
              <w:tc>
                <w:tcPr>
                  <w:tcW w:w="1343" w:type="pct"/>
                  <w:noWrap w:val="0"/>
                  <w:vAlign w:val="center"/>
                </w:tcPr>
                <w:p w14:paraId="7956E7F6">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szCs w:val="21"/>
                    </w:rPr>
                    <w:t>道路</w:t>
                  </w:r>
                </w:p>
              </w:tc>
              <w:tc>
                <w:tcPr>
                  <w:tcW w:w="3104" w:type="pct"/>
                  <w:noWrap w:val="0"/>
                  <w:vAlign w:val="center"/>
                </w:tcPr>
                <w:p w14:paraId="7394DBB6">
                  <w:pPr>
                    <w:keepNext w:val="0"/>
                    <w:keepLines w:val="0"/>
                    <w:pageBreakBefore w:val="0"/>
                    <w:widowControl/>
                    <w:kinsoku/>
                    <w:wordWrap/>
                    <w:overflowPunct/>
                    <w:topLinePunct w:val="0"/>
                    <w:autoSpaceDE/>
                    <w:autoSpaceDN/>
                    <w:bidi w:val="0"/>
                    <w:spacing w:line="240" w:lineRule="auto"/>
                    <w:rPr>
                      <w:rFonts w:hint="default" w:ascii="Times New Roman" w:hAnsi="Times New Roman" w:cs="Times New Roman"/>
                      <w:color w:val="auto"/>
                      <w:szCs w:val="21"/>
                    </w:rPr>
                  </w:pPr>
                  <w:r>
                    <w:rPr>
                      <w:rFonts w:hint="default" w:ascii="Times New Roman" w:hAnsi="Times New Roman" w:cs="Times New Roman"/>
                      <w:color w:val="auto"/>
                      <w:szCs w:val="21"/>
                      <w:lang w:val="en-US" w:eastAsia="zh-CN"/>
                    </w:rPr>
                    <w:t>本期工程规划从已有道路转场外简易道路进入场区，充分利用既有道路，沿各风电机组处建设施工检修道路。本项目检修道路长</w:t>
                  </w:r>
                  <w:r>
                    <w:rPr>
                      <w:rFonts w:hint="default" w:ascii="Times New Roman" w:hAnsi="Times New Roman" w:cs="Times New Roman"/>
                      <w:color w:val="auto"/>
                      <w:szCs w:val="21"/>
                      <w:lang w:val="en-US" w:eastAsia="zh-CN"/>
                    </w:rPr>
                    <w:t>55</w:t>
                  </w:r>
                  <w:r>
                    <w:rPr>
                      <w:rFonts w:hint="default" w:ascii="Times New Roman" w:hAnsi="Times New Roman" w:cs="Times New Roman"/>
                      <w:color w:val="auto"/>
                      <w:szCs w:val="21"/>
                      <w:lang w:val="en-US" w:eastAsia="zh-CN"/>
                    </w:rPr>
                    <w:t>km，进站道路长0.2km。风电场道路按照《风电场工程道路设计规范》NB/T 10209-2019进行设计，设计时速一般采用15km/h，路基宽度6.0m，路面宽度5.0m，道路最小平曲线半径30m，主道路最大纵向坡度12%，支线最大纵向坡度15%。</w:t>
                  </w:r>
                </w:p>
              </w:tc>
            </w:tr>
            <w:tr w14:paraId="497E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1" w:type="pct"/>
                  <w:vMerge w:val="continue"/>
                  <w:noWrap w:val="0"/>
                  <w:vAlign w:val="center"/>
                </w:tcPr>
                <w:p w14:paraId="4FA2D218">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Cs w:val="21"/>
                    </w:rPr>
                  </w:pPr>
                </w:p>
              </w:tc>
              <w:tc>
                <w:tcPr>
                  <w:tcW w:w="1343" w:type="pct"/>
                  <w:noWrap w:val="0"/>
                  <w:vAlign w:val="center"/>
                </w:tcPr>
                <w:p w14:paraId="00B575D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塔杆</w:t>
                  </w:r>
                </w:p>
              </w:tc>
              <w:tc>
                <w:tcPr>
                  <w:tcW w:w="3104" w:type="pct"/>
                  <w:noWrap w:val="0"/>
                  <w:vAlign w:val="center"/>
                </w:tcPr>
                <w:p w14:paraId="5362B255">
                  <w:pPr>
                    <w:keepNext w:val="0"/>
                    <w:keepLines w:val="0"/>
                    <w:pageBreakBefore w:val="0"/>
                    <w:widowControl/>
                    <w:kinsoku/>
                    <w:wordWrap/>
                    <w:overflowPunct/>
                    <w:topLinePunct w:val="0"/>
                    <w:autoSpaceDE/>
                    <w:autoSpaceDN/>
                    <w:bidi w:val="0"/>
                    <w:spacing w:line="240" w:lineRule="auto"/>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根据导地线及气象条件，针对工程特点，本工程采用我院自行设计的35-CGC2-Z2、35-CGC2-J1、35-CGC2-J2、35-CGC2-J3、35-CGC2-J4单回路上字型角钢铁塔及35-CGC2-SZ2、35-CGC2-SJ1、35-CGC2-SJ2、35-CGC2-SJ3、35-CGC2-SJ4双回路鼓型角钢铁塔，在该地区已投运的35千伏线路中广泛应用，运行情况良好</w:t>
                  </w:r>
                </w:p>
              </w:tc>
            </w:tr>
            <w:tr w14:paraId="2D633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551" w:type="pct"/>
                  <w:vMerge w:val="restart"/>
                  <w:noWrap w:val="0"/>
                  <w:vAlign w:val="center"/>
                </w:tcPr>
                <w:p w14:paraId="0982B29D">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临时工程</w:t>
                  </w:r>
                </w:p>
              </w:tc>
              <w:tc>
                <w:tcPr>
                  <w:tcW w:w="1343" w:type="pct"/>
                  <w:noWrap w:val="0"/>
                  <w:vAlign w:val="center"/>
                </w:tcPr>
                <w:p w14:paraId="2979504B">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吊装场地</w:t>
                  </w:r>
                </w:p>
              </w:tc>
              <w:tc>
                <w:tcPr>
                  <w:tcW w:w="3104" w:type="pct"/>
                  <w:noWrap w:val="0"/>
                  <w:vAlign w:val="center"/>
                </w:tcPr>
                <w:p w14:paraId="46B7D456">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风电区</w:t>
                  </w:r>
                  <w:r>
                    <w:rPr>
                      <w:rFonts w:hint="default" w:ascii="Times New Roman" w:hAnsi="Times New Roman" w:cs="Times New Roman"/>
                      <w:color w:val="auto"/>
                      <w:sz w:val="21"/>
                      <w:szCs w:val="21"/>
                    </w:rPr>
                    <w:t>主要设有</w:t>
                  </w:r>
                  <w:r>
                    <w:rPr>
                      <w:rFonts w:hint="default" w:ascii="Times New Roman" w:hAnsi="Times New Roman" w:eastAsia="宋体" w:cs="Times New Roman"/>
                      <w:i w:val="0"/>
                      <w:iCs w:val="0"/>
                      <w:color w:val="auto"/>
                      <w:sz w:val="21"/>
                      <w:szCs w:val="21"/>
                      <w:u w:val="none"/>
                      <w:lang w:val="en-US" w:eastAsia="zh-CN"/>
                    </w:rPr>
                    <w:t>吊装场地</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占地面积</w:t>
                  </w:r>
                  <w:r>
                    <w:rPr>
                      <w:rFonts w:hint="default" w:ascii="Times New Roman" w:hAnsi="Times New Roman" w:cs="Times New Roman"/>
                      <w:color w:val="auto"/>
                      <w:sz w:val="21"/>
                      <w:szCs w:val="21"/>
                      <w:lang w:val="en-US" w:eastAsia="zh-CN"/>
                    </w:rPr>
                    <w:t>156000</w:t>
                  </w:r>
                  <w:r>
                    <w:rPr>
                      <w:rFonts w:hint="default" w:ascii="Times New Roman" w:hAnsi="Times New Roman" w:cs="Times New Roman"/>
                      <w:color w:val="auto"/>
                      <w:sz w:val="21"/>
                      <w:szCs w:val="21"/>
                    </w:rPr>
                    <w:t>m</w:t>
                  </w:r>
                  <w:r>
                    <w:rPr>
                      <w:rFonts w:hint="default" w:ascii="Times New Roman" w:hAnsi="Times New Roman" w:cs="Times New Roman"/>
                      <w:color w:val="auto"/>
                      <w:sz w:val="21"/>
                      <w:szCs w:val="21"/>
                      <w:vertAlign w:val="superscript"/>
                    </w:rPr>
                    <w:t>2</w:t>
                  </w:r>
                  <w:r>
                    <w:rPr>
                      <w:rFonts w:hint="default" w:ascii="Times New Roman" w:hAnsi="Times New Roman" w:cs="Times New Roman"/>
                      <w:color w:val="auto"/>
                      <w:sz w:val="21"/>
                      <w:szCs w:val="21"/>
                    </w:rPr>
                    <w:t>。本项目风机吊装平台最小尺寸按60m×65m设计，与道路顺接，做法与新建道路相同，共设置风机吊装平台40处。整个项目施工完毕后，吊装平台仅留出检修道路（4.5m）至风机处，其余部分恢复至原状。</w:t>
                  </w:r>
                </w:p>
              </w:tc>
            </w:tr>
            <w:tr w14:paraId="29359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551" w:type="pct"/>
                  <w:vMerge w:val="continue"/>
                  <w:noWrap w:val="0"/>
                  <w:vAlign w:val="center"/>
                </w:tcPr>
                <w:p w14:paraId="3024E39B">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 w:val="21"/>
                      <w:szCs w:val="21"/>
                      <w:lang w:val="en-US" w:eastAsia="zh-CN"/>
                    </w:rPr>
                  </w:pPr>
                </w:p>
              </w:tc>
              <w:tc>
                <w:tcPr>
                  <w:tcW w:w="1343" w:type="pct"/>
                  <w:noWrap w:val="0"/>
                  <w:vAlign w:val="center"/>
                </w:tcPr>
                <w:p w14:paraId="38CC1AA2">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临时生活办公区</w:t>
                  </w:r>
                </w:p>
              </w:tc>
              <w:tc>
                <w:tcPr>
                  <w:tcW w:w="3104" w:type="pct"/>
                  <w:noWrap w:val="0"/>
                  <w:vAlign w:val="center"/>
                </w:tcPr>
                <w:p w14:paraId="5BBACD82">
                  <w:pPr>
                    <w:keepNext w:val="0"/>
                    <w:keepLines w:val="0"/>
                    <w:pageBreakBefore w:val="0"/>
                    <w:kinsoku/>
                    <w:wordWrap/>
                    <w:overflowPunct/>
                    <w:topLinePunct w:val="0"/>
                    <w:autoSpaceDE/>
                    <w:autoSpaceDN/>
                    <w:bidi w:val="0"/>
                    <w:adjustRightInd w:val="0"/>
                    <w:snapToGrid w:val="0"/>
                    <w:spacing w:line="240" w:lineRule="auto"/>
                    <w:jc w:val="left"/>
                    <w:rPr>
                      <w:rFonts w:hint="default" w:ascii="Times New Roman" w:hAnsi="Times New Roman" w:cs="Times New Roman"/>
                      <w:color w:val="auto"/>
                      <w:sz w:val="21"/>
                      <w:szCs w:val="21"/>
                      <w:lang w:val="en-US" w:eastAsia="zh-CN"/>
                    </w:rPr>
                  </w:pPr>
                  <w:r>
                    <w:rPr>
                      <w:rFonts w:hint="default" w:ascii="Times New Roman" w:hAnsi="Times New Roman" w:cs="Times New Roman"/>
                      <w:b w:val="0"/>
                      <w:bCs w:val="0"/>
                      <w:color w:val="auto"/>
                      <w:sz w:val="21"/>
                      <w:szCs w:val="21"/>
                      <w:lang w:val="en-US" w:eastAsia="zh-CN"/>
                    </w:rPr>
                    <w:t>根据施工总进度安排，本工程施工期的平均人数为300人，高峰人数为475人，经计算，施工临时办公生活区占地面积约10000m</w:t>
                  </w:r>
                  <w:r>
                    <w:rPr>
                      <w:rFonts w:hint="default" w:ascii="Times New Roman" w:hAnsi="Times New Roman" w:cs="Times New Roman"/>
                      <w:b w:val="0"/>
                      <w:bCs w:val="0"/>
                      <w:color w:val="auto"/>
                      <w:sz w:val="21"/>
                      <w:szCs w:val="21"/>
                      <w:vertAlign w:val="superscript"/>
                      <w:lang w:val="en-US" w:eastAsia="zh-CN"/>
                    </w:rPr>
                    <w:t>2</w:t>
                  </w:r>
                  <w:r>
                    <w:rPr>
                      <w:rFonts w:hint="default" w:ascii="Times New Roman" w:hAnsi="Times New Roman" w:cs="Times New Roman"/>
                      <w:b w:val="0"/>
                      <w:bCs w:val="0"/>
                      <w:color w:val="auto"/>
                      <w:sz w:val="21"/>
                      <w:szCs w:val="21"/>
                      <w:lang w:val="en-US" w:eastAsia="zh-CN"/>
                    </w:rPr>
                    <w:t>。</w:t>
                  </w:r>
                </w:p>
              </w:tc>
            </w:tr>
            <w:tr w14:paraId="6F48C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551" w:type="pct"/>
                  <w:vMerge w:val="continue"/>
                  <w:noWrap w:val="0"/>
                  <w:vAlign w:val="center"/>
                </w:tcPr>
                <w:p w14:paraId="5436EC6D">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 w:val="21"/>
                      <w:szCs w:val="21"/>
                      <w:lang w:val="en-US" w:eastAsia="zh-CN"/>
                    </w:rPr>
                  </w:pPr>
                </w:p>
              </w:tc>
              <w:tc>
                <w:tcPr>
                  <w:tcW w:w="1343" w:type="pct"/>
                  <w:noWrap w:val="0"/>
                  <w:vAlign w:val="center"/>
                </w:tcPr>
                <w:p w14:paraId="2032F661">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机械停放场</w:t>
                  </w:r>
                </w:p>
              </w:tc>
              <w:tc>
                <w:tcPr>
                  <w:tcW w:w="3104" w:type="pct"/>
                  <w:noWrap w:val="0"/>
                  <w:vAlign w:val="center"/>
                </w:tcPr>
                <w:p w14:paraId="0C8822E4">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z w:val="21"/>
                      <w:szCs w:val="21"/>
                      <w:lang w:val="en-US" w:eastAsia="zh-CN"/>
                    </w:rPr>
                  </w:pPr>
                  <w:r>
                    <w:rPr>
                      <w:rFonts w:hint="default" w:ascii="Times New Roman" w:hAnsi="Times New Roman" w:cs="Times New Roman"/>
                      <w:b w:val="0"/>
                      <w:bCs w:val="0"/>
                      <w:color w:val="auto"/>
                      <w:sz w:val="21"/>
                      <w:szCs w:val="21"/>
                      <w:lang w:val="en-US" w:eastAsia="zh-CN"/>
                    </w:rPr>
                    <w:t>机械停放场初步按停放50台机械考虑，占地面积10000m</w:t>
                  </w:r>
                  <w:r>
                    <w:rPr>
                      <w:rFonts w:hint="default" w:ascii="Times New Roman" w:hAnsi="Times New Roman" w:cs="Times New Roman"/>
                      <w:b w:val="0"/>
                      <w:bCs w:val="0"/>
                      <w:color w:val="auto"/>
                      <w:sz w:val="21"/>
                      <w:szCs w:val="21"/>
                      <w:vertAlign w:val="superscript"/>
                      <w:lang w:val="en-US" w:eastAsia="zh-CN"/>
                    </w:rPr>
                    <w:t>2</w:t>
                  </w:r>
                  <w:r>
                    <w:rPr>
                      <w:rFonts w:hint="default" w:ascii="Times New Roman" w:hAnsi="Times New Roman" w:cs="Times New Roman"/>
                      <w:b w:val="0"/>
                      <w:bCs w:val="0"/>
                      <w:color w:val="auto"/>
                      <w:sz w:val="21"/>
                      <w:szCs w:val="21"/>
                      <w:lang w:val="en-US" w:eastAsia="zh-CN"/>
                    </w:rPr>
                    <w:t>左右。</w:t>
                  </w:r>
                </w:p>
              </w:tc>
            </w:tr>
            <w:tr w14:paraId="0CA8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551" w:type="pct"/>
                  <w:vMerge w:val="continue"/>
                  <w:noWrap w:val="0"/>
                  <w:vAlign w:val="center"/>
                </w:tcPr>
                <w:p w14:paraId="23052D95">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 w:val="21"/>
                      <w:szCs w:val="21"/>
                      <w:lang w:val="en-US" w:eastAsia="zh-CN"/>
                    </w:rPr>
                  </w:pPr>
                </w:p>
              </w:tc>
              <w:tc>
                <w:tcPr>
                  <w:tcW w:w="1343" w:type="pct"/>
                  <w:noWrap w:val="0"/>
                  <w:vAlign w:val="center"/>
                </w:tcPr>
                <w:p w14:paraId="118207A0">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Times New Roman" w:hAnsi="Times New Roman" w:cs="Times New Roman"/>
                      <w:color w:val="auto"/>
                      <w:kern w:val="21"/>
                      <w:sz w:val="21"/>
                      <w:szCs w:val="21"/>
                      <w:lang w:val="en-US" w:eastAsia="zh-CN"/>
                    </w:rPr>
                  </w:pPr>
                  <w:r>
                    <w:rPr>
                      <w:rFonts w:hint="default" w:ascii="Times New Roman" w:hAnsi="Times New Roman" w:eastAsia="宋体" w:cs="Times New Roman"/>
                      <w:i w:val="0"/>
                      <w:iCs w:val="0"/>
                      <w:color w:val="auto"/>
                      <w:sz w:val="21"/>
                      <w:szCs w:val="21"/>
                      <w:u w:val="none"/>
                      <w:lang w:val="en-US" w:eastAsia="zh-CN"/>
                    </w:rPr>
                    <w:t>综合加工厂</w:t>
                  </w:r>
                </w:p>
              </w:tc>
              <w:tc>
                <w:tcPr>
                  <w:tcW w:w="3104" w:type="pct"/>
                  <w:noWrap w:val="0"/>
                  <w:vAlign w:val="center"/>
                </w:tcPr>
                <w:p w14:paraId="24F2CCB1">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kern w:val="21"/>
                      <w:sz w:val="21"/>
                      <w:szCs w:val="21"/>
                      <w:lang w:val="en-US" w:eastAsia="zh-CN"/>
                    </w:rPr>
                  </w:pPr>
                  <w:r>
                    <w:rPr>
                      <w:rFonts w:hint="default" w:ascii="Times New Roman" w:hAnsi="Times New Roman" w:eastAsia="宋体" w:cs="Times New Roman"/>
                      <w:i w:val="0"/>
                      <w:iCs w:val="0"/>
                      <w:color w:val="auto"/>
                      <w:sz w:val="21"/>
                      <w:szCs w:val="21"/>
                      <w:u w:val="none"/>
                      <w:lang w:val="en-US" w:eastAsia="zh-CN"/>
                    </w:rPr>
                    <w:t>综合加工厂</w:t>
                  </w:r>
                  <w:r>
                    <w:rPr>
                      <w:rFonts w:hint="default" w:ascii="Times New Roman" w:hAnsi="Times New Roman" w:cs="Times New Roman"/>
                      <w:color w:val="auto"/>
                      <w:sz w:val="21"/>
                      <w:szCs w:val="21"/>
                      <w:lang w:val="en-US" w:eastAsia="zh-CN"/>
                    </w:rPr>
                    <w:t>1座，</w:t>
                  </w:r>
                  <w:r>
                    <w:rPr>
                      <w:rFonts w:hint="default" w:ascii="Times New Roman" w:hAnsi="Times New Roman" w:cs="Times New Roman"/>
                      <w:b w:val="0"/>
                      <w:bCs w:val="0"/>
                      <w:color w:val="auto"/>
                      <w:sz w:val="21"/>
                      <w:szCs w:val="21"/>
                      <w:lang w:val="en-US" w:eastAsia="zh-CN"/>
                    </w:rPr>
                    <w:t>考虑施工场区地形及风机布置限制，施工场地位于整个场区的中部。</w:t>
                  </w:r>
                  <w:r>
                    <w:rPr>
                      <w:rFonts w:hint="default" w:ascii="Times New Roman" w:hAnsi="Times New Roman" w:cs="Times New Roman"/>
                      <w:color w:val="auto"/>
                      <w:kern w:val="21"/>
                      <w:sz w:val="21"/>
                      <w:szCs w:val="21"/>
                      <w:lang w:val="en-US" w:eastAsia="zh-CN"/>
                    </w:rPr>
                    <w:t>总占地</w:t>
                  </w:r>
                  <w:r>
                    <w:rPr>
                      <w:rFonts w:hint="default" w:ascii="Times New Roman" w:hAnsi="Times New Roman" w:cs="Times New Roman"/>
                      <w:color w:val="auto"/>
                      <w:kern w:val="21"/>
                      <w:sz w:val="21"/>
                      <w:szCs w:val="21"/>
                      <w:lang w:val="en-US" w:eastAsia="zh-CN"/>
                    </w:rPr>
                    <w:t>1</w:t>
                  </w:r>
                  <w:r>
                    <w:rPr>
                      <w:rFonts w:hint="default" w:ascii="Times New Roman" w:hAnsi="Times New Roman" w:cs="Times New Roman"/>
                      <w:color w:val="auto"/>
                      <w:kern w:val="21"/>
                      <w:sz w:val="21"/>
                      <w:szCs w:val="21"/>
                      <w:lang w:val="en-US" w:eastAsia="zh-CN"/>
                    </w:rPr>
                    <w:t>5</w:t>
                  </w:r>
                  <w:r>
                    <w:rPr>
                      <w:rFonts w:hint="default" w:ascii="Times New Roman" w:hAnsi="Times New Roman" w:cs="Times New Roman"/>
                      <w:color w:val="auto"/>
                      <w:kern w:val="21"/>
                      <w:sz w:val="21"/>
                      <w:szCs w:val="21"/>
                      <w:lang w:val="en-US" w:eastAsia="zh-CN"/>
                    </w:rPr>
                    <w:t>000m</w:t>
                  </w:r>
                  <w:r>
                    <w:rPr>
                      <w:rFonts w:hint="default" w:ascii="Times New Roman" w:hAnsi="Times New Roman" w:cs="Times New Roman"/>
                      <w:color w:val="auto"/>
                      <w:kern w:val="21"/>
                      <w:sz w:val="21"/>
                      <w:szCs w:val="21"/>
                      <w:vertAlign w:val="superscript"/>
                      <w:lang w:val="en-US" w:eastAsia="zh-CN"/>
                    </w:rPr>
                    <w:t>2</w:t>
                  </w:r>
                </w:p>
              </w:tc>
            </w:tr>
            <w:tr w14:paraId="58696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551" w:type="pct"/>
                  <w:vMerge w:val="continue"/>
                  <w:noWrap w:val="0"/>
                  <w:vAlign w:val="center"/>
                </w:tcPr>
                <w:p w14:paraId="4E7AD6BA">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 w:val="21"/>
                      <w:szCs w:val="21"/>
                      <w:lang w:val="en-US" w:eastAsia="zh-CN"/>
                    </w:rPr>
                  </w:pPr>
                </w:p>
              </w:tc>
              <w:tc>
                <w:tcPr>
                  <w:tcW w:w="1343" w:type="pct"/>
                  <w:noWrap w:val="0"/>
                  <w:vAlign w:val="center"/>
                </w:tcPr>
                <w:p w14:paraId="30E06103">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Times New Roman" w:hAnsi="Times New Roman" w:cs="Times New Roman"/>
                      <w:color w:val="auto"/>
                      <w:kern w:val="21"/>
                      <w:sz w:val="21"/>
                      <w:szCs w:val="21"/>
                      <w:lang w:val="en-US" w:eastAsia="zh-CN"/>
                    </w:rPr>
                  </w:pPr>
                  <w:r>
                    <w:rPr>
                      <w:rFonts w:hint="default" w:ascii="Times New Roman" w:hAnsi="Times New Roman" w:eastAsia="宋体" w:cs="Times New Roman"/>
                      <w:i w:val="0"/>
                      <w:iCs w:val="0"/>
                      <w:color w:val="auto"/>
                      <w:sz w:val="21"/>
                      <w:szCs w:val="21"/>
                      <w:u w:val="none"/>
                      <w:lang w:val="en-US" w:eastAsia="zh-CN"/>
                    </w:rPr>
                    <w:t>综合仓库</w:t>
                  </w:r>
                </w:p>
              </w:tc>
              <w:tc>
                <w:tcPr>
                  <w:tcW w:w="3104" w:type="pct"/>
                  <w:noWrap w:val="0"/>
                  <w:vAlign w:val="center"/>
                </w:tcPr>
                <w:p w14:paraId="0664728E">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kern w:val="21"/>
                      <w:sz w:val="21"/>
                      <w:szCs w:val="21"/>
                      <w:lang w:val="en-US" w:eastAsia="zh-CN"/>
                    </w:rPr>
                  </w:pPr>
                  <w:r>
                    <w:rPr>
                      <w:rFonts w:hint="default" w:ascii="Times New Roman" w:hAnsi="Times New Roman" w:cs="Times New Roman"/>
                      <w:b w:val="0"/>
                      <w:bCs w:val="0"/>
                      <w:color w:val="auto"/>
                      <w:sz w:val="21"/>
                      <w:szCs w:val="21"/>
                      <w:lang w:val="en-US" w:eastAsia="zh-CN"/>
                    </w:rPr>
                    <w:t>本项目所需的仓库主要设有水泥库、木材库、钢筋库、砂石料堆场、机械停放场及设备堆场。仓库占地面积10000m</w:t>
                  </w:r>
                  <w:r>
                    <w:rPr>
                      <w:rFonts w:hint="default" w:ascii="Times New Roman" w:hAnsi="Times New Roman" w:cs="Times New Roman"/>
                      <w:b w:val="0"/>
                      <w:bCs w:val="0"/>
                      <w:color w:val="auto"/>
                      <w:sz w:val="21"/>
                      <w:szCs w:val="21"/>
                      <w:vertAlign w:val="superscript"/>
                      <w:lang w:val="en-US" w:eastAsia="zh-CN"/>
                    </w:rPr>
                    <w:t>2</w:t>
                  </w:r>
                </w:p>
              </w:tc>
            </w:tr>
            <w:tr w14:paraId="279D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551" w:type="pct"/>
                  <w:vMerge w:val="continue"/>
                  <w:noWrap w:val="0"/>
                  <w:vAlign w:val="center"/>
                </w:tcPr>
                <w:p w14:paraId="5E9C6DD9">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 w:val="21"/>
                      <w:szCs w:val="21"/>
                      <w:lang w:val="en-US" w:eastAsia="zh-CN"/>
                    </w:rPr>
                  </w:pPr>
                </w:p>
              </w:tc>
              <w:tc>
                <w:tcPr>
                  <w:tcW w:w="1343" w:type="pct"/>
                  <w:noWrap w:val="0"/>
                  <w:vAlign w:val="center"/>
                </w:tcPr>
                <w:p w14:paraId="268CC557">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设备及材料堆场</w:t>
                  </w:r>
                </w:p>
              </w:tc>
              <w:tc>
                <w:tcPr>
                  <w:tcW w:w="3104" w:type="pct"/>
                  <w:noWrap w:val="0"/>
                  <w:vAlign w:val="center"/>
                </w:tcPr>
                <w:p w14:paraId="064BD434">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kern w:val="21"/>
                      <w:sz w:val="21"/>
                      <w:szCs w:val="21"/>
                      <w:lang w:val="en-US" w:eastAsia="zh-CN"/>
                    </w:rPr>
                  </w:pPr>
                  <w:r>
                    <w:rPr>
                      <w:rFonts w:hint="default" w:ascii="Times New Roman" w:hAnsi="Times New Roman" w:cs="Times New Roman"/>
                      <w:b w:val="0"/>
                      <w:bCs w:val="0"/>
                      <w:color w:val="auto"/>
                      <w:sz w:val="21"/>
                      <w:szCs w:val="21"/>
                      <w:lang w:val="en-US" w:eastAsia="zh-CN"/>
                    </w:rPr>
                    <w:t>考虑施工场区地形及风机布置限制，施工场地位于整个场区的中部。</w:t>
                  </w:r>
                  <w:r>
                    <w:rPr>
                      <w:rFonts w:hint="default" w:ascii="Times New Roman" w:hAnsi="Times New Roman" w:cs="Times New Roman"/>
                      <w:color w:val="auto"/>
                      <w:kern w:val="21"/>
                      <w:sz w:val="21"/>
                      <w:szCs w:val="21"/>
                      <w:lang w:val="en-US" w:eastAsia="zh-CN"/>
                    </w:rPr>
                    <w:t>总占地</w:t>
                  </w:r>
                  <w:r>
                    <w:rPr>
                      <w:rFonts w:hint="default" w:ascii="Times New Roman" w:hAnsi="Times New Roman" w:cs="Times New Roman"/>
                      <w:color w:val="auto"/>
                      <w:kern w:val="21"/>
                      <w:sz w:val="21"/>
                      <w:szCs w:val="21"/>
                      <w:lang w:val="en-US" w:eastAsia="zh-CN"/>
                    </w:rPr>
                    <w:t>10</w:t>
                  </w:r>
                  <w:r>
                    <w:rPr>
                      <w:rFonts w:hint="default" w:ascii="Times New Roman" w:hAnsi="Times New Roman" w:cs="Times New Roman"/>
                      <w:color w:val="auto"/>
                      <w:kern w:val="21"/>
                      <w:sz w:val="21"/>
                      <w:szCs w:val="21"/>
                      <w:lang w:val="en-US" w:eastAsia="zh-CN"/>
                    </w:rPr>
                    <w:t>000m</w:t>
                  </w:r>
                  <w:r>
                    <w:rPr>
                      <w:rFonts w:hint="default" w:ascii="Times New Roman" w:hAnsi="Times New Roman" w:cs="Times New Roman"/>
                      <w:color w:val="auto"/>
                      <w:kern w:val="21"/>
                      <w:sz w:val="21"/>
                      <w:szCs w:val="21"/>
                      <w:vertAlign w:val="superscript"/>
                      <w:lang w:val="en-US" w:eastAsia="zh-CN"/>
                    </w:rPr>
                    <w:t>2</w:t>
                  </w:r>
                </w:p>
              </w:tc>
            </w:tr>
            <w:tr w14:paraId="562E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551" w:type="pct"/>
                  <w:vMerge w:val="restart"/>
                  <w:noWrap w:val="0"/>
                  <w:vAlign w:val="center"/>
                </w:tcPr>
                <w:p w14:paraId="1EBA131B">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公用工程</w:t>
                  </w:r>
                </w:p>
              </w:tc>
              <w:tc>
                <w:tcPr>
                  <w:tcW w:w="1343" w:type="pct"/>
                  <w:noWrap w:val="0"/>
                  <w:vAlign w:val="center"/>
                </w:tcPr>
                <w:p w14:paraId="1C6796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供水</w:t>
                  </w:r>
                </w:p>
              </w:tc>
              <w:tc>
                <w:tcPr>
                  <w:tcW w:w="3104" w:type="pct"/>
                  <w:noWrap w:val="0"/>
                  <w:vAlign w:val="center"/>
                </w:tcPr>
                <w:p w14:paraId="0D35ABBD">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为满足本工程项目生活消防用水和施工用水的需要，拟从依尔哈巴克村采用汽车拉水，距离居民区中心约52km，可满足风电场施工现场生产、生活、消防用水。风电场内各施工点用水考虑采用水车运送。</w:t>
                  </w:r>
                </w:p>
              </w:tc>
            </w:tr>
            <w:tr w14:paraId="712A0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51" w:type="pct"/>
                  <w:vMerge w:val="continue"/>
                  <w:noWrap w:val="0"/>
                  <w:vAlign w:val="center"/>
                </w:tcPr>
                <w:p w14:paraId="2B723EF1">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 w:val="21"/>
                      <w:szCs w:val="21"/>
                    </w:rPr>
                  </w:pPr>
                </w:p>
              </w:tc>
              <w:tc>
                <w:tcPr>
                  <w:tcW w:w="1343" w:type="pct"/>
                  <w:noWrap w:val="0"/>
                  <w:vAlign w:val="center"/>
                </w:tcPr>
                <w:p w14:paraId="5E5A20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供电</w:t>
                  </w:r>
                </w:p>
              </w:tc>
              <w:tc>
                <w:tcPr>
                  <w:tcW w:w="3104" w:type="pct"/>
                  <w:noWrap w:val="0"/>
                  <w:vAlign w:val="center"/>
                </w:tcPr>
                <w:p w14:paraId="0A2EFE12">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施工电源考虑由施工临建场地附近村庄已有10kV架空线路就近引接。即可满足施工用电的需求。</w:t>
                  </w:r>
                </w:p>
              </w:tc>
            </w:tr>
            <w:tr w14:paraId="5DE6B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51" w:type="pct"/>
                  <w:vMerge w:val="continue"/>
                  <w:noWrap w:val="0"/>
                  <w:vAlign w:val="center"/>
                </w:tcPr>
                <w:p w14:paraId="73275A16">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 w:val="21"/>
                      <w:szCs w:val="21"/>
                    </w:rPr>
                  </w:pPr>
                </w:p>
              </w:tc>
              <w:tc>
                <w:tcPr>
                  <w:tcW w:w="1343" w:type="pct"/>
                  <w:noWrap w:val="0"/>
                  <w:vAlign w:val="center"/>
                </w:tcPr>
                <w:p w14:paraId="3F19F4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排水</w:t>
                  </w:r>
                </w:p>
              </w:tc>
              <w:tc>
                <w:tcPr>
                  <w:tcW w:w="3104" w:type="pct"/>
                  <w:noWrap w:val="0"/>
                  <w:vAlign w:val="center"/>
                </w:tcPr>
                <w:p w14:paraId="381B00FE">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施工废水经沉淀池沉淀后回用工段；施工期生活污水排入临时环保公厕</w:t>
                  </w:r>
                  <w:r>
                    <w:rPr>
                      <w:rFonts w:hint="default" w:ascii="Times New Roman" w:hAnsi="Times New Roman" w:cs="Times New Roman"/>
                      <w:color w:val="auto"/>
                      <w:lang w:eastAsia="zh-CN"/>
                    </w:rPr>
                    <w:t>，</w:t>
                  </w:r>
                  <w:r>
                    <w:rPr>
                      <w:rFonts w:hint="default" w:ascii="Times New Roman" w:hAnsi="Times New Roman" w:cs="Times New Roman"/>
                      <w:color w:val="auto"/>
                      <w:sz w:val="21"/>
                      <w:szCs w:val="21"/>
                      <w:lang w:val="en-US" w:eastAsia="zh-CN"/>
                    </w:rPr>
                    <w:t>拉运当地污水处理厂。</w:t>
                  </w:r>
                </w:p>
              </w:tc>
            </w:tr>
            <w:tr w14:paraId="1DB52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551" w:type="pct"/>
                  <w:vMerge w:val="restart"/>
                  <w:noWrap w:val="0"/>
                  <w:vAlign w:val="center"/>
                </w:tcPr>
                <w:p w14:paraId="2F17B585">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环保工程</w:t>
                  </w:r>
                </w:p>
              </w:tc>
              <w:tc>
                <w:tcPr>
                  <w:tcW w:w="1343" w:type="pct"/>
                  <w:vMerge w:val="restart"/>
                  <w:noWrap w:val="0"/>
                  <w:vAlign w:val="center"/>
                </w:tcPr>
                <w:p w14:paraId="217F6707">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大气污染防治措施</w:t>
                  </w:r>
                </w:p>
              </w:tc>
              <w:tc>
                <w:tcPr>
                  <w:tcW w:w="3104" w:type="pct"/>
                  <w:noWrap w:val="0"/>
                  <w:vAlign w:val="center"/>
                </w:tcPr>
                <w:p w14:paraId="561B7045">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z w:val="21"/>
                      <w:szCs w:val="21"/>
                    </w:rPr>
                  </w:pPr>
                  <w:r>
                    <w:rPr>
                      <w:rFonts w:hint="default" w:ascii="Times New Roman" w:hAnsi="Times New Roman" w:cs="Times New Roman"/>
                      <w:color w:val="auto"/>
                      <w:kern w:val="21"/>
                      <w:sz w:val="21"/>
                      <w:szCs w:val="21"/>
                    </w:rPr>
                    <w:t>针对施工扬尘要求采用洒水抑尘、场地四周设置围挡等措施；针对施工机械废气要求加强车辆保养，确保高效正常运行</w:t>
                  </w:r>
                </w:p>
              </w:tc>
            </w:tr>
            <w:tr w14:paraId="7308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1" w:type="pct"/>
                  <w:vMerge w:val="continue"/>
                  <w:noWrap w:val="0"/>
                  <w:vAlign w:val="center"/>
                </w:tcPr>
                <w:p w14:paraId="4AB86EEB">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 w:val="21"/>
                      <w:szCs w:val="21"/>
                    </w:rPr>
                  </w:pPr>
                </w:p>
              </w:tc>
              <w:tc>
                <w:tcPr>
                  <w:tcW w:w="1343" w:type="pct"/>
                  <w:vMerge w:val="continue"/>
                  <w:noWrap w:val="0"/>
                  <w:vAlign w:val="center"/>
                </w:tcPr>
                <w:p w14:paraId="4DDDD9C9">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 w:val="21"/>
                      <w:szCs w:val="21"/>
                    </w:rPr>
                  </w:pPr>
                </w:p>
              </w:tc>
              <w:tc>
                <w:tcPr>
                  <w:tcW w:w="3104" w:type="pct"/>
                  <w:noWrap w:val="0"/>
                  <w:vAlign w:val="center"/>
                </w:tcPr>
                <w:p w14:paraId="142335EC">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kern w:val="21"/>
                      <w:sz w:val="21"/>
                      <w:szCs w:val="21"/>
                    </w:rPr>
                  </w:pPr>
                  <w:r>
                    <w:rPr>
                      <w:rFonts w:hint="default" w:ascii="Times New Roman" w:hAnsi="Times New Roman" w:cs="Times New Roman"/>
                      <w:color w:val="auto"/>
                      <w:kern w:val="21"/>
                      <w:sz w:val="21"/>
                      <w:szCs w:val="21"/>
                    </w:rPr>
                    <w:t>在运营期电场区无废气的产生</w:t>
                  </w:r>
                </w:p>
              </w:tc>
            </w:tr>
            <w:tr w14:paraId="4BBA4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1" w:type="pct"/>
                  <w:vMerge w:val="continue"/>
                  <w:noWrap w:val="0"/>
                  <w:vAlign w:val="center"/>
                </w:tcPr>
                <w:p w14:paraId="31AA396F">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 w:val="21"/>
                      <w:szCs w:val="21"/>
                    </w:rPr>
                  </w:pPr>
                </w:p>
              </w:tc>
              <w:tc>
                <w:tcPr>
                  <w:tcW w:w="1343" w:type="pct"/>
                  <w:noWrap w:val="0"/>
                  <w:vAlign w:val="center"/>
                </w:tcPr>
                <w:p w14:paraId="2D4965C8">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水污染防治措施</w:t>
                  </w:r>
                </w:p>
              </w:tc>
              <w:tc>
                <w:tcPr>
                  <w:tcW w:w="3104" w:type="pct"/>
                  <w:noWrap w:val="0"/>
                  <w:vAlign w:val="center"/>
                </w:tcPr>
                <w:p w14:paraId="49D3D879">
                  <w:pPr>
                    <w:keepNext w:val="0"/>
                    <w:keepLines w:val="0"/>
                    <w:pageBreakBefore w:val="0"/>
                    <w:kinsoku/>
                    <w:wordWrap/>
                    <w:overflowPunct/>
                    <w:topLinePunct w:val="0"/>
                    <w:autoSpaceDE/>
                    <w:autoSpaceDN/>
                    <w:bidi w:val="0"/>
                    <w:adjustRightInd w:val="0"/>
                    <w:snapToGrid w:val="0"/>
                    <w:spacing w:line="240" w:lineRule="auto"/>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施工废水经沉淀池沉淀后回用工段；施工期生活污水排入临时环保公厕</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拉运当地污水处理厂</w:t>
                  </w:r>
                  <w:r>
                    <w:rPr>
                      <w:rFonts w:hint="default" w:ascii="Times New Roman" w:hAnsi="Times New Roman" w:cs="Times New Roman"/>
                      <w:color w:val="auto"/>
                      <w:sz w:val="21"/>
                      <w:szCs w:val="21"/>
                    </w:rPr>
                    <w:t>。</w:t>
                  </w:r>
                </w:p>
              </w:tc>
            </w:tr>
            <w:tr w14:paraId="64389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551" w:type="pct"/>
                  <w:vMerge w:val="continue"/>
                  <w:noWrap w:val="0"/>
                  <w:vAlign w:val="center"/>
                </w:tcPr>
                <w:p w14:paraId="53E1EDF5">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 w:val="21"/>
                      <w:szCs w:val="21"/>
                    </w:rPr>
                  </w:pPr>
                </w:p>
              </w:tc>
              <w:tc>
                <w:tcPr>
                  <w:tcW w:w="1343" w:type="pct"/>
                  <w:noWrap w:val="0"/>
                  <w:vAlign w:val="center"/>
                </w:tcPr>
                <w:p w14:paraId="3C9E2F2E">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噪声防治措施</w:t>
                  </w:r>
                </w:p>
              </w:tc>
              <w:tc>
                <w:tcPr>
                  <w:tcW w:w="3104" w:type="pct"/>
                  <w:noWrap w:val="0"/>
                  <w:vAlign w:val="center"/>
                </w:tcPr>
                <w:p w14:paraId="6AB5F4BB">
                  <w:pPr>
                    <w:keepNext w:val="0"/>
                    <w:keepLines w:val="0"/>
                    <w:pageBreakBefore w:val="0"/>
                    <w:kinsoku/>
                    <w:wordWrap/>
                    <w:overflowPunct/>
                    <w:topLinePunct w:val="0"/>
                    <w:autoSpaceDE/>
                    <w:autoSpaceDN/>
                    <w:bidi w:val="0"/>
                    <w:adjustRightInd w:val="0"/>
                    <w:snapToGrid w:val="0"/>
                    <w:spacing w:line="240" w:lineRule="auto"/>
                    <w:jc w:val="left"/>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选用低噪声设备</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合理布置</w:t>
                  </w:r>
                  <w:r>
                    <w:rPr>
                      <w:rFonts w:hint="default" w:ascii="Times New Roman" w:hAnsi="Times New Roman" w:cs="Times New Roman"/>
                      <w:color w:val="auto"/>
                      <w:lang w:val="en-US" w:eastAsia="zh-CN"/>
                    </w:rPr>
                    <w:t>风机机位。</w:t>
                  </w:r>
                </w:p>
              </w:tc>
            </w:tr>
            <w:tr w14:paraId="6882F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551" w:type="pct"/>
                  <w:vMerge w:val="continue"/>
                  <w:noWrap w:val="0"/>
                  <w:vAlign w:val="center"/>
                </w:tcPr>
                <w:p w14:paraId="37472111">
                  <w:pPr>
                    <w:keepNext w:val="0"/>
                    <w:keepLines w:val="0"/>
                    <w:pageBreakBefore w:val="0"/>
                    <w:tabs>
                      <w:tab w:val="center" w:pos="4438"/>
                      <w:tab w:val="left" w:pos="8280"/>
                    </w:tabs>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 w:val="21"/>
                      <w:szCs w:val="21"/>
                    </w:rPr>
                  </w:pPr>
                </w:p>
              </w:tc>
              <w:tc>
                <w:tcPr>
                  <w:tcW w:w="1343" w:type="pct"/>
                  <w:noWrap w:val="0"/>
                  <w:vAlign w:val="center"/>
                </w:tcPr>
                <w:p w14:paraId="600D1A7A">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固体废物防治措施</w:t>
                  </w:r>
                </w:p>
              </w:tc>
              <w:tc>
                <w:tcPr>
                  <w:tcW w:w="3104" w:type="pct"/>
                  <w:noWrap w:val="0"/>
                  <w:vAlign w:val="center"/>
                </w:tcPr>
                <w:p w14:paraId="7AFC479C">
                  <w:pPr>
                    <w:keepNext w:val="0"/>
                    <w:keepLines w:val="0"/>
                    <w:pageBreakBefore w:val="0"/>
                    <w:kinsoku/>
                    <w:wordWrap/>
                    <w:overflowPunct/>
                    <w:topLinePunct w:val="0"/>
                    <w:autoSpaceDE/>
                    <w:autoSpaceDN/>
                    <w:bidi w:val="0"/>
                    <w:adjustRightInd w:val="0"/>
                    <w:snapToGrid w:val="0"/>
                    <w:spacing w:line="240" w:lineRule="auto"/>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施工</w:t>
                  </w:r>
                  <w:r>
                    <w:rPr>
                      <w:rFonts w:hint="default" w:ascii="Times New Roman" w:hAnsi="Times New Roman" w:cs="Times New Roman"/>
                      <w:color w:val="auto"/>
                      <w:sz w:val="21"/>
                      <w:szCs w:val="21"/>
                      <w:lang w:val="en-US" w:eastAsia="zh-CN"/>
                    </w:rPr>
                    <w:t>期建筑垃圾拉运至指定位置，生活垃圾委托环卫部门定期清运</w:t>
                  </w:r>
                </w:p>
              </w:tc>
            </w:tr>
            <w:tr w14:paraId="2B9C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551" w:type="pct"/>
                  <w:vMerge w:val="continue"/>
                  <w:noWrap w:val="0"/>
                  <w:vAlign w:val="center"/>
                </w:tcPr>
                <w:p w14:paraId="225631A1">
                  <w:pPr>
                    <w:pStyle w:val="36"/>
                    <w:keepNext w:val="0"/>
                    <w:keepLines w:val="0"/>
                    <w:pageBreakBefore w:val="0"/>
                    <w:kinsoku/>
                    <w:wordWrap/>
                    <w:overflowPunct/>
                    <w:topLinePunct w:val="0"/>
                    <w:autoSpaceDE/>
                    <w:autoSpaceDN/>
                    <w:bidi w:val="0"/>
                    <w:adjustRightInd w:val="0"/>
                    <w:snapToGrid w:val="0"/>
                    <w:spacing w:before="0" w:after="0" w:line="240" w:lineRule="auto"/>
                    <w:ind w:firstLine="0" w:firstLineChars="0"/>
                    <w:rPr>
                      <w:rFonts w:hint="default" w:ascii="Times New Roman" w:hAnsi="Times New Roman" w:eastAsia="宋体" w:cs="Times New Roman"/>
                      <w:color w:val="auto"/>
                      <w:sz w:val="21"/>
                      <w:szCs w:val="21"/>
                    </w:rPr>
                  </w:pPr>
                </w:p>
              </w:tc>
              <w:tc>
                <w:tcPr>
                  <w:tcW w:w="1343" w:type="pct"/>
                  <w:noWrap w:val="0"/>
                  <w:vAlign w:val="center"/>
                </w:tcPr>
                <w:p w14:paraId="4F5D92F0">
                  <w:pPr>
                    <w:pStyle w:val="36"/>
                    <w:keepNext w:val="0"/>
                    <w:keepLines w:val="0"/>
                    <w:pageBreakBefore w:val="0"/>
                    <w:kinsoku/>
                    <w:wordWrap/>
                    <w:overflowPunct/>
                    <w:topLinePunct w:val="0"/>
                    <w:autoSpaceDE/>
                    <w:autoSpaceDN/>
                    <w:bidi w:val="0"/>
                    <w:adjustRightInd w:val="0"/>
                    <w:snapToGrid w:val="0"/>
                    <w:spacing w:before="0" w:after="0" w:line="240" w:lineRule="auto"/>
                    <w:ind w:firstLine="0" w:firstLineChars="0"/>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生态</w:t>
                  </w:r>
                </w:p>
                <w:p w14:paraId="27FFEE56">
                  <w:pPr>
                    <w:pStyle w:val="36"/>
                    <w:keepNext w:val="0"/>
                    <w:keepLines w:val="0"/>
                    <w:pageBreakBefore w:val="0"/>
                    <w:kinsoku/>
                    <w:wordWrap/>
                    <w:overflowPunct/>
                    <w:topLinePunct w:val="0"/>
                    <w:autoSpaceDE/>
                    <w:autoSpaceDN/>
                    <w:bidi w:val="0"/>
                    <w:adjustRightInd w:val="0"/>
                    <w:snapToGrid w:val="0"/>
                    <w:spacing w:before="0" w:after="0" w:line="240" w:lineRule="auto"/>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0"/>
                      <w:sz w:val="21"/>
                      <w:szCs w:val="21"/>
                    </w:rPr>
                    <w:t>减缓措施</w:t>
                  </w:r>
                </w:p>
              </w:tc>
              <w:tc>
                <w:tcPr>
                  <w:tcW w:w="3104" w:type="pct"/>
                  <w:noWrap w:val="0"/>
                  <w:vAlign w:val="center"/>
                </w:tcPr>
                <w:p w14:paraId="124C0FFB">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lang w:eastAsia="zh-CN"/>
                    </w:rPr>
                    <w:t>本项目</w:t>
                  </w:r>
                  <w:r>
                    <w:rPr>
                      <w:rFonts w:hint="default" w:ascii="Times New Roman" w:hAnsi="Times New Roman" w:cs="Times New Roman"/>
                      <w:color w:val="auto"/>
                      <w:sz w:val="21"/>
                      <w:szCs w:val="21"/>
                    </w:rPr>
                    <w:t>采取控制临时占地范围，合理安排施工工序、时间、及时</w:t>
                  </w:r>
                  <w:r>
                    <w:rPr>
                      <w:rFonts w:hint="default" w:ascii="Times New Roman" w:hAnsi="Times New Roman" w:cs="Times New Roman"/>
                      <w:color w:val="auto"/>
                      <w:sz w:val="21"/>
                      <w:szCs w:val="21"/>
                      <w:shd w:val="clear"/>
                    </w:rPr>
                    <w:t>清理现场等措施，占地性质为</w:t>
                  </w:r>
                  <w:r>
                    <w:rPr>
                      <w:rFonts w:hint="default" w:ascii="Times New Roman" w:hAnsi="Times New Roman" w:cs="Times New Roman"/>
                      <w:color w:val="auto"/>
                      <w:sz w:val="21"/>
                      <w:szCs w:val="21"/>
                      <w:shd w:val="clear"/>
                      <w:lang w:val="en-US" w:eastAsia="zh-CN"/>
                    </w:rPr>
                    <w:t>天然草地</w:t>
                  </w:r>
                  <w:r>
                    <w:rPr>
                      <w:rFonts w:hint="default" w:ascii="Times New Roman" w:hAnsi="Times New Roman" w:cs="Times New Roman"/>
                      <w:color w:val="auto"/>
                      <w:sz w:val="21"/>
                      <w:szCs w:val="21"/>
                      <w:shd w:val="clear"/>
                    </w:rPr>
                    <w:t>，施工结束后需要平整，压实。采取散撒草籽</w:t>
                  </w:r>
                  <w:r>
                    <w:rPr>
                      <w:rFonts w:hint="default" w:ascii="Times New Roman" w:hAnsi="Times New Roman" w:cs="Times New Roman"/>
                      <w:color w:val="auto"/>
                      <w:sz w:val="21"/>
                      <w:szCs w:val="21"/>
                      <w:shd w:val="clear"/>
                      <w:lang w:eastAsia="zh-CN"/>
                    </w:rPr>
                    <w:t>、恢复植被</w:t>
                  </w:r>
                  <w:r>
                    <w:rPr>
                      <w:rFonts w:hint="default" w:ascii="Times New Roman" w:hAnsi="Times New Roman" w:cs="Times New Roman"/>
                      <w:color w:val="auto"/>
                      <w:sz w:val="21"/>
                      <w:szCs w:val="21"/>
                      <w:shd w:val="clear"/>
                    </w:rPr>
                    <w:t>等措施进行绿化。</w:t>
                  </w:r>
                </w:p>
              </w:tc>
            </w:tr>
          </w:tbl>
          <w:p w14:paraId="6D978843">
            <w:pPr>
              <w:numPr>
                <w:ilvl w:val="0"/>
                <w:numId w:val="0"/>
              </w:numPr>
              <w:adjustRightInd w:val="0"/>
              <w:snapToGrid w:val="0"/>
              <w:spacing w:line="360" w:lineRule="auto"/>
              <w:ind w:firstLine="482" w:firstLineChars="200"/>
              <w:rPr>
                <w:rFonts w:hint="default" w:ascii="Times New Roman" w:hAnsi="Times New Roman" w:cs="Times New Roman"/>
                <w:color w:val="auto"/>
              </w:rPr>
            </w:pPr>
            <w:r>
              <w:rPr>
                <w:rFonts w:hint="default" w:ascii="Times New Roman" w:hAnsi="Times New Roman" w:cs="Times New Roman"/>
                <w:b/>
                <w:color w:val="auto"/>
                <w:sz w:val="24"/>
                <w:lang w:val="en-US" w:eastAsia="zh-CN"/>
              </w:rPr>
              <w:t>2、</w:t>
            </w:r>
            <w:r>
              <w:rPr>
                <w:rFonts w:hint="default" w:ascii="Times New Roman" w:hAnsi="Times New Roman" w:cs="Times New Roman"/>
                <w:b/>
                <w:color w:val="auto"/>
                <w:sz w:val="24"/>
              </w:rPr>
              <w:t>主要生产设备</w:t>
            </w:r>
          </w:p>
          <w:p w14:paraId="14AD1C8F">
            <w:pPr>
              <w:adjustRightInd w:val="0"/>
              <w:snapToGrid w:val="0"/>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本项目主要生产设备详见表2-</w:t>
            </w:r>
            <w:r>
              <w:rPr>
                <w:rFonts w:hint="default" w:ascii="Times New Roman" w:hAnsi="Times New Roman" w:cs="Times New Roman"/>
                <w:bCs/>
                <w:color w:val="auto"/>
                <w:sz w:val="24"/>
                <w:lang w:val="en-US" w:eastAsia="zh-CN"/>
              </w:rPr>
              <w:t>3</w:t>
            </w:r>
            <w:r>
              <w:rPr>
                <w:rFonts w:hint="default" w:ascii="Times New Roman" w:hAnsi="Times New Roman" w:cs="Times New Roman"/>
                <w:bCs/>
                <w:color w:val="auto"/>
                <w:sz w:val="24"/>
              </w:rPr>
              <w:t>。</w:t>
            </w:r>
          </w:p>
          <w:p w14:paraId="03AAF10A">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jc w:val="center"/>
              <w:textAlignment w:val="auto"/>
              <w:rPr>
                <w:rFonts w:hint="default" w:ascii="Times New Roman" w:hAnsi="Times New Roman" w:cs="Times New Roman"/>
                <w:b/>
                <w:bCs/>
                <w:color w:val="auto"/>
                <w:szCs w:val="21"/>
              </w:rPr>
            </w:pPr>
            <w:r>
              <w:rPr>
                <w:rFonts w:hint="default" w:ascii="Times New Roman" w:hAnsi="Times New Roman" w:cs="Times New Roman"/>
                <w:b/>
                <w:bCs/>
                <w:color w:val="auto"/>
                <w:szCs w:val="21"/>
              </w:rPr>
              <w:t>表2-</w:t>
            </w:r>
            <w:r>
              <w:rPr>
                <w:rFonts w:hint="default" w:ascii="Times New Roman" w:hAnsi="Times New Roman" w:cs="Times New Roman"/>
                <w:b/>
                <w:bCs/>
                <w:color w:val="auto"/>
                <w:szCs w:val="21"/>
                <w:lang w:val="en-US" w:eastAsia="zh-CN"/>
              </w:rPr>
              <w:t>3</w:t>
            </w:r>
            <w:r>
              <w:rPr>
                <w:rFonts w:hint="default" w:ascii="Times New Roman" w:hAnsi="Times New Roman" w:cs="Times New Roman"/>
                <w:b/>
                <w:bCs/>
                <w:color w:val="auto"/>
                <w:szCs w:val="21"/>
              </w:rPr>
              <w:t>主要生产设备一览表</w:t>
            </w:r>
          </w:p>
          <w:tbl>
            <w:tblPr>
              <w:tblStyle w:val="22"/>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3"/>
              <w:gridCol w:w="2052"/>
              <w:gridCol w:w="2656"/>
              <w:gridCol w:w="1712"/>
            </w:tblGrid>
            <w:tr w14:paraId="6C09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9" w:type="pct"/>
                  <w:gridSpan w:val="2"/>
                  <w:noWrap w:val="0"/>
                  <w:vAlign w:val="center"/>
                </w:tcPr>
                <w:p w14:paraId="6A8F99EB">
                  <w:pPr>
                    <w:widowControl/>
                    <w:jc w:val="center"/>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名称</w:t>
                  </w:r>
                </w:p>
              </w:tc>
              <w:tc>
                <w:tcPr>
                  <w:tcW w:w="1569" w:type="pct"/>
                  <w:noWrap w:val="0"/>
                  <w:vAlign w:val="center"/>
                </w:tcPr>
                <w:p w14:paraId="51CAD28E">
                  <w:pPr>
                    <w:widowControl/>
                    <w:jc w:val="center"/>
                    <w:rPr>
                      <w:rFonts w:hint="default" w:ascii="Times New Roman" w:hAnsi="Times New Roman" w:eastAsia="宋体" w:cs="Times New Roman"/>
                      <w:b/>
                      <w:bCs/>
                      <w:color w:val="auto"/>
                      <w:kern w:val="0"/>
                      <w:szCs w:val="21"/>
                      <w:lang w:val="en-US" w:eastAsia="zh-CN"/>
                    </w:rPr>
                  </w:pPr>
                  <w:r>
                    <w:rPr>
                      <w:rFonts w:hint="default" w:ascii="Times New Roman" w:hAnsi="Times New Roman" w:cs="Times New Roman"/>
                      <w:b/>
                      <w:bCs/>
                      <w:color w:val="auto"/>
                      <w:kern w:val="0"/>
                      <w:szCs w:val="21"/>
                      <w:lang w:val="en-US" w:eastAsia="zh-CN"/>
                    </w:rPr>
                    <w:t>规格型号</w:t>
                  </w:r>
                </w:p>
              </w:tc>
              <w:tc>
                <w:tcPr>
                  <w:tcW w:w="1011" w:type="pct"/>
                  <w:noWrap w:val="0"/>
                  <w:vAlign w:val="center"/>
                </w:tcPr>
                <w:p w14:paraId="1CB93E8E">
                  <w:pPr>
                    <w:widowControl/>
                    <w:jc w:val="center"/>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数量</w:t>
                  </w:r>
                </w:p>
              </w:tc>
            </w:tr>
            <w:tr w14:paraId="7CD4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7" w:type="pct"/>
                  <w:vMerge w:val="restart"/>
                  <w:noWrap w:val="0"/>
                  <w:vAlign w:val="center"/>
                </w:tcPr>
                <w:p w14:paraId="4BB46DBD">
                  <w:pPr>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风电场</w:t>
                  </w:r>
                </w:p>
              </w:tc>
              <w:tc>
                <w:tcPr>
                  <w:tcW w:w="1212" w:type="pct"/>
                  <w:noWrap w:val="0"/>
                  <w:vAlign w:val="center"/>
                </w:tcPr>
                <w:p w14:paraId="3F3A2A0F">
                  <w:pPr>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风力发电机组</w:t>
                  </w:r>
                </w:p>
              </w:tc>
              <w:tc>
                <w:tcPr>
                  <w:tcW w:w="1569" w:type="pct"/>
                  <w:noWrap w:val="0"/>
                  <w:vAlign w:val="center"/>
                </w:tcPr>
                <w:p w14:paraId="61EFE9E2">
                  <w:pPr>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台</w:t>
                  </w:r>
                </w:p>
              </w:tc>
              <w:tc>
                <w:tcPr>
                  <w:tcW w:w="1011" w:type="pct"/>
                  <w:noWrap w:val="0"/>
                  <w:vAlign w:val="center"/>
                </w:tcPr>
                <w:p w14:paraId="06FA8AF4">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40</w:t>
                  </w:r>
                </w:p>
              </w:tc>
            </w:tr>
            <w:tr w14:paraId="69A65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7" w:type="pct"/>
                  <w:vMerge w:val="continue"/>
                  <w:noWrap w:val="0"/>
                  <w:vAlign w:val="center"/>
                </w:tcPr>
                <w:p w14:paraId="309BFD88">
                  <w:pPr>
                    <w:jc w:val="center"/>
                    <w:rPr>
                      <w:rFonts w:hint="default" w:ascii="Times New Roman" w:hAnsi="Times New Roman" w:eastAsia="宋体" w:cs="Times New Roman"/>
                      <w:color w:val="auto"/>
                      <w:szCs w:val="21"/>
                      <w:lang w:val="en-US" w:eastAsia="zh-CN"/>
                    </w:rPr>
                  </w:pPr>
                </w:p>
              </w:tc>
              <w:tc>
                <w:tcPr>
                  <w:tcW w:w="1212" w:type="pct"/>
                  <w:noWrap w:val="0"/>
                  <w:vAlign w:val="center"/>
                </w:tcPr>
                <w:p w14:paraId="3644AF54">
                  <w:pPr>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35kV箱式变电站</w:t>
                  </w:r>
                </w:p>
              </w:tc>
              <w:tc>
                <w:tcPr>
                  <w:tcW w:w="1569" w:type="pct"/>
                  <w:noWrap w:val="0"/>
                  <w:vAlign w:val="center"/>
                </w:tcPr>
                <w:p w14:paraId="27F225F3">
                  <w:pPr>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台</w:t>
                  </w:r>
                </w:p>
              </w:tc>
              <w:tc>
                <w:tcPr>
                  <w:tcW w:w="1011" w:type="pct"/>
                  <w:noWrap w:val="0"/>
                  <w:vAlign w:val="center"/>
                </w:tcPr>
                <w:p w14:paraId="4DDC9E32">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40</w:t>
                  </w:r>
                </w:p>
              </w:tc>
            </w:tr>
          </w:tbl>
          <w:p w14:paraId="246A070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2" w:firstLineChars="200"/>
              <w:textAlignment w:val="auto"/>
              <w:rPr>
                <w:rFonts w:hint="default" w:ascii="Times New Roman" w:hAnsi="Times New Roman" w:cs="Times New Roman"/>
                <w:b/>
                <w:bCs w:val="0"/>
                <w:color w:val="auto"/>
                <w:sz w:val="24"/>
              </w:rPr>
            </w:pPr>
            <w:r>
              <w:rPr>
                <w:rFonts w:hint="default" w:ascii="Times New Roman" w:hAnsi="Times New Roman" w:cs="Times New Roman"/>
                <w:b/>
                <w:bCs w:val="0"/>
                <w:color w:val="auto"/>
                <w:sz w:val="24"/>
                <w:lang w:val="en-US" w:eastAsia="zh-CN"/>
              </w:rPr>
              <w:t>3、</w:t>
            </w:r>
            <w:r>
              <w:rPr>
                <w:rFonts w:hint="default" w:ascii="Times New Roman" w:hAnsi="Times New Roman" w:cs="Times New Roman"/>
                <w:b/>
                <w:bCs w:val="0"/>
                <w:color w:val="auto"/>
                <w:sz w:val="24"/>
              </w:rPr>
              <w:t>产品方案</w:t>
            </w:r>
          </w:p>
          <w:p w14:paraId="63EC492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cs="Times New Roman"/>
                <w:b w:val="0"/>
                <w:bCs/>
                <w:color w:val="auto"/>
                <w:sz w:val="24"/>
                <w:lang w:val="en-US" w:eastAsia="zh-CN"/>
              </w:rPr>
            </w:pPr>
            <w:r>
              <w:rPr>
                <w:rFonts w:hint="default" w:ascii="Times New Roman" w:hAnsi="Times New Roman" w:cs="Times New Roman"/>
                <w:b w:val="0"/>
                <w:bCs/>
                <w:color w:val="auto"/>
                <w:sz w:val="24"/>
                <w:lang w:val="en-US" w:eastAsia="zh-CN"/>
              </w:rPr>
              <w:t>本项目年发电量为960470.88MWh，年等效满负荷运行小时 数为2401.18h。</w:t>
            </w:r>
          </w:p>
          <w:p w14:paraId="4272A7E8">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2" w:firstLineChars="200"/>
              <w:textAlignment w:val="auto"/>
              <w:rPr>
                <w:rFonts w:hint="default" w:ascii="Times New Roman" w:hAnsi="Times New Roman" w:cs="Times New Roman"/>
                <w:b/>
                <w:color w:val="auto"/>
                <w:sz w:val="24"/>
              </w:rPr>
            </w:pPr>
            <w:r>
              <w:rPr>
                <w:rFonts w:hint="default" w:ascii="Times New Roman" w:hAnsi="Times New Roman" w:cs="Times New Roman"/>
                <w:b/>
                <w:color w:val="auto"/>
                <w:sz w:val="24"/>
                <w:lang w:val="en-US" w:eastAsia="zh-CN"/>
              </w:rPr>
              <w:t>4、</w:t>
            </w:r>
            <w:r>
              <w:rPr>
                <w:rFonts w:hint="default" w:ascii="Times New Roman" w:hAnsi="Times New Roman" w:cs="Times New Roman"/>
                <w:b/>
                <w:color w:val="auto"/>
                <w:sz w:val="24"/>
              </w:rPr>
              <w:t>运营期工作人数及工作制度</w:t>
            </w:r>
          </w:p>
          <w:p w14:paraId="562B5AA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本工程内</w:t>
            </w:r>
            <w:r>
              <w:rPr>
                <w:rFonts w:hint="default" w:ascii="Times New Roman" w:hAnsi="Times New Roman" w:cs="Times New Roman"/>
                <w:b w:val="0"/>
                <w:bCs/>
                <w:color w:val="auto"/>
                <w:sz w:val="24"/>
                <w:lang w:val="en-US" w:eastAsia="zh-CN"/>
              </w:rPr>
              <w:t>工作</w:t>
            </w:r>
            <w:r>
              <w:rPr>
                <w:rFonts w:hint="default" w:ascii="Times New Roman" w:hAnsi="Times New Roman" w:eastAsia="宋体" w:cs="Times New Roman"/>
                <w:b w:val="0"/>
                <w:bCs/>
                <w:color w:val="auto"/>
                <w:sz w:val="24"/>
                <w:lang w:val="en-US" w:eastAsia="zh-CN"/>
              </w:rPr>
              <w:t>采用无人值守型式。</w:t>
            </w:r>
            <w:bookmarkStart w:id="4" w:name="_Toc26292"/>
          </w:p>
          <w:p w14:paraId="378B24CC">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firstLine="482" w:firstLineChars="200"/>
              <w:textAlignment w:val="auto"/>
              <w:rPr>
                <w:rFonts w:hint="default" w:ascii="Times New Roman" w:hAnsi="Times New Roman" w:eastAsia="宋体" w:cs="Times New Roman"/>
                <w:b/>
                <w:bCs/>
                <w:snapToGrid w:val="0"/>
                <w:color w:val="000000"/>
                <w:kern w:val="0"/>
                <w:sz w:val="24"/>
                <w:szCs w:val="24"/>
                <w:lang w:val="en-US" w:eastAsia="en-US" w:bidi="ar-SA"/>
              </w:rPr>
            </w:pPr>
            <w:r>
              <w:rPr>
                <w:rFonts w:hint="default" w:ascii="Times New Roman" w:hAnsi="Times New Roman" w:eastAsia="宋体" w:cs="Times New Roman"/>
                <w:b/>
                <w:bCs/>
                <w:snapToGrid w:val="0"/>
                <w:color w:val="000000"/>
                <w:kern w:val="0"/>
                <w:sz w:val="24"/>
                <w:szCs w:val="24"/>
                <w:lang w:val="en-US" w:eastAsia="en-US" w:bidi="ar-SA"/>
              </w:rPr>
              <w:t>公用工程</w:t>
            </w:r>
            <w:bookmarkEnd w:id="4"/>
          </w:p>
          <w:p w14:paraId="38B34A29">
            <w:pPr>
              <w:keepNext w:val="0"/>
              <w:keepLines w:val="0"/>
              <w:pageBreakBefore w:val="0"/>
              <w:widowControl w:val="0"/>
              <w:numPr>
                <w:numId w:val="0"/>
              </w:numPr>
              <w:kinsoku/>
              <w:wordWrap/>
              <w:overflowPunct/>
              <w:topLinePunct w:val="0"/>
              <w:autoSpaceDE/>
              <w:autoSpaceDN/>
              <w:bidi w:val="0"/>
              <w:adjustRightInd/>
              <w:snapToGrid w:val="0"/>
              <w:spacing w:line="360" w:lineRule="auto"/>
              <w:ind w:firstLine="482" w:firstLineChars="200"/>
              <w:textAlignment w:val="auto"/>
              <w:rPr>
                <w:rFonts w:hint="default" w:ascii="Times New Roman" w:hAnsi="Times New Roman" w:eastAsia="宋体" w:cs="Times New Roman"/>
                <w:b/>
                <w:snapToGrid w:val="0"/>
                <w:color w:val="000000"/>
                <w:kern w:val="0"/>
                <w:sz w:val="24"/>
                <w:szCs w:val="24"/>
                <w:lang w:val="en-US" w:eastAsia="en-US" w:bidi="ar-SA"/>
              </w:rPr>
            </w:pPr>
            <w:r>
              <w:rPr>
                <w:rFonts w:hint="default" w:ascii="Times New Roman" w:hAnsi="Times New Roman" w:eastAsia="宋体" w:cs="Times New Roman"/>
                <w:b/>
                <w:snapToGrid w:val="0"/>
                <w:color w:val="000000"/>
                <w:kern w:val="0"/>
                <w:sz w:val="24"/>
                <w:szCs w:val="24"/>
                <w:lang w:val="en-US" w:eastAsia="zh-CN" w:bidi="ar-SA"/>
              </w:rPr>
              <w:t>5.1</w:t>
            </w:r>
            <w:r>
              <w:rPr>
                <w:rFonts w:hint="default" w:ascii="Times New Roman" w:hAnsi="Times New Roman" w:eastAsia="宋体" w:cs="Times New Roman"/>
                <w:b/>
                <w:snapToGrid w:val="0"/>
                <w:color w:val="000000"/>
                <w:kern w:val="0"/>
                <w:sz w:val="24"/>
                <w:szCs w:val="24"/>
                <w:lang w:val="en-US" w:eastAsia="en-US" w:bidi="ar-SA"/>
              </w:rPr>
              <w:t>供电</w:t>
            </w:r>
          </w:p>
          <w:p w14:paraId="385A5C9B">
            <w:pPr>
              <w:widowControl/>
              <w:kinsoku/>
              <w:autoSpaceDE w:val="0"/>
              <w:autoSpaceDN w:val="0"/>
              <w:bidi w:val="0"/>
              <w:adjustRightInd w:val="0"/>
              <w:snapToGrid w:val="0"/>
              <w:spacing w:line="360" w:lineRule="auto"/>
              <w:ind w:firstLine="480" w:firstLineChars="200"/>
              <w:jc w:val="left"/>
              <w:textAlignment w:val="baseline"/>
              <w:rPr>
                <w:rFonts w:hint="default" w:ascii="Times New Roman" w:hAnsi="Times New Roman" w:eastAsia="宋体" w:cs="Times New Roman"/>
                <w:snapToGrid w:val="0"/>
                <w:color w:val="000000"/>
                <w:kern w:val="0"/>
                <w:sz w:val="24"/>
                <w:lang w:eastAsia="en-US"/>
              </w:rPr>
            </w:pPr>
            <w:r>
              <w:rPr>
                <w:rFonts w:hint="default" w:ascii="Times New Roman" w:hAnsi="Times New Roman" w:eastAsia="宋体" w:cs="Times New Roman"/>
                <w:snapToGrid w:val="0"/>
                <w:color w:val="000000"/>
                <w:kern w:val="0"/>
                <w:sz w:val="24"/>
                <w:lang w:eastAsia="en-US"/>
              </w:rPr>
              <w:t>施工现场的供电量应满足全工地的土建和安装的动力用电、焊接、照明等的最大用电量。本项目建设期的施工用电可以就近从附近电网取电以保证施工用电，并设置专用电表计量。</w:t>
            </w:r>
          </w:p>
          <w:p w14:paraId="180D6663">
            <w:pPr>
              <w:widowControl/>
              <w:kinsoku/>
              <w:autoSpaceDE w:val="0"/>
              <w:autoSpaceDN w:val="0"/>
              <w:bidi w:val="0"/>
              <w:adjustRightInd w:val="0"/>
              <w:snapToGrid w:val="0"/>
              <w:spacing w:line="360" w:lineRule="auto"/>
              <w:ind w:firstLine="482" w:firstLineChars="200"/>
              <w:jc w:val="left"/>
              <w:textAlignment w:val="baseline"/>
              <w:rPr>
                <w:rFonts w:hint="default" w:ascii="Times New Roman" w:hAnsi="Times New Roman" w:eastAsia="宋体" w:cs="Times New Roman"/>
                <w:b/>
                <w:bCs/>
                <w:snapToGrid w:val="0"/>
                <w:color w:val="000000"/>
                <w:kern w:val="0"/>
                <w:sz w:val="24"/>
                <w:szCs w:val="24"/>
                <w:lang w:val="en-US" w:eastAsia="en-US" w:bidi="ar-SA"/>
              </w:rPr>
            </w:pPr>
            <w:r>
              <w:rPr>
                <w:rFonts w:hint="default" w:ascii="Times New Roman" w:hAnsi="Times New Roman" w:eastAsia="宋体" w:cs="Times New Roman"/>
                <w:b/>
                <w:bCs/>
                <w:snapToGrid w:val="0"/>
                <w:color w:val="000000"/>
                <w:kern w:val="0"/>
                <w:sz w:val="24"/>
                <w:lang w:val="en-US" w:eastAsia="zh-CN"/>
              </w:rPr>
              <w:t>5.2</w:t>
            </w:r>
            <w:r>
              <w:rPr>
                <w:rFonts w:hint="default" w:ascii="Times New Roman" w:hAnsi="Times New Roman" w:eastAsia="宋体" w:cs="Times New Roman"/>
                <w:b/>
                <w:bCs/>
                <w:snapToGrid w:val="0"/>
                <w:color w:val="000000"/>
                <w:kern w:val="0"/>
                <w:sz w:val="24"/>
                <w:szCs w:val="24"/>
                <w:lang w:val="en-US" w:eastAsia="en-US" w:bidi="ar-SA"/>
              </w:rPr>
              <w:t>供</w:t>
            </w:r>
            <w:r>
              <w:rPr>
                <w:rFonts w:hint="default" w:ascii="Times New Roman" w:hAnsi="Times New Roman" w:eastAsia="宋体" w:cs="Times New Roman"/>
                <w:b/>
                <w:bCs/>
                <w:snapToGrid w:val="0"/>
                <w:color w:val="000000"/>
                <w:kern w:val="0"/>
                <w:sz w:val="24"/>
                <w:szCs w:val="24"/>
                <w:lang w:val="en-US" w:eastAsia="en-US" w:bidi="ar-SA"/>
              </w:rPr>
              <w:t>排</w:t>
            </w:r>
            <w:r>
              <w:rPr>
                <w:rFonts w:hint="default" w:ascii="Times New Roman" w:hAnsi="Times New Roman" w:eastAsia="宋体" w:cs="Times New Roman"/>
                <w:b/>
                <w:bCs/>
                <w:snapToGrid w:val="0"/>
                <w:color w:val="000000"/>
                <w:kern w:val="0"/>
                <w:sz w:val="24"/>
                <w:szCs w:val="24"/>
                <w:lang w:val="en-US" w:eastAsia="en-US" w:bidi="ar-SA"/>
              </w:rPr>
              <w:t>水</w:t>
            </w:r>
          </w:p>
          <w:p w14:paraId="1E823CD3">
            <w:pPr>
              <w:widowControl/>
              <w:kinsoku/>
              <w:autoSpaceDE w:val="0"/>
              <w:autoSpaceDN w:val="0"/>
              <w:bidi w:val="0"/>
              <w:adjustRightInd w:val="0"/>
              <w:snapToGrid w:val="0"/>
              <w:spacing w:line="360" w:lineRule="auto"/>
              <w:ind w:firstLine="480" w:firstLineChars="200"/>
              <w:jc w:val="left"/>
              <w:textAlignment w:val="baseline"/>
              <w:rPr>
                <w:rFonts w:hint="default" w:ascii="Times New Roman" w:hAnsi="Times New Roman" w:eastAsia="宋体" w:cs="Times New Roman"/>
                <w:snapToGrid w:val="0"/>
                <w:color w:val="000000"/>
                <w:kern w:val="0"/>
                <w:sz w:val="24"/>
                <w:lang w:eastAsia="en-US"/>
              </w:rPr>
            </w:pPr>
            <w:r>
              <w:rPr>
                <w:rFonts w:hint="default" w:ascii="Times New Roman" w:hAnsi="Times New Roman" w:eastAsia="宋体" w:cs="Times New Roman"/>
                <w:snapToGrid w:val="0"/>
                <w:color w:val="000000"/>
                <w:kern w:val="0"/>
                <w:sz w:val="24"/>
                <w:lang w:eastAsia="en-US"/>
              </w:rPr>
              <w:t>施工供水、供电规划方案</w:t>
            </w:r>
          </w:p>
          <w:p w14:paraId="02FAA227">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jc w:val="left"/>
              <w:textAlignment w:val="baseline"/>
              <w:rPr>
                <w:rFonts w:hint="default" w:ascii="Times New Roman" w:hAnsi="Times New Roman" w:eastAsia="宋体" w:cs="Times New Roman"/>
                <w:snapToGrid w:val="0"/>
                <w:color w:val="000000"/>
                <w:kern w:val="0"/>
                <w:sz w:val="24"/>
                <w:lang w:eastAsia="en-US"/>
              </w:rPr>
            </w:pPr>
            <w:r>
              <w:rPr>
                <w:rFonts w:hint="default" w:ascii="Times New Roman" w:hAnsi="Times New Roman" w:eastAsia="宋体" w:cs="Times New Roman"/>
                <w:snapToGrid w:val="0"/>
                <w:color w:val="000000"/>
                <w:kern w:val="0"/>
                <w:sz w:val="24"/>
                <w:lang w:eastAsia="en-US"/>
              </w:rPr>
              <w:t>施工现场的供水量应满足全工地的直接生产用水、施工机具用水、生活用水和消防用水的综合最大需求。本项目施工及生活用水可</w:t>
            </w:r>
            <w:r>
              <w:rPr>
                <w:rFonts w:hint="default" w:ascii="Times New Roman" w:hAnsi="Times New Roman" w:eastAsia="宋体" w:cs="Times New Roman"/>
                <w:snapToGrid w:val="0"/>
                <w:color w:val="000000"/>
                <w:kern w:val="0"/>
                <w:sz w:val="24"/>
                <w:lang w:eastAsia="zh-CN"/>
              </w:rPr>
              <w:t>直接</w:t>
            </w:r>
            <w:r>
              <w:rPr>
                <w:rFonts w:hint="default" w:ascii="Times New Roman" w:hAnsi="Times New Roman" w:eastAsia="宋体" w:cs="Times New Roman"/>
                <w:snapToGrid w:val="0"/>
                <w:color w:val="000000"/>
                <w:kern w:val="0"/>
                <w:sz w:val="24"/>
                <w:lang w:eastAsia="en-US"/>
              </w:rPr>
              <w:t>从原升压站拉水。拟计划在各工作面设蓄水罐，以更好</w:t>
            </w:r>
            <w:r>
              <w:rPr>
                <w:rFonts w:hint="default" w:ascii="Times New Roman" w:hAnsi="Times New Roman" w:eastAsia="宋体" w:cs="Times New Roman"/>
                <w:snapToGrid w:val="0"/>
                <w:color w:val="000000"/>
                <w:kern w:val="0"/>
                <w:sz w:val="24"/>
                <w:lang w:eastAsia="zh-CN"/>
              </w:rPr>
              <w:t>地</w:t>
            </w:r>
            <w:r>
              <w:rPr>
                <w:rFonts w:hint="default" w:ascii="Times New Roman" w:hAnsi="Times New Roman" w:eastAsia="宋体" w:cs="Times New Roman"/>
                <w:snapToGrid w:val="0"/>
                <w:color w:val="000000"/>
                <w:kern w:val="0"/>
                <w:sz w:val="24"/>
                <w:lang w:eastAsia="en-US"/>
              </w:rPr>
              <w:t>满足各工作面施工用水的要求。</w:t>
            </w:r>
          </w:p>
          <w:p w14:paraId="6114713A">
            <w:pPr>
              <w:pStyle w:val="30"/>
              <w:pageBreakBefore w:val="0"/>
              <w:kinsoku/>
              <w:wordWrap/>
              <w:overflowPunct/>
              <w:bidi w:val="0"/>
              <w:spacing w:line="360" w:lineRule="auto"/>
              <w:ind w:left="0" w:leftChars="0" w:right="0" w:rightChars="0" w:firstLine="480" w:firstLineChars="200"/>
              <w:rPr>
                <w:rFonts w:hint="default" w:ascii="Times New Roman" w:hAnsi="Times New Roman" w:eastAsia="宋体" w:cs="Times New Roman"/>
                <w:snapToGrid w:val="0"/>
                <w:color w:val="000000"/>
                <w:kern w:val="0"/>
                <w:sz w:val="24"/>
                <w:lang w:eastAsia="en-US"/>
              </w:rPr>
            </w:pPr>
            <w:r>
              <w:rPr>
                <w:rFonts w:hint="default" w:ascii="Times New Roman" w:hAnsi="Times New Roman" w:eastAsia="宋体" w:cs="Times New Roman"/>
                <w:b w:val="0"/>
                <w:bCs w:val="0"/>
                <w:color w:val="auto"/>
                <w:sz w:val="24"/>
              </w:rPr>
              <w:t>本项目施工期劳动定员</w:t>
            </w:r>
            <w:r>
              <w:rPr>
                <w:rFonts w:hint="default" w:ascii="Times New Roman" w:hAnsi="Times New Roman" w:eastAsia="宋体" w:cs="Times New Roman"/>
                <w:b w:val="0"/>
                <w:bCs w:val="0"/>
                <w:color w:val="auto"/>
                <w:sz w:val="24"/>
                <w:lang w:eastAsia="zh-CN"/>
              </w:rPr>
              <w:t>均为</w:t>
            </w:r>
            <w:r>
              <w:rPr>
                <w:rFonts w:hint="default" w:ascii="Times New Roman" w:hAnsi="Times New Roman" w:cs="Times New Roman"/>
                <w:b w:val="0"/>
                <w:bCs w:val="0"/>
                <w:color w:val="auto"/>
                <w:sz w:val="24"/>
                <w:lang w:val="en-US" w:eastAsia="zh-CN"/>
              </w:rPr>
              <w:t>300</w:t>
            </w:r>
            <w:r>
              <w:rPr>
                <w:rFonts w:hint="default" w:ascii="Times New Roman" w:hAnsi="Times New Roman" w:eastAsia="宋体" w:cs="Times New Roman"/>
                <w:b w:val="0"/>
                <w:bCs w:val="0"/>
                <w:color w:val="auto"/>
                <w:sz w:val="24"/>
              </w:rPr>
              <w:t>人计，用水量按60L/人·日（根据《给排水设计手册》2002年1月1日出版）测算，施工期生活用水量为</w:t>
            </w:r>
            <w:r>
              <w:rPr>
                <w:rFonts w:hint="default" w:ascii="Times New Roman" w:hAnsi="Times New Roman" w:eastAsia="宋体" w:cs="Times New Roman"/>
                <w:b w:val="0"/>
                <w:bCs w:val="0"/>
                <w:color w:val="auto"/>
                <w:sz w:val="24"/>
                <w:lang w:val="en-US" w:eastAsia="zh-CN"/>
              </w:rPr>
              <w:t>4.5</w:t>
            </w:r>
            <w:r>
              <w:rPr>
                <w:rFonts w:hint="default" w:ascii="Times New Roman" w:hAnsi="Times New Roman" w:eastAsia="宋体" w:cs="Times New Roman"/>
                <w:b w:val="0"/>
                <w:bCs w:val="0"/>
                <w:color w:val="auto"/>
                <w:sz w:val="24"/>
              </w:rPr>
              <w:t>m</w:t>
            </w:r>
            <w:r>
              <w:rPr>
                <w:rFonts w:hint="default" w:ascii="Times New Roman" w:hAnsi="Times New Roman" w:eastAsia="宋体" w:cs="Times New Roman"/>
                <w:b w:val="0"/>
                <w:bCs w:val="0"/>
                <w:color w:val="auto"/>
                <w:sz w:val="24"/>
                <w:vertAlign w:val="superscript"/>
              </w:rPr>
              <w:t>3</w:t>
            </w:r>
            <w:r>
              <w:rPr>
                <w:rFonts w:hint="default" w:ascii="Times New Roman" w:hAnsi="Times New Roman" w:eastAsia="宋体" w:cs="Times New Roman"/>
                <w:b w:val="0"/>
                <w:bCs w:val="0"/>
                <w:color w:val="auto"/>
                <w:sz w:val="24"/>
              </w:rPr>
              <w:t>/d。生活污水产生量按日用水量的80%计，则生活污水最大排放量为</w:t>
            </w:r>
            <w:r>
              <w:rPr>
                <w:rFonts w:hint="default" w:ascii="Times New Roman" w:hAnsi="Times New Roman" w:eastAsia="宋体" w:cs="Times New Roman"/>
                <w:b w:val="0"/>
                <w:bCs w:val="0"/>
                <w:color w:val="auto"/>
                <w:sz w:val="24"/>
                <w:lang w:val="en-US" w:eastAsia="zh-CN"/>
              </w:rPr>
              <w:t>3.6</w:t>
            </w:r>
            <w:r>
              <w:rPr>
                <w:rFonts w:hint="default" w:ascii="Times New Roman" w:hAnsi="Times New Roman" w:eastAsia="宋体" w:cs="Times New Roman"/>
                <w:b w:val="0"/>
                <w:bCs w:val="0"/>
                <w:color w:val="auto"/>
                <w:sz w:val="24"/>
              </w:rPr>
              <w:t>m</w:t>
            </w:r>
            <w:r>
              <w:rPr>
                <w:rFonts w:hint="default" w:ascii="Times New Roman" w:hAnsi="Times New Roman" w:eastAsia="宋体" w:cs="Times New Roman"/>
                <w:b w:val="0"/>
                <w:bCs w:val="0"/>
                <w:color w:val="auto"/>
                <w:sz w:val="24"/>
                <w:vertAlign w:val="superscript"/>
              </w:rPr>
              <w:t>3</w:t>
            </w:r>
            <w:r>
              <w:rPr>
                <w:rFonts w:hint="default" w:ascii="Times New Roman" w:hAnsi="Times New Roman" w:eastAsia="宋体" w:cs="Times New Roman"/>
                <w:b w:val="0"/>
                <w:bCs w:val="0"/>
                <w:color w:val="auto"/>
                <w:sz w:val="24"/>
              </w:rPr>
              <w:t>/d。施工工期计划为</w:t>
            </w:r>
            <w:r>
              <w:rPr>
                <w:rFonts w:hint="default" w:ascii="Times New Roman" w:hAnsi="Times New Roman" w:eastAsia="宋体" w:cs="Times New Roman"/>
                <w:b w:val="0"/>
                <w:bCs w:val="0"/>
                <w:color w:val="auto"/>
                <w:sz w:val="24"/>
                <w:lang w:val="en-US" w:eastAsia="zh-CN"/>
              </w:rPr>
              <w:t>1</w:t>
            </w:r>
            <w:r>
              <w:rPr>
                <w:rFonts w:hint="default" w:ascii="Times New Roman" w:hAnsi="Times New Roman" w:cs="Times New Roman"/>
                <w:b w:val="0"/>
                <w:bCs w:val="0"/>
                <w:color w:val="auto"/>
                <w:sz w:val="24"/>
                <w:lang w:val="en-US" w:eastAsia="zh-CN"/>
              </w:rPr>
              <w:t>0</w:t>
            </w:r>
            <w:r>
              <w:rPr>
                <w:rFonts w:hint="default" w:ascii="Times New Roman" w:hAnsi="Times New Roman" w:eastAsia="宋体" w:cs="Times New Roman"/>
                <w:b w:val="0"/>
                <w:bCs w:val="0"/>
                <w:color w:val="auto"/>
                <w:sz w:val="24"/>
              </w:rPr>
              <w:t>个月，施工期生活污水总排量为</w:t>
            </w:r>
            <w:r>
              <w:rPr>
                <w:rFonts w:hint="default" w:ascii="Times New Roman" w:hAnsi="Times New Roman" w:cs="Times New Roman"/>
                <w:b w:val="0"/>
                <w:bCs w:val="0"/>
                <w:color w:val="auto"/>
                <w:sz w:val="24"/>
                <w:lang w:val="en-US" w:eastAsia="zh-CN"/>
              </w:rPr>
              <w:t>324000</w:t>
            </w:r>
            <w:r>
              <w:rPr>
                <w:rFonts w:hint="default" w:ascii="Times New Roman" w:hAnsi="Times New Roman" w:eastAsia="宋体" w:cs="Times New Roman"/>
                <w:b w:val="0"/>
                <w:bCs w:val="0"/>
                <w:color w:val="auto"/>
                <w:sz w:val="24"/>
              </w:rPr>
              <w:t>m</w:t>
            </w:r>
            <w:r>
              <w:rPr>
                <w:rFonts w:hint="default" w:ascii="Times New Roman" w:hAnsi="Times New Roman" w:eastAsia="宋体" w:cs="Times New Roman"/>
                <w:b w:val="0"/>
                <w:bCs w:val="0"/>
                <w:color w:val="auto"/>
                <w:sz w:val="24"/>
                <w:vertAlign w:val="superscript"/>
              </w:rPr>
              <w:t>3</w:t>
            </w:r>
            <w:r>
              <w:rPr>
                <w:rFonts w:hint="default" w:ascii="Times New Roman" w:hAnsi="Times New Roman" w:eastAsia="宋体" w:cs="Times New Roman"/>
                <w:b w:val="0"/>
                <w:bCs w:val="0"/>
                <w:color w:val="auto"/>
                <w:sz w:val="24"/>
              </w:rPr>
              <w:t>。生活污水中主要污染物是COD、BOD</w:t>
            </w:r>
            <w:r>
              <w:rPr>
                <w:rFonts w:hint="default" w:ascii="Times New Roman" w:hAnsi="Times New Roman" w:eastAsia="宋体" w:cs="Times New Roman"/>
                <w:b w:val="0"/>
                <w:bCs w:val="0"/>
                <w:color w:val="auto"/>
                <w:sz w:val="24"/>
                <w:vertAlign w:val="subscript"/>
              </w:rPr>
              <w:t>5</w:t>
            </w:r>
            <w:r>
              <w:rPr>
                <w:rFonts w:hint="default" w:ascii="Times New Roman" w:hAnsi="Times New Roman" w:eastAsia="宋体" w:cs="Times New Roman"/>
                <w:b w:val="0"/>
                <w:bCs w:val="0"/>
                <w:color w:val="auto"/>
                <w:sz w:val="24"/>
              </w:rPr>
              <w:t>、SS，其浓度较低，项目施工生活区设置临时环保厕所，定期拉运至</w:t>
            </w:r>
            <w:r>
              <w:rPr>
                <w:rFonts w:hint="default" w:ascii="Times New Roman" w:hAnsi="Times New Roman" w:cs="Times New Roman"/>
                <w:b w:val="0"/>
                <w:bCs w:val="0"/>
                <w:color w:val="auto"/>
                <w:sz w:val="24"/>
                <w:lang w:eastAsia="zh-CN"/>
              </w:rPr>
              <w:t>木垒哈萨克自治县</w:t>
            </w:r>
            <w:r>
              <w:rPr>
                <w:rFonts w:hint="default" w:ascii="Times New Roman" w:hAnsi="Times New Roman" w:eastAsia="宋体" w:cs="Times New Roman"/>
                <w:b w:val="0"/>
                <w:bCs w:val="0"/>
                <w:color w:val="auto"/>
                <w:sz w:val="24"/>
                <w:lang w:eastAsia="zh-CN"/>
              </w:rPr>
              <w:t>污水处理厂</w:t>
            </w:r>
            <w:r>
              <w:rPr>
                <w:rFonts w:hint="default" w:ascii="Times New Roman" w:hAnsi="Times New Roman" w:eastAsia="宋体" w:cs="Times New Roman"/>
                <w:b w:val="0"/>
                <w:bCs w:val="0"/>
                <w:color w:val="auto"/>
                <w:sz w:val="24"/>
              </w:rPr>
              <w:t>处理。因此，项目施工期对水环境影响小。</w:t>
            </w:r>
          </w:p>
          <w:p w14:paraId="45D64E46">
            <w:pPr>
              <w:widowControl/>
              <w:kinsoku/>
              <w:autoSpaceDE w:val="0"/>
              <w:autoSpaceDN w:val="0"/>
              <w:bidi w:val="0"/>
              <w:adjustRightInd w:val="0"/>
              <w:snapToGrid w:val="0"/>
              <w:spacing w:line="360" w:lineRule="auto"/>
              <w:ind w:firstLine="480" w:firstLineChars="200"/>
              <w:jc w:val="left"/>
              <w:textAlignment w:val="baseline"/>
              <w:rPr>
                <w:rFonts w:hint="default" w:ascii="Times New Roman" w:hAnsi="Times New Roman" w:eastAsia="宋体" w:cs="Times New Roman"/>
                <w:snapToGrid w:val="0"/>
                <w:color w:val="000000"/>
                <w:kern w:val="0"/>
                <w:sz w:val="24"/>
                <w:lang w:eastAsia="en-US"/>
              </w:rPr>
            </w:pPr>
            <w:r>
              <w:rPr>
                <w:rFonts w:hint="default" w:ascii="Times New Roman" w:hAnsi="Times New Roman" w:eastAsia="宋体" w:cs="Times New Roman"/>
                <w:snapToGrid w:val="0"/>
                <w:color w:val="000000"/>
                <w:kern w:val="0"/>
                <w:sz w:val="24"/>
                <w:lang w:eastAsia="en-US"/>
              </w:rPr>
              <w:t>运营期无生活设施，无需新建生活污水排放系统。</w:t>
            </w:r>
          </w:p>
          <w:p w14:paraId="4CAB6ED4">
            <w:pPr>
              <w:widowControl/>
              <w:kinsoku/>
              <w:autoSpaceDE w:val="0"/>
              <w:autoSpaceDN w:val="0"/>
              <w:bidi w:val="0"/>
              <w:adjustRightInd w:val="0"/>
              <w:snapToGrid w:val="0"/>
              <w:spacing w:line="360" w:lineRule="auto"/>
              <w:ind w:firstLine="482" w:firstLineChars="200"/>
              <w:jc w:val="left"/>
              <w:textAlignment w:val="baseline"/>
              <w:rPr>
                <w:rFonts w:hint="default" w:ascii="Times New Roman" w:hAnsi="Times New Roman" w:eastAsia="宋体" w:cs="Times New Roman"/>
                <w:b/>
                <w:bCs/>
                <w:snapToGrid w:val="0"/>
                <w:color w:val="000000"/>
                <w:kern w:val="0"/>
                <w:sz w:val="24"/>
                <w:szCs w:val="24"/>
                <w:lang w:val="en-US" w:eastAsia="en-US" w:bidi="ar-SA"/>
              </w:rPr>
            </w:pPr>
            <w:r>
              <w:rPr>
                <w:rFonts w:hint="default" w:ascii="Times New Roman" w:hAnsi="Times New Roman" w:eastAsia="宋体" w:cs="Times New Roman"/>
                <w:b/>
                <w:bCs/>
                <w:snapToGrid w:val="0"/>
                <w:color w:val="000000"/>
                <w:kern w:val="0"/>
                <w:sz w:val="24"/>
                <w:lang w:val="en-US" w:eastAsia="zh-CN"/>
              </w:rPr>
              <w:t>5.3</w:t>
            </w:r>
            <w:r>
              <w:rPr>
                <w:rFonts w:hint="default" w:ascii="Times New Roman" w:hAnsi="Times New Roman" w:eastAsia="宋体" w:cs="Times New Roman"/>
                <w:b/>
                <w:bCs/>
                <w:snapToGrid w:val="0"/>
                <w:color w:val="000000"/>
                <w:kern w:val="0"/>
                <w:sz w:val="24"/>
                <w:szCs w:val="24"/>
                <w:lang w:val="en-US" w:eastAsia="en-US" w:bidi="ar-SA"/>
              </w:rPr>
              <w:t>供热</w:t>
            </w:r>
          </w:p>
          <w:p w14:paraId="30254D15">
            <w:pPr>
              <w:widowControl/>
              <w:kinsoku/>
              <w:autoSpaceDE w:val="0"/>
              <w:autoSpaceDN w:val="0"/>
              <w:bidi w:val="0"/>
              <w:adjustRightInd w:val="0"/>
              <w:snapToGrid w:val="0"/>
              <w:spacing w:line="360" w:lineRule="auto"/>
              <w:ind w:firstLine="480" w:firstLineChars="200"/>
              <w:jc w:val="left"/>
              <w:textAlignment w:val="baseline"/>
              <w:rPr>
                <w:rFonts w:hint="default" w:ascii="Times New Roman" w:hAnsi="Times New Roman" w:eastAsia="宋体" w:cs="Times New Roman"/>
                <w:b/>
                <w:bCs w:val="0"/>
                <w:color w:val="auto"/>
                <w:sz w:val="24"/>
                <w:lang w:val="en-US" w:eastAsia="zh-CN"/>
              </w:rPr>
            </w:pPr>
            <w:r>
              <w:rPr>
                <w:rFonts w:hint="default" w:ascii="Times New Roman" w:hAnsi="Times New Roman" w:eastAsia="宋体" w:cs="Times New Roman"/>
                <w:snapToGrid w:val="0"/>
                <w:color w:val="000000"/>
                <w:kern w:val="0"/>
                <w:sz w:val="24"/>
                <w:lang w:eastAsia="en-US"/>
              </w:rPr>
              <w:t>本项目不涉及供暖。</w:t>
            </w:r>
          </w:p>
          <w:p w14:paraId="20E082D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2" w:firstLineChars="200"/>
              <w:textAlignment w:val="auto"/>
              <w:rPr>
                <w:rFonts w:hint="default" w:ascii="Times New Roman" w:hAnsi="Times New Roman" w:eastAsia="宋体" w:cs="Times New Roman"/>
                <w:b/>
                <w:bCs w:val="0"/>
                <w:color w:val="auto"/>
                <w:sz w:val="24"/>
                <w:lang w:val="en-US" w:eastAsia="zh-CN"/>
              </w:rPr>
            </w:pPr>
            <w:r>
              <w:rPr>
                <w:rFonts w:hint="default" w:ascii="Times New Roman" w:hAnsi="Times New Roman" w:cs="Times New Roman"/>
                <w:b/>
                <w:bCs w:val="0"/>
                <w:color w:val="auto"/>
                <w:sz w:val="24"/>
                <w:lang w:val="en-US" w:eastAsia="zh-CN"/>
              </w:rPr>
              <w:t>6</w:t>
            </w:r>
            <w:r>
              <w:rPr>
                <w:rFonts w:hint="default" w:ascii="Times New Roman" w:hAnsi="Times New Roman" w:eastAsia="宋体" w:cs="Times New Roman"/>
                <w:b/>
                <w:bCs w:val="0"/>
                <w:color w:val="auto"/>
                <w:sz w:val="24"/>
                <w:lang w:val="en-US" w:eastAsia="zh-CN"/>
              </w:rPr>
              <w:t>、工程占地面积</w:t>
            </w:r>
          </w:p>
          <w:p w14:paraId="10238C5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项目风电场工程永久性征地面积为</w:t>
            </w:r>
            <w:r>
              <w:rPr>
                <w:rFonts w:hint="default" w:ascii="Times New Roman" w:hAnsi="Times New Roman" w:cs="Times New Roman"/>
                <w:b w:val="0"/>
                <w:bCs/>
                <w:color w:val="auto"/>
                <w:sz w:val="24"/>
                <w:lang w:val="en-US" w:eastAsia="zh-CN"/>
              </w:rPr>
              <w:t>40352.516</w:t>
            </w:r>
            <w:r>
              <w:rPr>
                <w:rFonts w:hint="default" w:ascii="Times New Roman" w:hAnsi="Times New Roman" w:eastAsia="宋体" w:cs="Times New Roman"/>
                <w:b w:val="0"/>
                <w:bCs/>
                <w:color w:val="auto"/>
                <w:sz w:val="24"/>
                <w:lang w:val="en-US" w:eastAsia="zh-CN"/>
              </w:rPr>
              <w:t>m</w:t>
            </w:r>
            <w:r>
              <w:rPr>
                <w:rFonts w:hint="default" w:ascii="Times New Roman" w:hAnsi="Times New Roman" w:eastAsia="宋体" w:cs="Times New Roman"/>
                <w:b w:val="0"/>
                <w:bCs/>
                <w:color w:val="auto"/>
                <w:sz w:val="24"/>
                <w:vertAlign w:val="superscript"/>
                <w:lang w:val="en-US" w:eastAsia="zh-CN"/>
              </w:rPr>
              <w:t>2</w:t>
            </w:r>
            <w:r>
              <w:rPr>
                <w:rFonts w:hint="default" w:ascii="Times New Roman" w:hAnsi="Times New Roman" w:eastAsia="宋体" w:cs="Times New Roman"/>
                <w:b w:val="0"/>
                <w:bCs/>
                <w:color w:val="auto"/>
                <w:sz w:val="24"/>
                <w:lang w:val="en-US" w:eastAsia="zh-CN"/>
              </w:rPr>
              <w:t>，临时性用地面积</w:t>
            </w:r>
            <w:r>
              <w:rPr>
                <w:rFonts w:hint="default" w:ascii="Times New Roman" w:hAnsi="Times New Roman" w:cs="Times New Roman"/>
                <w:b w:val="0"/>
                <w:bCs/>
                <w:color w:val="auto"/>
                <w:sz w:val="24"/>
                <w:lang w:val="en-US" w:eastAsia="zh-CN"/>
              </w:rPr>
              <w:t>557859</w:t>
            </w:r>
            <w:r>
              <w:rPr>
                <w:rFonts w:hint="default" w:ascii="Times New Roman" w:hAnsi="Times New Roman" w:eastAsia="宋体" w:cs="Times New Roman"/>
                <w:b w:val="0"/>
                <w:bCs/>
                <w:color w:val="auto"/>
                <w:sz w:val="24"/>
                <w:lang w:val="en-US" w:eastAsia="zh-CN"/>
              </w:rPr>
              <w:t>m</w:t>
            </w:r>
            <w:r>
              <w:rPr>
                <w:rFonts w:hint="default" w:ascii="Times New Roman" w:hAnsi="Times New Roman" w:eastAsia="宋体" w:cs="Times New Roman"/>
                <w:b w:val="0"/>
                <w:bCs/>
                <w:color w:val="auto"/>
                <w:sz w:val="24"/>
                <w:vertAlign w:val="superscript"/>
                <w:lang w:val="en-US" w:eastAsia="zh-CN"/>
              </w:rPr>
              <w:t>2</w:t>
            </w:r>
            <w:r>
              <w:rPr>
                <w:rFonts w:hint="default" w:ascii="Times New Roman" w:hAnsi="Times New Roman" w:eastAsia="宋体" w:cs="Times New Roman"/>
                <w:b w:val="0"/>
                <w:bCs/>
                <w:color w:val="auto"/>
                <w:sz w:val="24"/>
                <w:lang w:val="en-US" w:eastAsia="zh-CN"/>
              </w:rPr>
              <w:t>，占地类型为草地（</w:t>
            </w:r>
            <w:r>
              <w:rPr>
                <w:rFonts w:hint="default" w:ascii="Times New Roman" w:hAnsi="Times New Roman" w:cs="Times New Roman"/>
                <w:b w:val="0"/>
                <w:bCs/>
                <w:color w:val="auto"/>
                <w:sz w:val="24"/>
                <w:lang w:val="en-US" w:eastAsia="zh-CN"/>
              </w:rPr>
              <w:t>天然牧草地</w:t>
            </w:r>
            <w:r>
              <w:rPr>
                <w:rFonts w:hint="default" w:ascii="Times New Roman" w:hAnsi="Times New Roman" w:eastAsia="宋体" w:cs="Times New Roman"/>
                <w:b w:val="0"/>
                <w:bCs/>
                <w:color w:val="auto"/>
                <w:sz w:val="24"/>
                <w:lang w:val="en-US" w:eastAsia="zh-CN"/>
              </w:rPr>
              <w:t>）。</w:t>
            </w:r>
          </w:p>
          <w:p w14:paraId="22DFAE30">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jc w:val="center"/>
              <w:textAlignment w:val="auto"/>
              <w:rPr>
                <w:rFonts w:hint="default" w:ascii="Times New Roman" w:hAnsi="Times New Roman" w:cs="Times New Roman"/>
                <w:b/>
                <w:bCs/>
                <w:color w:val="auto"/>
                <w:szCs w:val="21"/>
              </w:rPr>
            </w:pPr>
            <w:r>
              <w:rPr>
                <w:rFonts w:hint="default" w:ascii="Times New Roman" w:hAnsi="Times New Roman" w:cs="Times New Roman"/>
                <w:b/>
                <w:bCs/>
                <w:color w:val="auto"/>
                <w:szCs w:val="21"/>
              </w:rPr>
              <w:t>表2-</w:t>
            </w:r>
            <w:r>
              <w:rPr>
                <w:rFonts w:hint="default" w:ascii="Times New Roman" w:hAnsi="Times New Roman" w:cs="Times New Roman"/>
                <w:b/>
                <w:bCs/>
                <w:color w:val="auto"/>
                <w:szCs w:val="21"/>
                <w:lang w:val="en-US" w:eastAsia="zh-CN"/>
              </w:rPr>
              <w:t>4</w:t>
            </w:r>
            <w:r>
              <w:rPr>
                <w:rFonts w:hint="default" w:ascii="Times New Roman" w:hAnsi="Times New Roman" w:cs="Times New Roman"/>
                <w:b/>
                <w:bCs/>
                <w:color w:val="auto"/>
                <w:szCs w:val="21"/>
                <w:lang w:eastAsia="zh-CN"/>
              </w:rPr>
              <w:t>风电场</w:t>
            </w:r>
            <w:r>
              <w:rPr>
                <w:rFonts w:hint="default" w:ascii="Times New Roman" w:hAnsi="Times New Roman" w:cs="Times New Roman"/>
                <w:b/>
                <w:bCs/>
                <w:color w:val="auto"/>
                <w:szCs w:val="21"/>
              </w:rPr>
              <w:t>占地面积汇总一览表</w:t>
            </w:r>
            <w:r>
              <w:rPr>
                <w:rFonts w:hint="default" w:ascii="Times New Roman" w:hAnsi="Times New Roman" w:cs="Times New Roman"/>
                <w:b/>
                <w:bCs/>
                <w:color w:val="auto"/>
                <w:szCs w:val="21"/>
                <w:lang w:val="en-US" w:eastAsia="zh-CN"/>
              </w:rPr>
              <w:t xml:space="preserve"> </w:t>
            </w:r>
            <w:r>
              <w:rPr>
                <w:rFonts w:hint="default" w:ascii="Times New Roman" w:hAnsi="Times New Roman" w:cs="Times New Roman"/>
                <w:b/>
                <w:bCs/>
                <w:color w:val="auto"/>
                <w:szCs w:val="21"/>
              </w:rPr>
              <w:t>单位：m</w:t>
            </w:r>
            <w:r>
              <w:rPr>
                <w:rFonts w:hint="default" w:ascii="Times New Roman" w:hAnsi="Times New Roman" w:cs="Times New Roman"/>
                <w:b/>
                <w:bCs/>
                <w:color w:val="auto"/>
                <w:szCs w:val="21"/>
                <w:vertAlign w:val="superscript"/>
              </w:rPr>
              <w:t>2</w:t>
            </w:r>
          </w:p>
          <w:tbl>
            <w:tblPr>
              <w:tblStyle w:val="22"/>
              <w:tblW w:w="84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78"/>
              <w:gridCol w:w="897"/>
              <w:gridCol w:w="1399"/>
              <w:gridCol w:w="2459"/>
              <w:gridCol w:w="1145"/>
            </w:tblGrid>
            <w:tr w14:paraId="2B5F5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 w:hRule="atLeast"/>
              </w:trPr>
              <w:tc>
                <w:tcPr>
                  <w:tcW w:w="1521" w:type="pct"/>
                  <w:tcBorders>
                    <w:top w:val="single" w:color="000000" w:sz="4" w:space="0"/>
                    <w:left w:val="single" w:color="000000" w:sz="4" w:space="0"/>
                    <w:bottom w:val="single" w:color="000000" w:sz="4" w:space="0"/>
                    <w:right w:val="single" w:color="000000" w:sz="4" w:space="0"/>
                  </w:tcBorders>
                  <w:noWrap w:val="0"/>
                  <w:vAlign w:val="center"/>
                </w:tcPr>
                <w:p w14:paraId="3CD47D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项目</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716B21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单位</w:t>
                  </w:r>
                </w:p>
              </w:tc>
              <w:tc>
                <w:tcPr>
                  <w:tcW w:w="825" w:type="pct"/>
                  <w:tcBorders>
                    <w:top w:val="single" w:color="000000" w:sz="4" w:space="0"/>
                    <w:left w:val="single" w:color="000000" w:sz="4" w:space="0"/>
                    <w:bottom w:val="single" w:color="000000" w:sz="4" w:space="0"/>
                    <w:right w:val="single" w:color="000000" w:sz="4" w:space="0"/>
                  </w:tcBorders>
                  <w:noWrap w:val="0"/>
                  <w:vAlign w:val="center"/>
                </w:tcPr>
                <w:p w14:paraId="1874F2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面积</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4781703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cs="Times New Roman"/>
                      <w:i w:val="0"/>
                      <w:iCs w:val="0"/>
                      <w:color w:val="auto"/>
                      <w:sz w:val="21"/>
                      <w:szCs w:val="21"/>
                      <w:u w:val="none"/>
                      <w:lang w:eastAsia="zh-CN"/>
                    </w:rPr>
                    <w:t>用地性质</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3469C66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Style w:val="39"/>
                      <w:rFonts w:hint="default" w:ascii="Times New Roman" w:hAnsi="Times New Roman" w:cs="Times New Roman"/>
                      <w:color w:val="auto"/>
                      <w:sz w:val="21"/>
                      <w:szCs w:val="21"/>
                      <w:lang w:val="en-US" w:eastAsia="zh-CN" w:bidi="ar"/>
                    </w:rPr>
                    <w:t>备注</w:t>
                  </w:r>
                </w:p>
              </w:tc>
            </w:tr>
            <w:tr w14:paraId="37448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74F9785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一、永久性占地项目</w:t>
                  </w:r>
                </w:p>
              </w:tc>
            </w:tr>
            <w:tr w14:paraId="3E005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trPr>
              <w:tc>
                <w:tcPr>
                  <w:tcW w:w="1521" w:type="pct"/>
                  <w:tcBorders>
                    <w:top w:val="single" w:color="000000" w:sz="4" w:space="0"/>
                    <w:left w:val="single" w:color="000000" w:sz="4" w:space="0"/>
                    <w:bottom w:val="single" w:color="000000" w:sz="4" w:space="0"/>
                    <w:right w:val="single" w:color="000000" w:sz="4" w:space="0"/>
                  </w:tcBorders>
                  <w:noWrap w:val="0"/>
                  <w:vAlign w:val="top"/>
                </w:tcPr>
                <w:p w14:paraId="7A3918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风机基础</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2ED07858">
                  <w:pPr>
                    <w:keepNext w:val="0"/>
                    <w:keepLines w:val="0"/>
                    <w:widowControl/>
                    <w:suppressLineNumbers w:val="0"/>
                    <w:jc w:val="center"/>
                    <w:textAlignment w:val="center"/>
                    <w:rPr>
                      <w:rStyle w:val="39"/>
                      <w:rFonts w:hint="default" w:ascii="Times New Roman" w:hAnsi="Times New Roman" w:cs="Times New Roman"/>
                      <w:color w:val="auto"/>
                      <w:sz w:val="21"/>
                      <w:szCs w:val="21"/>
                      <w:lang w:val="en-US" w:eastAsia="zh-CN" w:bidi="ar"/>
                    </w:rPr>
                  </w:pPr>
                  <w:r>
                    <w:rPr>
                      <w:rStyle w:val="39"/>
                      <w:rFonts w:hint="default" w:ascii="Times New Roman" w:hAnsi="Times New Roman" w:cs="Times New Roman"/>
                      <w:color w:val="auto"/>
                      <w:sz w:val="21"/>
                      <w:szCs w:val="21"/>
                      <w:lang w:val="en-US" w:eastAsia="zh-CN" w:bidi="ar"/>
                    </w:rPr>
                    <w:t>m²</w:t>
                  </w:r>
                </w:p>
              </w:tc>
              <w:tc>
                <w:tcPr>
                  <w:tcW w:w="825" w:type="pct"/>
                  <w:tcBorders>
                    <w:top w:val="single" w:color="000000" w:sz="4" w:space="0"/>
                    <w:left w:val="single" w:color="000000" w:sz="4" w:space="0"/>
                    <w:bottom w:val="single" w:color="000000" w:sz="4" w:space="0"/>
                    <w:right w:val="single" w:color="000000" w:sz="4" w:space="0"/>
                  </w:tcBorders>
                  <w:noWrap w:val="0"/>
                  <w:vAlign w:val="top"/>
                </w:tcPr>
                <w:p w14:paraId="7A8420DF">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19940.256</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158370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25E26A5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0E7A9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trPr>
              <w:tc>
                <w:tcPr>
                  <w:tcW w:w="1521" w:type="pct"/>
                  <w:tcBorders>
                    <w:top w:val="single" w:color="000000" w:sz="4" w:space="0"/>
                    <w:left w:val="single" w:color="000000" w:sz="4" w:space="0"/>
                    <w:bottom w:val="single" w:color="000000" w:sz="4" w:space="0"/>
                    <w:right w:val="single" w:color="000000" w:sz="4" w:space="0"/>
                  </w:tcBorders>
                  <w:noWrap w:val="0"/>
                  <w:vAlign w:val="top"/>
                </w:tcPr>
                <w:p w14:paraId="270B248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箱变基础</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7BA34A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825" w:type="pct"/>
                  <w:tcBorders>
                    <w:top w:val="single" w:color="000000" w:sz="4" w:space="0"/>
                    <w:left w:val="single" w:color="000000" w:sz="4" w:space="0"/>
                    <w:bottom w:val="single" w:color="000000" w:sz="4" w:space="0"/>
                    <w:right w:val="single" w:color="000000" w:sz="4" w:space="0"/>
                  </w:tcBorders>
                  <w:noWrap w:val="0"/>
                  <w:vAlign w:val="top"/>
                </w:tcPr>
                <w:p w14:paraId="044C83DA">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3200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6FDC61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003281C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003E6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1521" w:type="pct"/>
                  <w:tcBorders>
                    <w:top w:val="single" w:color="000000" w:sz="4" w:space="0"/>
                    <w:left w:val="single" w:color="000000" w:sz="4" w:space="0"/>
                    <w:bottom w:val="single" w:color="000000" w:sz="4" w:space="0"/>
                    <w:right w:val="single" w:color="000000" w:sz="4" w:space="0"/>
                  </w:tcBorders>
                  <w:noWrap w:val="0"/>
                  <w:vAlign w:val="top"/>
                </w:tcPr>
                <w:p w14:paraId="367B1A0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防洪围堰</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0B9AD97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825" w:type="pct"/>
                  <w:tcBorders>
                    <w:top w:val="single" w:color="000000" w:sz="4" w:space="0"/>
                    <w:left w:val="single" w:color="000000" w:sz="4" w:space="0"/>
                    <w:bottom w:val="single" w:color="000000" w:sz="4" w:space="0"/>
                    <w:right w:val="single" w:color="000000" w:sz="4" w:space="0"/>
                  </w:tcBorders>
                  <w:noWrap w:val="0"/>
                  <w:vAlign w:val="top"/>
                </w:tcPr>
                <w:p w14:paraId="6B06A08D">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1980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224520A3">
                  <w:pPr>
                    <w:keepNext w:val="0"/>
                    <w:keepLines w:val="0"/>
                    <w:widowControl/>
                    <w:suppressLineNumbers w:val="0"/>
                    <w:jc w:val="center"/>
                    <w:textAlignment w:val="center"/>
                    <w:rPr>
                      <w:rFonts w:hint="default" w:ascii="Times New Roman" w:hAnsi="Times New Roman" w:cs="Times New Roman"/>
                      <w:snapToGrid w:val="0"/>
                      <w:color w:val="auto"/>
                      <w:kern w:val="0"/>
                      <w:szCs w:val="21"/>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62C5FF92">
                  <w:pPr>
                    <w:keepNext w:val="0"/>
                    <w:keepLines w:val="0"/>
                    <w:widowControl/>
                    <w:suppressLineNumbers w:val="0"/>
                    <w:jc w:val="center"/>
                    <w:textAlignment w:val="center"/>
                    <w:rPr>
                      <w:rFonts w:hint="default" w:ascii="Times New Roman" w:hAnsi="Times New Roman" w:cs="Times New Roman"/>
                      <w:snapToGrid w:val="0"/>
                      <w:color w:val="auto"/>
                      <w:kern w:val="0"/>
                      <w:szCs w:val="21"/>
                      <w:lang w:val="en-US" w:eastAsia="zh-CN"/>
                    </w:rPr>
                  </w:pPr>
                </w:p>
              </w:tc>
            </w:tr>
            <w:tr w14:paraId="63E64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 w:hRule="atLeast"/>
              </w:trPr>
              <w:tc>
                <w:tcPr>
                  <w:tcW w:w="1521" w:type="pct"/>
                  <w:tcBorders>
                    <w:top w:val="single" w:color="000000" w:sz="4" w:space="0"/>
                    <w:left w:val="single" w:color="000000" w:sz="4" w:space="0"/>
                    <w:bottom w:val="single" w:color="000000" w:sz="4" w:space="0"/>
                    <w:right w:val="single" w:color="000000" w:sz="4" w:space="0"/>
                  </w:tcBorders>
                  <w:noWrap w:val="0"/>
                  <w:vAlign w:val="top"/>
                </w:tcPr>
                <w:p w14:paraId="75306D8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集电线路</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6B1D1F3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825" w:type="pct"/>
                  <w:tcBorders>
                    <w:top w:val="single" w:color="000000" w:sz="4" w:space="0"/>
                    <w:left w:val="single" w:color="000000" w:sz="4" w:space="0"/>
                    <w:bottom w:val="single" w:color="000000" w:sz="4" w:space="0"/>
                    <w:right w:val="single" w:color="000000" w:sz="4" w:space="0"/>
                  </w:tcBorders>
                  <w:noWrap w:val="0"/>
                  <w:vAlign w:val="top"/>
                </w:tcPr>
                <w:p w14:paraId="5B78591D">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15232.260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774203B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2F732FB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2B230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1521" w:type="pct"/>
                  <w:tcBorders>
                    <w:top w:val="single" w:color="000000" w:sz="4" w:space="0"/>
                    <w:left w:val="single" w:color="000000" w:sz="4" w:space="0"/>
                    <w:bottom w:val="single" w:color="000000" w:sz="4" w:space="0"/>
                    <w:right w:val="single" w:color="000000" w:sz="4" w:space="0"/>
                  </w:tcBorders>
                  <w:noWrap w:val="0"/>
                  <w:vAlign w:val="center"/>
                </w:tcPr>
                <w:p w14:paraId="412C40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永久性占地合计</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228C91B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825" w:type="pct"/>
                  <w:tcBorders>
                    <w:top w:val="single" w:color="000000" w:sz="4" w:space="0"/>
                    <w:left w:val="single" w:color="000000" w:sz="4" w:space="0"/>
                    <w:bottom w:val="single" w:color="000000" w:sz="4" w:space="0"/>
                    <w:right w:val="single" w:color="000000" w:sz="4" w:space="0"/>
                  </w:tcBorders>
                  <w:noWrap w:val="0"/>
                  <w:vAlign w:val="top"/>
                </w:tcPr>
                <w:p w14:paraId="168894EE">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40352.516</w:t>
                  </w:r>
                </w:p>
              </w:tc>
              <w:tc>
                <w:tcPr>
                  <w:tcW w:w="1450" w:type="pct"/>
                  <w:tcBorders>
                    <w:top w:val="single" w:color="000000" w:sz="4" w:space="0"/>
                    <w:left w:val="single" w:color="000000" w:sz="4" w:space="0"/>
                    <w:bottom w:val="single" w:color="000000" w:sz="4" w:space="0"/>
                    <w:right w:val="single" w:color="000000" w:sz="4" w:space="0"/>
                  </w:tcBorders>
                  <w:noWrap w:val="0"/>
                  <w:vAlign w:val="top"/>
                </w:tcPr>
                <w:p w14:paraId="76A7FF1A">
                  <w:pPr>
                    <w:keepNext w:val="0"/>
                    <w:keepLines w:val="0"/>
                    <w:widowControl/>
                    <w:suppressLineNumbers w:val="0"/>
                    <w:jc w:val="center"/>
                    <w:textAlignment w:val="top"/>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2" w:type="pct"/>
                  <w:tcBorders>
                    <w:top w:val="single" w:color="000000" w:sz="4" w:space="0"/>
                    <w:left w:val="single" w:color="000000" w:sz="4" w:space="0"/>
                    <w:bottom w:val="single" w:color="000000" w:sz="4" w:space="0"/>
                    <w:right w:val="single" w:color="000000" w:sz="4" w:space="0"/>
                  </w:tcBorders>
                  <w:noWrap w:val="0"/>
                  <w:vAlign w:val="top"/>
                </w:tcPr>
                <w:p w14:paraId="746175D5">
                  <w:pPr>
                    <w:keepNext w:val="0"/>
                    <w:keepLines w:val="0"/>
                    <w:widowControl/>
                    <w:suppressLineNumbers w:val="0"/>
                    <w:jc w:val="center"/>
                    <w:textAlignment w:val="top"/>
                    <w:rPr>
                      <w:rFonts w:hint="default" w:ascii="Times New Roman" w:hAnsi="Times New Roman" w:eastAsia="宋体" w:cs="Times New Roman"/>
                      <w:i w:val="0"/>
                      <w:iCs w:val="0"/>
                      <w:color w:val="auto"/>
                      <w:kern w:val="0"/>
                      <w:sz w:val="22"/>
                      <w:szCs w:val="22"/>
                      <w:u w:val="none"/>
                      <w:lang w:val="en-US" w:eastAsia="zh-CN" w:bidi="ar"/>
                    </w:rPr>
                  </w:pPr>
                </w:p>
              </w:tc>
            </w:tr>
            <w:tr w14:paraId="78E92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0E806F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二、临时性占地项目</w:t>
                  </w:r>
                </w:p>
              </w:tc>
            </w:tr>
            <w:tr w14:paraId="4FDCD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21" w:type="pct"/>
                  <w:tcBorders>
                    <w:top w:val="single" w:color="000000" w:sz="4" w:space="0"/>
                    <w:left w:val="single" w:color="000000" w:sz="4" w:space="0"/>
                    <w:bottom w:val="single" w:color="000000" w:sz="4" w:space="0"/>
                    <w:right w:val="single" w:color="000000" w:sz="4" w:space="0"/>
                  </w:tcBorders>
                  <w:noWrap w:val="0"/>
                  <w:vAlign w:val="top"/>
                </w:tcPr>
                <w:p w14:paraId="6885B75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临时生活办公区</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6B28B5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825" w:type="pct"/>
                  <w:tcBorders>
                    <w:top w:val="single" w:color="000000" w:sz="4" w:space="0"/>
                    <w:left w:val="single" w:color="000000" w:sz="4" w:space="0"/>
                    <w:bottom w:val="single" w:color="000000" w:sz="4" w:space="0"/>
                    <w:right w:val="single" w:color="000000" w:sz="4" w:space="0"/>
                  </w:tcBorders>
                  <w:noWrap w:val="0"/>
                  <w:vAlign w:val="top"/>
                </w:tcPr>
                <w:p w14:paraId="278B14C0">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cs="Times New Roman"/>
                      <w:color w:val="auto"/>
                      <w:sz w:val="20"/>
                      <w:szCs w:val="20"/>
                    </w:rPr>
                    <w:t>10000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0B68D4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49B71E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2DEB0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1521" w:type="pct"/>
                  <w:tcBorders>
                    <w:top w:val="single" w:color="000000" w:sz="4" w:space="0"/>
                    <w:left w:val="single" w:color="000000" w:sz="4" w:space="0"/>
                    <w:bottom w:val="single" w:color="000000" w:sz="4" w:space="0"/>
                    <w:right w:val="single" w:color="000000" w:sz="4" w:space="0"/>
                  </w:tcBorders>
                  <w:noWrap w:val="0"/>
                  <w:vAlign w:val="top"/>
                </w:tcPr>
                <w:p w14:paraId="2A6420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机械停放场</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78774E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825" w:type="pct"/>
                  <w:tcBorders>
                    <w:top w:val="single" w:color="000000" w:sz="4" w:space="0"/>
                    <w:left w:val="single" w:color="000000" w:sz="4" w:space="0"/>
                    <w:bottom w:val="single" w:color="000000" w:sz="4" w:space="0"/>
                    <w:right w:val="single" w:color="000000" w:sz="4" w:space="0"/>
                  </w:tcBorders>
                  <w:noWrap w:val="0"/>
                  <w:vAlign w:val="top"/>
                </w:tcPr>
                <w:p w14:paraId="4DAC8856">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cs="Times New Roman"/>
                      <w:color w:val="auto"/>
                      <w:sz w:val="20"/>
                      <w:szCs w:val="20"/>
                    </w:rPr>
                    <w:t>10000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65AF30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67B5571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74C44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1521" w:type="pct"/>
                  <w:tcBorders>
                    <w:top w:val="single" w:color="000000" w:sz="4" w:space="0"/>
                    <w:left w:val="single" w:color="000000" w:sz="4" w:space="0"/>
                    <w:bottom w:val="single" w:color="000000" w:sz="4" w:space="0"/>
                    <w:right w:val="single" w:color="000000" w:sz="4" w:space="0"/>
                  </w:tcBorders>
                  <w:noWrap w:val="0"/>
                  <w:vAlign w:val="top"/>
                </w:tcPr>
                <w:p w14:paraId="08CDF2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综合加工厂</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1745A2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825" w:type="pct"/>
                  <w:tcBorders>
                    <w:top w:val="single" w:color="000000" w:sz="4" w:space="0"/>
                    <w:left w:val="single" w:color="000000" w:sz="4" w:space="0"/>
                    <w:bottom w:val="single" w:color="000000" w:sz="4" w:space="0"/>
                    <w:right w:val="single" w:color="000000" w:sz="4" w:space="0"/>
                  </w:tcBorders>
                  <w:noWrap w:val="0"/>
                  <w:vAlign w:val="top"/>
                </w:tcPr>
                <w:p w14:paraId="0146E910">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cs="Times New Roman"/>
                      <w:color w:val="auto"/>
                      <w:spacing w:val="2"/>
                      <w:sz w:val="20"/>
                      <w:szCs w:val="20"/>
                    </w:rPr>
                    <w:t>5000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6DCD2F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637D834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6A3FE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1521" w:type="pct"/>
                  <w:tcBorders>
                    <w:top w:val="single" w:color="000000" w:sz="4" w:space="0"/>
                    <w:left w:val="single" w:color="000000" w:sz="4" w:space="0"/>
                    <w:bottom w:val="single" w:color="000000" w:sz="4" w:space="0"/>
                    <w:right w:val="single" w:color="000000" w:sz="4" w:space="0"/>
                  </w:tcBorders>
                  <w:noWrap w:val="0"/>
                  <w:vAlign w:val="top"/>
                </w:tcPr>
                <w:p w14:paraId="2F93922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综合仓库</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4214E4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825" w:type="pct"/>
                  <w:tcBorders>
                    <w:top w:val="single" w:color="000000" w:sz="4" w:space="0"/>
                    <w:left w:val="single" w:color="000000" w:sz="4" w:space="0"/>
                    <w:bottom w:val="single" w:color="000000" w:sz="4" w:space="0"/>
                    <w:right w:val="single" w:color="000000" w:sz="4" w:space="0"/>
                  </w:tcBorders>
                  <w:noWrap w:val="0"/>
                  <w:vAlign w:val="top"/>
                </w:tcPr>
                <w:p w14:paraId="09C134AA">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cs="Times New Roman"/>
                      <w:color w:val="auto"/>
                      <w:sz w:val="20"/>
                      <w:szCs w:val="20"/>
                    </w:rPr>
                    <w:t>10000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18B1B55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7CD343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5D25A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1521" w:type="pct"/>
                  <w:tcBorders>
                    <w:top w:val="single" w:color="000000" w:sz="4" w:space="0"/>
                    <w:left w:val="single" w:color="000000" w:sz="4" w:space="0"/>
                    <w:bottom w:val="single" w:color="000000" w:sz="4" w:space="0"/>
                    <w:right w:val="single" w:color="000000" w:sz="4" w:space="0"/>
                  </w:tcBorders>
                  <w:noWrap w:val="0"/>
                  <w:vAlign w:val="top"/>
                </w:tcPr>
                <w:p w14:paraId="7B697E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设备及材料堆场</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1D3523C9">
                  <w:pPr>
                    <w:keepNext w:val="0"/>
                    <w:keepLines w:val="0"/>
                    <w:widowControl/>
                    <w:suppressLineNumbers w:val="0"/>
                    <w:jc w:val="center"/>
                    <w:textAlignment w:val="center"/>
                    <w:rPr>
                      <w:rStyle w:val="39"/>
                      <w:rFonts w:hint="default" w:ascii="Times New Roman" w:hAnsi="Times New Roman" w:cs="Times New Roman"/>
                      <w:color w:val="auto"/>
                      <w:sz w:val="21"/>
                      <w:szCs w:val="21"/>
                      <w:lang w:val="en-US" w:eastAsia="zh-CN" w:bidi="ar"/>
                    </w:rPr>
                  </w:pPr>
                  <w:r>
                    <w:rPr>
                      <w:rStyle w:val="39"/>
                      <w:rFonts w:hint="default" w:ascii="Times New Roman" w:hAnsi="Times New Roman" w:cs="Times New Roman"/>
                      <w:color w:val="auto"/>
                      <w:sz w:val="21"/>
                      <w:szCs w:val="21"/>
                      <w:lang w:val="en-US" w:eastAsia="zh-CN" w:bidi="ar"/>
                    </w:rPr>
                    <w:t>m²</w:t>
                  </w:r>
                </w:p>
              </w:tc>
              <w:tc>
                <w:tcPr>
                  <w:tcW w:w="825" w:type="pct"/>
                  <w:tcBorders>
                    <w:top w:val="single" w:color="000000" w:sz="4" w:space="0"/>
                    <w:left w:val="single" w:color="000000" w:sz="4" w:space="0"/>
                    <w:bottom w:val="single" w:color="000000" w:sz="4" w:space="0"/>
                    <w:right w:val="single" w:color="000000" w:sz="4" w:space="0"/>
                  </w:tcBorders>
                  <w:noWrap w:val="0"/>
                  <w:vAlign w:val="top"/>
                </w:tcPr>
                <w:p w14:paraId="52D49C02">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cs="Times New Roman"/>
                      <w:i w:val="0"/>
                      <w:iCs w:val="0"/>
                      <w:color w:val="auto"/>
                      <w:sz w:val="21"/>
                      <w:szCs w:val="21"/>
                      <w:u w:val="none"/>
                      <w:lang w:val="en-US" w:eastAsia="zh-CN"/>
                    </w:rPr>
                  </w:pPr>
                  <w:r>
                    <w:rPr>
                      <w:rFonts w:hint="default" w:ascii="Times New Roman" w:hAnsi="Times New Roman" w:cs="Times New Roman"/>
                      <w:color w:val="auto"/>
                      <w:sz w:val="20"/>
                      <w:szCs w:val="20"/>
                    </w:rPr>
                    <w:t>15000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278CC1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30093E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405D7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1521" w:type="pct"/>
                  <w:tcBorders>
                    <w:top w:val="single" w:color="000000" w:sz="4" w:space="0"/>
                    <w:left w:val="single" w:color="000000" w:sz="4" w:space="0"/>
                    <w:bottom w:val="single" w:color="000000" w:sz="4" w:space="0"/>
                    <w:right w:val="single" w:color="000000" w:sz="4" w:space="0"/>
                  </w:tcBorders>
                  <w:noWrap w:val="0"/>
                  <w:vAlign w:val="center"/>
                </w:tcPr>
                <w:p w14:paraId="10FE2C95">
                  <w:pPr>
                    <w:keepNext w:val="0"/>
                    <w:keepLines w:val="0"/>
                    <w:widowControl/>
                    <w:suppressLineNumbers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rPr>
                    <w:t>吊装平台</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73FD93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825" w:type="pct"/>
                  <w:tcBorders>
                    <w:top w:val="single" w:color="000000" w:sz="4" w:space="0"/>
                    <w:left w:val="single" w:color="000000" w:sz="4" w:space="0"/>
                    <w:bottom w:val="single" w:color="000000" w:sz="4" w:space="0"/>
                    <w:right w:val="single" w:color="000000" w:sz="4" w:space="0"/>
                  </w:tcBorders>
                  <w:noWrap w:val="0"/>
                  <w:vAlign w:val="center"/>
                </w:tcPr>
                <w:p w14:paraId="028948A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132859</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767BF87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3BBF7D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78A6E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1521" w:type="pct"/>
                  <w:tcBorders>
                    <w:top w:val="single" w:color="000000" w:sz="4" w:space="0"/>
                    <w:left w:val="single" w:color="000000" w:sz="4" w:space="0"/>
                    <w:bottom w:val="single" w:color="000000" w:sz="4" w:space="0"/>
                    <w:right w:val="single" w:color="000000" w:sz="4" w:space="0"/>
                  </w:tcBorders>
                  <w:noWrap w:val="0"/>
                  <w:vAlign w:val="center"/>
                </w:tcPr>
                <w:p w14:paraId="04DECAB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电缆直埋</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50B7BCB2">
                  <w:pPr>
                    <w:keepNext w:val="0"/>
                    <w:keepLines w:val="0"/>
                    <w:widowControl/>
                    <w:suppressLineNumbers w:val="0"/>
                    <w:jc w:val="center"/>
                    <w:textAlignment w:val="center"/>
                    <w:rPr>
                      <w:rStyle w:val="39"/>
                      <w:rFonts w:hint="default" w:ascii="Times New Roman" w:hAnsi="Times New Roman" w:cs="Times New Roman"/>
                      <w:color w:val="auto"/>
                      <w:sz w:val="21"/>
                      <w:szCs w:val="21"/>
                      <w:lang w:val="en-US" w:eastAsia="zh-CN" w:bidi="ar"/>
                    </w:rPr>
                  </w:pPr>
                  <w:r>
                    <w:rPr>
                      <w:rStyle w:val="39"/>
                      <w:rFonts w:hint="default" w:ascii="Times New Roman" w:hAnsi="Times New Roman" w:cs="Times New Roman"/>
                      <w:color w:val="auto"/>
                      <w:sz w:val="21"/>
                      <w:szCs w:val="21"/>
                      <w:lang w:val="en-US" w:eastAsia="zh-CN" w:bidi="ar"/>
                    </w:rPr>
                    <w:t>m²</w:t>
                  </w:r>
                </w:p>
              </w:tc>
              <w:tc>
                <w:tcPr>
                  <w:tcW w:w="825" w:type="pct"/>
                  <w:tcBorders>
                    <w:top w:val="single" w:color="000000" w:sz="4" w:space="0"/>
                    <w:left w:val="single" w:color="000000" w:sz="4" w:space="0"/>
                    <w:bottom w:val="single" w:color="000000" w:sz="4" w:space="0"/>
                    <w:right w:val="single" w:color="000000" w:sz="4" w:space="0"/>
                  </w:tcBorders>
                  <w:noWrap w:val="0"/>
                  <w:vAlign w:val="center"/>
                </w:tcPr>
                <w:p w14:paraId="3D46C838">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15000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5D2DAC2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2B9C59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46B6A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1521" w:type="pct"/>
                  <w:tcBorders>
                    <w:top w:val="single" w:color="000000" w:sz="4" w:space="0"/>
                    <w:left w:val="single" w:color="000000" w:sz="4" w:space="0"/>
                    <w:bottom w:val="single" w:color="000000" w:sz="4" w:space="0"/>
                    <w:right w:val="single" w:color="000000" w:sz="4" w:space="0"/>
                  </w:tcBorders>
                  <w:noWrap w:val="0"/>
                  <w:vAlign w:val="center"/>
                </w:tcPr>
                <w:p w14:paraId="5A1F54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临时施工道路及检修道路</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0F4AAD8E">
                  <w:pPr>
                    <w:keepNext w:val="0"/>
                    <w:keepLines w:val="0"/>
                    <w:widowControl/>
                    <w:suppressLineNumbers w:val="0"/>
                    <w:jc w:val="center"/>
                    <w:textAlignment w:val="center"/>
                    <w:rPr>
                      <w:rStyle w:val="39"/>
                      <w:rFonts w:hint="default" w:ascii="Times New Roman" w:hAnsi="Times New Roman" w:cs="Times New Roman"/>
                      <w:color w:val="auto"/>
                      <w:sz w:val="21"/>
                      <w:szCs w:val="21"/>
                      <w:lang w:val="en-US" w:eastAsia="zh-CN" w:bidi="ar"/>
                    </w:rPr>
                  </w:pPr>
                  <w:r>
                    <w:rPr>
                      <w:rStyle w:val="39"/>
                      <w:rFonts w:hint="default" w:ascii="Times New Roman" w:hAnsi="Times New Roman" w:cs="Times New Roman"/>
                      <w:color w:val="auto"/>
                      <w:sz w:val="21"/>
                      <w:szCs w:val="21"/>
                      <w:lang w:val="en-US" w:eastAsia="zh-CN" w:bidi="ar"/>
                    </w:rPr>
                    <w:t>m²</w:t>
                  </w:r>
                </w:p>
              </w:tc>
              <w:tc>
                <w:tcPr>
                  <w:tcW w:w="825" w:type="pct"/>
                  <w:tcBorders>
                    <w:top w:val="single" w:color="000000" w:sz="4" w:space="0"/>
                    <w:left w:val="single" w:color="000000" w:sz="4" w:space="0"/>
                    <w:bottom w:val="single" w:color="000000" w:sz="4" w:space="0"/>
                    <w:right w:val="single" w:color="000000" w:sz="4" w:space="0"/>
                  </w:tcBorders>
                  <w:noWrap w:val="0"/>
                  <w:vAlign w:val="center"/>
                </w:tcPr>
                <w:p w14:paraId="784AB338">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112500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6F4414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079779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5B3FE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 w:hRule="atLeast"/>
              </w:trPr>
              <w:tc>
                <w:tcPr>
                  <w:tcW w:w="1521" w:type="pct"/>
                  <w:tcBorders>
                    <w:top w:val="single" w:color="000000" w:sz="4" w:space="0"/>
                    <w:left w:val="single" w:color="000000" w:sz="4" w:space="0"/>
                    <w:bottom w:val="single" w:color="000000" w:sz="4" w:space="0"/>
                    <w:right w:val="single" w:color="000000" w:sz="4" w:space="0"/>
                  </w:tcBorders>
                  <w:noWrap w:val="0"/>
                  <w:vAlign w:val="center"/>
                </w:tcPr>
                <w:p w14:paraId="194D43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临时性占地合计</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289922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825" w:type="pct"/>
                  <w:tcBorders>
                    <w:top w:val="single" w:color="000000" w:sz="4" w:space="0"/>
                    <w:left w:val="single" w:color="000000" w:sz="4" w:space="0"/>
                    <w:bottom w:val="single" w:color="000000" w:sz="4" w:space="0"/>
                    <w:right w:val="single" w:color="000000" w:sz="4" w:space="0"/>
                  </w:tcBorders>
                  <w:noWrap w:val="0"/>
                  <w:vAlign w:val="center"/>
                </w:tcPr>
                <w:p w14:paraId="2853DF43">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557859</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374A6DA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18B6E6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bl>
          <w:p w14:paraId="34962E9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cs="Times New Roman"/>
                <w:color w:val="auto"/>
                <w:sz w:val="24"/>
              </w:rPr>
            </w:pPr>
          </w:p>
        </w:tc>
      </w:tr>
      <w:tr w14:paraId="38319D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39" w:hRule="atLeast"/>
          <w:jc w:val="center"/>
        </w:trPr>
        <w:tc>
          <w:tcPr>
            <w:tcW w:w="710" w:type="dxa"/>
            <w:noWrap w:val="0"/>
            <w:vAlign w:val="center"/>
          </w:tcPr>
          <w:p w14:paraId="0888BEB2">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总平面及现场布置</w:t>
            </w:r>
          </w:p>
        </w:tc>
        <w:tc>
          <w:tcPr>
            <w:tcW w:w="8441" w:type="dxa"/>
            <w:noWrap w:val="0"/>
            <w:vAlign w:val="center"/>
          </w:tcPr>
          <w:p w14:paraId="3F2AEFAE">
            <w:pPr>
              <w:numPr>
                <w:ilvl w:val="0"/>
                <w:numId w:val="0"/>
              </w:numPr>
              <w:autoSpaceDE w:val="0"/>
              <w:autoSpaceDN w:val="0"/>
              <w:adjustRightInd w:val="0"/>
              <w:snapToGrid w:val="0"/>
              <w:spacing w:line="360" w:lineRule="auto"/>
              <w:ind w:firstLine="482" w:firstLineChars="200"/>
              <w:rPr>
                <w:rFonts w:hint="default" w:ascii="Times New Roman" w:hAnsi="Times New Roman" w:cs="Times New Roman"/>
                <w:b w:val="0"/>
                <w:bCs w:val="0"/>
                <w:color w:val="auto"/>
                <w:sz w:val="24"/>
                <w:lang w:val="en-US" w:eastAsia="zh-CN"/>
              </w:rPr>
            </w:pPr>
            <w:r>
              <w:rPr>
                <w:rFonts w:hint="default" w:ascii="Times New Roman" w:hAnsi="Times New Roman" w:cs="Times New Roman"/>
                <w:b/>
                <w:bCs/>
                <w:color w:val="auto"/>
                <w:sz w:val="24"/>
                <w:lang w:val="en-US" w:eastAsia="zh-CN"/>
              </w:rPr>
              <w:t>1、</w:t>
            </w:r>
            <w:r>
              <w:rPr>
                <w:rFonts w:hint="default" w:ascii="Times New Roman" w:hAnsi="Times New Roman" w:cs="Times New Roman"/>
                <w:b/>
                <w:bCs/>
                <w:color w:val="auto"/>
                <w:sz w:val="24"/>
              </w:rPr>
              <w:t>工程平面布置</w:t>
            </w:r>
          </w:p>
          <w:p w14:paraId="46D22D0A">
            <w:pPr>
              <w:adjustRightInd w:val="0"/>
              <w:snapToGrid w:val="0"/>
              <w:spacing w:line="360" w:lineRule="auto"/>
              <w:ind w:firstLine="482" w:firstLineChars="200"/>
              <w:rPr>
                <w:rFonts w:hint="default" w:ascii="Times New Roman" w:hAnsi="Times New Roman" w:cs="Times New Roman"/>
                <w:b/>
                <w:bCs/>
                <w:color w:val="auto"/>
                <w:sz w:val="24"/>
                <w:lang w:val="en-US" w:eastAsia="zh-CN"/>
              </w:rPr>
            </w:pPr>
            <w:r>
              <w:rPr>
                <w:rFonts w:hint="default" w:ascii="Times New Roman" w:hAnsi="Times New Roman" w:cs="Times New Roman"/>
                <w:b/>
                <w:bCs/>
                <w:color w:val="auto"/>
                <w:sz w:val="24"/>
                <w:lang w:val="en-US" w:eastAsia="zh-CN"/>
              </w:rPr>
              <w:t>1.</w:t>
            </w:r>
            <w:r>
              <w:rPr>
                <w:rFonts w:hint="default" w:ascii="Times New Roman" w:hAnsi="Times New Roman" w:cs="Times New Roman"/>
                <w:b/>
                <w:bCs/>
                <w:color w:val="auto"/>
                <w:sz w:val="24"/>
                <w:lang w:val="en-US" w:eastAsia="zh-CN"/>
              </w:rPr>
              <w:t>1</w:t>
            </w:r>
            <w:r>
              <w:rPr>
                <w:rFonts w:hint="default" w:ascii="Times New Roman" w:hAnsi="Times New Roman" w:cs="Times New Roman"/>
                <w:b/>
                <w:bCs/>
                <w:color w:val="auto"/>
                <w:sz w:val="24"/>
                <w:lang w:val="en-US" w:eastAsia="zh-CN"/>
              </w:rPr>
              <w:t>风电场的平面布置及施工总体布置</w:t>
            </w:r>
          </w:p>
          <w:p w14:paraId="19D8748D">
            <w:pPr>
              <w:adjustRightInd w:val="0"/>
              <w:snapToGrid w:val="0"/>
              <w:spacing w:line="360" w:lineRule="auto"/>
              <w:ind w:firstLine="480" w:firstLineChars="200"/>
              <w:rPr>
                <w:rFonts w:hint="default" w:ascii="Times New Roman" w:hAnsi="Times New Roman" w:cs="Times New Roman"/>
                <w:b w:val="0"/>
                <w:bCs w:val="0"/>
                <w:color w:val="auto"/>
                <w:sz w:val="24"/>
                <w:lang w:val="en-US" w:eastAsia="zh-CN"/>
              </w:rPr>
            </w:pPr>
            <w:r>
              <w:rPr>
                <w:rFonts w:hint="default" w:ascii="Times New Roman" w:hAnsi="Times New Roman" w:cs="Times New Roman"/>
                <w:b w:val="0"/>
                <w:bCs w:val="0"/>
                <w:color w:val="auto"/>
                <w:sz w:val="24"/>
                <w:lang w:val="en-US" w:eastAsia="zh-CN"/>
              </w:rPr>
              <w:t>本项目施工总平面包括风力发电机组吊装场地的布置、设备材料临时堆放场地、施工临时办公生活、建材、钢筋、混凝土加工场地布置等。</w:t>
            </w:r>
          </w:p>
          <w:p w14:paraId="6C3A235B">
            <w:pPr>
              <w:adjustRightInd w:val="0"/>
              <w:snapToGrid w:val="0"/>
              <w:spacing w:line="360" w:lineRule="auto"/>
              <w:ind w:firstLine="480" w:firstLineChars="200"/>
              <w:rPr>
                <w:rFonts w:hint="default" w:ascii="Times New Roman" w:hAnsi="Times New Roman" w:cs="Times New Roman"/>
                <w:b w:val="0"/>
                <w:bCs w:val="0"/>
                <w:color w:val="auto"/>
                <w:sz w:val="24"/>
                <w:lang w:val="en-US" w:eastAsia="zh-CN"/>
              </w:rPr>
            </w:pPr>
            <w:r>
              <w:rPr>
                <w:rFonts w:hint="default" w:ascii="Times New Roman" w:hAnsi="Times New Roman" w:cs="Times New Roman"/>
                <w:b w:val="0"/>
                <w:bCs w:val="0"/>
                <w:color w:val="auto"/>
                <w:sz w:val="24"/>
                <w:lang w:val="en-US" w:eastAsia="zh-CN"/>
              </w:rPr>
              <w:t>结合风电场址区域风资源条件、地形条件、交通运输条件，本期装机容量为400MW，共装设40台风力发电机组。</w:t>
            </w:r>
          </w:p>
          <w:p w14:paraId="41A0E8F6">
            <w:pPr>
              <w:adjustRightInd w:val="0"/>
              <w:snapToGrid w:val="0"/>
              <w:spacing w:line="360" w:lineRule="auto"/>
              <w:ind w:firstLine="480" w:firstLineChars="200"/>
              <w:rPr>
                <w:rFonts w:hint="default" w:ascii="Times New Roman" w:hAnsi="Times New Roman" w:cs="Times New Roman"/>
                <w:b w:val="0"/>
                <w:bCs w:val="0"/>
                <w:color w:val="auto"/>
                <w:sz w:val="24"/>
                <w:lang w:val="en-US" w:eastAsia="zh-CN"/>
              </w:rPr>
            </w:pPr>
            <w:r>
              <w:rPr>
                <w:rFonts w:hint="default" w:ascii="Times New Roman" w:hAnsi="Times New Roman" w:cs="Times New Roman"/>
                <w:b w:val="0"/>
                <w:bCs w:val="0"/>
                <w:color w:val="auto"/>
                <w:sz w:val="24"/>
                <w:lang w:val="en-US" w:eastAsia="zh-CN"/>
              </w:rPr>
              <w:t>本风电场采用一台风机配备一台升压变压器的方式。根据风机位地质情况风机基础为圆形扩展基础，单台基础占地面积为498.5064m</w:t>
            </w:r>
            <w:r>
              <w:rPr>
                <w:rFonts w:hint="default" w:ascii="Times New Roman" w:hAnsi="Times New Roman" w:cs="Times New Roman"/>
                <w:b w:val="0"/>
                <w:bCs w:val="0"/>
                <w:color w:val="auto"/>
                <w:sz w:val="24"/>
                <w:vertAlign w:val="superscript"/>
                <w:lang w:val="en-US" w:eastAsia="zh-CN"/>
              </w:rPr>
              <w:t>2</w:t>
            </w:r>
            <w:r>
              <w:rPr>
                <w:rFonts w:hint="default" w:ascii="Times New Roman" w:hAnsi="Times New Roman" w:cs="Times New Roman"/>
                <w:b w:val="0"/>
                <w:bCs w:val="0"/>
                <w:color w:val="auto"/>
                <w:sz w:val="24"/>
                <w:lang w:val="en-US" w:eastAsia="zh-CN"/>
              </w:rPr>
              <w:t>，单台箱变基础占地面积为80m</w:t>
            </w:r>
            <w:r>
              <w:rPr>
                <w:rFonts w:hint="default" w:ascii="Times New Roman" w:hAnsi="Times New Roman" w:cs="Times New Roman"/>
                <w:b w:val="0"/>
                <w:bCs w:val="0"/>
                <w:color w:val="auto"/>
                <w:sz w:val="24"/>
                <w:vertAlign w:val="superscript"/>
                <w:lang w:val="en-US" w:eastAsia="zh-CN"/>
              </w:rPr>
              <w:t>2</w:t>
            </w:r>
            <w:r>
              <w:rPr>
                <w:rFonts w:hint="default" w:ascii="Times New Roman" w:hAnsi="Times New Roman" w:cs="Times New Roman"/>
                <w:b w:val="0"/>
                <w:bCs w:val="0"/>
                <w:color w:val="auto"/>
                <w:sz w:val="24"/>
                <w:lang w:val="en-US" w:eastAsia="zh-CN"/>
              </w:rPr>
              <w:t>。</w:t>
            </w:r>
          </w:p>
          <w:p w14:paraId="74FB1652">
            <w:pPr>
              <w:adjustRightInd w:val="0"/>
              <w:snapToGrid w:val="0"/>
              <w:spacing w:line="360" w:lineRule="auto"/>
              <w:ind w:firstLine="480" w:firstLineChars="200"/>
              <w:rPr>
                <w:rFonts w:hint="default" w:ascii="Times New Roman" w:hAnsi="Times New Roman" w:cs="Times New Roman"/>
                <w:b w:val="0"/>
                <w:bCs w:val="0"/>
                <w:color w:val="auto"/>
                <w:sz w:val="24"/>
                <w:lang w:val="en-US" w:eastAsia="zh-CN"/>
              </w:rPr>
            </w:pPr>
            <w:r>
              <w:rPr>
                <w:rFonts w:hint="default" w:ascii="Times New Roman" w:hAnsi="Times New Roman" w:cs="Times New Roman"/>
                <w:b w:val="0"/>
                <w:bCs w:val="0"/>
                <w:color w:val="auto"/>
                <w:sz w:val="24"/>
                <w:lang w:val="en-US" w:eastAsia="zh-CN"/>
              </w:rPr>
              <w:t>由于风电场水、电、路均不通。因此，本项目施工场地考虑利用靠近管理站区的空地作为本次的临时施工及设备堆放场地。在该处布置设备及材料仓库等临时生产区，施工临时生活区靠近管理站区布置。</w:t>
            </w:r>
          </w:p>
          <w:p w14:paraId="1AECF666">
            <w:pPr>
              <w:adjustRightInd w:val="0"/>
              <w:snapToGrid w:val="0"/>
              <w:spacing w:line="360" w:lineRule="auto"/>
              <w:ind w:firstLine="480" w:firstLineChars="200"/>
              <w:rPr>
                <w:rFonts w:hint="default" w:ascii="Times New Roman" w:hAnsi="Times New Roman" w:cs="Times New Roman"/>
                <w:b w:val="0"/>
                <w:bCs w:val="0"/>
                <w:color w:val="auto"/>
                <w:sz w:val="24"/>
                <w:lang w:val="en-US" w:eastAsia="zh-CN"/>
              </w:rPr>
            </w:pPr>
            <w:r>
              <w:rPr>
                <w:rFonts w:hint="default" w:ascii="Times New Roman" w:hAnsi="Times New Roman" w:cs="Times New Roman"/>
                <w:b w:val="0"/>
                <w:bCs w:val="0"/>
                <w:color w:val="auto"/>
                <w:sz w:val="24"/>
                <w:lang w:val="en-US" w:eastAsia="zh-CN"/>
              </w:rPr>
              <w:t>风电机组的安装方法采用在地面上将各部件组装成组件后，用大型的施工机具吊装，结合本工程设备吊装重量及起吊高度，本工程吊装车辆采用1000t履带吊作为风机及塔架的主力吊装机械，250t液压汽车吊2台作为辅助机械，另外，还需配备1～2台5t的卡车吊车，用于在设备安装期间风场内搬运设备附件和重型工具。根据风机布置情况及施工吊装的要求，依托施工道路布置施工吊装平台，每台风电机组吊装场地暂按3900m</w:t>
            </w:r>
            <w:r>
              <w:rPr>
                <w:rFonts w:hint="default" w:ascii="Times New Roman" w:hAnsi="Times New Roman" w:cs="Times New Roman"/>
                <w:b w:val="0"/>
                <w:bCs w:val="0"/>
                <w:color w:val="auto"/>
                <w:sz w:val="24"/>
                <w:vertAlign w:val="superscript"/>
                <w:lang w:val="en-US" w:eastAsia="zh-CN"/>
              </w:rPr>
              <w:t>2</w:t>
            </w:r>
            <w:r>
              <w:rPr>
                <w:rFonts w:hint="default" w:ascii="Times New Roman" w:hAnsi="Times New Roman" w:cs="Times New Roman"/>
                <w:b w:val="0"/>
                <w:bCs w:val="0"/>
                <w:color w:val="auto"/>
                <w:sz w:val="24"/>
                <w:lang w:val="en-US" w:eastAsia="zh-CN"/>
              </w:rPr>
              <w:t>（60m×65m）考虑，具体吊装场地布置，结合各机位地形情况确定，原则是吊装场地靠近施工道路一侧，以减少项目投资方租用的场地。</w:t>
            </w:r>
          </w:p>
          <w:p w14:paraId="368B1C9F">
            <w:pPr>
              <w:adjustRightInd w:val="0"/>
              <w:snapToGrid w:val="0"/>
              <w:spacing w:line="360" w:lineRule="auto"/>
              <w:ind w:firstLine="480" w:firstLineChars="200"/>
              <w:rPr>
                <w:rFonts w:hint="default" w:ascii="Times New Roman" w:hAnsi="Times New Roman" w:cs="Times New Roman"/>
                <w:b w:val="0"/>
                <w:bCs w:val="0"/>
                <w:color w:val="auto"/>
                <w:sz w:val="24"/>
                <w:lang w:val="en-US" w:eastAsia="zh-CN"/>
              </w:rPr>
            </w:pPr>
            <w:r>
              <w:rPr>
                <w:rFonts w:hint="default" w:ascii="Times New Roman" w:hAnsi="Times New Roman" w:cs="Times New Roman"/>
                <w:b w:val="0"/>
                <w:bCs w:val="0"/>
                <w:color w:val="auto"/>
                <w:sz w:val="24"/>
                <w:lang w:val="en-US" w:eastAsia="zh-CN"/>
              </w:rPr>
              <w:t>本项目所需的仓库主要设有水泥库、木材库、钢筋库、砂石料堆场、机械停放场及设备堆场。仓库占地面积10000m</w:t>
            </w:r>
            <w:r>
              <w:rPr>
                <w:rFonts w:hint="default" w:ascii="Times New Roman" w:hAnsi="Times New Roman" w:cs="Times New Roman"/>
                <w:b w:val="0"/>
                <w:bCs w:val="0"/>
                <w:color w:val="auto"/>
                <w:sz w:val="24"/>
                <w:vertAlign w:val="superscript"/>
                <w:lang w:val="en-US" w:eastAsia="zh-CN"/>
              </w:rPr>
              <w:t>2</w:t>
            </w:r>
            <w:r>
              <w:rPr>
                <w:rFonts w:hint="default" w:ascii="Times New Roman" w:hAnsi="Times New Roman" w:cs="Times New Roman"/>
                <w:b w:val="0"/>
                <w:bCs w:val="0"/>
                <w:color w:val="auto"/>
                <w:sz w:val="24"/>
                <w:lang w:val="en-US" w:eastAsia="zh-CN"/>
              </w:rPr>
              <w:t>，机械停放场初步按停放50台机械考虑，占地面积10000m</w:t>
            </w:r>
            <w:r>
              <w:rPr>
                <w:rFonts w:hint="default" w:ascii="Times New Roman" w:hAnsi="Times New Roman" w:cs="Times New Roman"/>
                <w:b w:val="0"/>
                <w:bCs w:val="0"/>
                <w:color w:val="auto"/>
                <w:sz w:val="24"/>
                <w:vertAlign w:val="superscript"/>
                <w:lang w:val="en-US" w:eastAsia="zh-CN"/>
              </w:rPr>
              <w:t>2</w:t>
            </w:r>
            <w:r>
              <w:rPr>
                <w:rFonts w:hint="default" w:ascii="Times New Roman" w:hAnsi="Times New Roman" w:cs="Times New Roman"/>
                <w:b w:val="0"/>
                <w:bCs w:val="0"/>
                <w:color w:val="auto"/>
                <w:sz w:val="24"/>
                <w:lang w:val="en-US" w:eastAsia="zh-CN"/>
              </w:rPr>
              <w:t>左右。</w:t>
            </w:r>
          </w:p>
          <w:p w14:paraId="3A57E216">
            <w:pPr>
              <w:adjustRightInd w:val="0"/>
              <w:snapToGrid w:val="0"/>
              <w:spacing w:line="360" w:lineRule="auto"/>
              <w:ind w:firstLine="480" w:firstLineChars="200"/>
              <w:rPr>
                <w:rFonts w:hint="default" w:ascii="Times New Roman" w:hAnsi="Times New Roman" w:cs="Times New Roman"/>
                <w:b w:val="0"/>
                <w:bCs w:val="0"/>
                <w:color w:val="auto"/>
                <w:sz w:val="24"/>
                <w:lang w:val="en-US" w:eastAsia="zh-CN"/>
              </w:rPr>
            </w:pPr>
            <w:r>
              <w:rPr>
                <w:rFonts w:hint="default" w:ascii="Times New Roman" w:hAnsi="Times New Roman" w:cs="Times New Roman"/>
                <w:b w:val="0"/>
                <w:bCs w:val="0"/>
                <w:color w:val="auto"/>
                <w:sz w:val="24"/>
                <w:lang w:val="en-US" w:eastAsia="zh-CN"/>
              </w:rPr>
              <w:t>考虑施工场区地形及风机布置限制，施工场地位于整个场区的中部。根据施工总进度安排，本工程施工期的平均人数为300人，高峰人数为475人，经计算，施工临时办公生活区占地面积约10000m</w:t>
            </w:r>
            <w:r>
              <w:rPr>
                <w:rFonts w:hint="default" w:ascii="Times New Roman" w:hAnsi="Times New Roman" w:cs="Times New Roman"/>
                <w:b w:val="0"/>
                <w:bCs w:val="0"/>
                <w:color w:val="auto"/>
                <w:sz w:val="24"/>
                <w:vertAlign w:val="superscript"/>
                <w:lang w:val="en-US" w:eastAsia="zh-CN"/>
              </w:rPr>
              <w:t>2</w:t>
            </w:r>
            <w:r>
              <w:rPr>
                <w:rFonts w:hint="default" w:ascii="Times New Roman" w:hAnsi="Times New Roman" w:cs="Times New Roman"/>
                <w:b w:val="0"/>
                <w:bCs w:val="0"/>
                <w:color w:val="auto"/>
                <w:sz w:val="24"/>
                <w:lang w:val="en-US" w:eastAsia="zh-CN"/>
              </w:rPr>
              <w:t>。</w:t>
            </w:r>
          </w:p>
          <w:p w14:paraId="2BD073E0">
            <w:pPr>
              <w:pStyle w:val="33"/>
              <w:keepNext w:val="0"/>
              <w:keepLines w:val="0"/>
              <w:pageBreakBefore w:val="0"/>
              <w:widowControl w:val="0"/>
              <w:kinsoku/>
              <w:wordWrap/>
              <w:overflowPunct/>
              <w:topLinePunct w:val="0"/>
              <w:autoSpaceDE/>
              <w:autoSpaceDN/>
              <w:bidi w:val="0"/>
              <w:adjustRightInd w:val="0"/>
              <w:snapToGrid w:val="0"/>
              <w:spacing w:line="360" w:lineRule="auto"/>
              <w:ind w:left="0" w:right="0" w:firstLine="482" w:firstLineChars="200"/>
              <w:textAlignment w:val="auto"/>
              <w:rPr>
                <w:rFonts w:hint="default" w:ascii="Times New Roman" w:hAnsi="Times New Roman" w:cs="Times New Roman"/>
                <w:b/>
                <w:bCs/>
                <w:color w:val="auto"/>
                <w:sz w:val="24"/>
                <w:lang w:val="en-US" w:eastAsia="zh-CN"/>
              </w:rPr>
            </w:pPr>
            <w:r>
              <w:rPr>
                <w:rFonts w:hint="default" w:ascii="Times New Roman" w:hAnsi="Times New Roman" w:cs="Times New Roman"/>
                <w:b/>
                <w:bCs/>
                <w:color w:val="auto"/>
                <w:sz w:val="24"/>
                <w:lang w:val="en-US" w:eastAsia="zh-CN"/>
              </w:rPr>
              <w:t>1.2施工时序</w:t>
            </w:r>
          </w:p>
          <w:p w14:paraId="6561246E">
            <w:pPr>
              <w:pStyle w:val="33"/>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default" w:ascii="Times New Roman" w:hAnsi="Times New Roman" w:cs="Times New Roman"/>
                <w:b w:val="0"/>
                <w:bCs w:val="0"/>
                <w:color w:val="auto"/>
                <w:sz w:val="24"/>
                <w:lang w:val="en-US" w:eastAsia="zh-CN"/>
              </w:rPr>
            </w:pPr>
            <w:r>
              <w:rPr>
                <w:rFonts w:hint="default" w:ascii="Times New Roman" w:hAnsi="Times New Roman" w:cs="Times New Roman"/>
                <w:b w:val="0"/>
                <w:bCs w:val="0"/>
                <w:color w:val="auto"/>
                <w:sz w:val="24"/>
                <w:lang w:val="en-US" w:eastAsia="zh-CN"/>
              </w:rPr>
              <w:t>本工程从项目备案后至工程竣工总建设总工期为</w:t>
            </w:r>
            <w:r>
              <w:rPr>
                <w:rFonts w:hint="default" w:ascii="Times New Roman" w:hAnsi="Times New Roman" w:cs="Times New Roman"/>
                <w:b w:val="0"/>
                <w:bCs w:val="0"/>
                <w:color w:val="auto"/>
                <w:sz w:val="24"/>
                <w:lang w:val="en-US" w:eastAsia="zh-CN"/>
              </w:rPr>
              <w:t>10</w:t>
            </w:r>
            <w:r>
              <w:rPr>
                <w:rFonts w:hint="default" w:ascii="Times New Roman" w:hAnsi="Times New Roman" w:cs="Times New Roman"/>
                <w:b w:val="0"/>
                <w:bCs w:val="0"/>
                <w:color w:val="auto"/>
                <w:sz w:val="24"/>
                <w:lang w:val="en-US" w:eastAsia="zh-CN"/>
              </w:rPr>
              <w:t>个月，工程筹建准备期10天，完成临时生活设施、供水供电及进场物资等。第一月底前完成场地平整。</w:t>
            </w:r>
          </w:p>
          <w:p w14:paraId="74697337">
            <w:pPr>
              <w:pStyle w:val="33"/>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default" w:ascii="Times New Roman" w:hAnsi="Times New Roman" w:cs="Times New Roman"/>
                <w:b w:val="0"/>
                <w:bCs w:val="0"/>
                <w:color w:val="auto"/>
                <w:sz w:val="24"/>
                <w:lang w:val="en-US" w:eastAsia="zh-CN"/>
              </w:rPr>
            </w:pPr>
            <w:r>
              <w:rPr>
                <w:rFonts w:hint="default" w:ascii="Times New Roman" w:hAnsi="Times New Roman" w:cs="Times New Roman"/>
                <w:b w:val="0"/>
                <w:bCs w:val="0"/>
                <w:color w:val="auto"/>
                <w:sz w:val="24"/>
                <w:lang w:val="en-US" w:eastAsia="zh-CN"/>
              </w:rPr>
              <w:t>主体</w:t>
            </w:r>
            <w:r>
              <w:rPr>
                <w:rFonts w:hint="default" w:ascii="Times New Roman" w:hAnsi="Times New Roman" w:cs="Times New Roman"/>
                <w:b w:val="0"/>
                <w:bCs w:val="0"/>
                <w:color w:val="auto"/>
                <w:sz w:val="24"/>
                <w:lang w:val="en-US" w:eastAsia="zh-CN"/>
              </w:rPr>
              <w:t>风电</w:t>
            </w:r>
            <w:r>
              <w:rPr>
                <w:rFonts w:hint="default" w:ascii="Times New Roman" w:hAnsi="Times New Roman" w:cs="Times New Roman"/>
                <w:b w:val="0"/>
                <w:bCs w:val="0"/>
                <w:color w:val="auto"/>
                <w:sz w:val="24"/>
                <w:lang w:val="en-US" w:eastAsia="zh-CN"/>
              </w:rPr>
              <w:t>工程施工于</w:t>
            </w:r>
            <w:r>
              <w:rPr>
                <w:rFonts w:hint="default" w:ascii="Times New Roman" w:hAnsi="Times New Roman" w:cs="Times New Roman"/>
                <w:b w:val="0"/>
                <w:bCs w:val="0"/>
                <w:color w:val="auto"/>
                <w:sz w:val="24"/>
                <w:lang w:val="en-US" w:eastAsia="zh-CN"/>
              </w:rPr>
              <w:t>2026年3</w:t>
            </w:r>
            <w:r>
              <w:rPr>
                <w:rFonts w:hint="default" w:ascii="Times New Roman" w:hAnsi="Times New Roman" w:cs="Times New Roman"/>
                <w:b w:val="0"/>
                <w:bCs w:val="0"/>
                <w:color w:val="auto"/>
                <w:sz w:val="24"/>
                <w:lang w:val="en-US" w:eastAsia="zh-CN"/>
              </w:rPr>
              <w:t>月开始，1</w:t>
            </w:r>
            <w:r>
              <w:rPr>
                <w:rFonts w:hint="default" w:ascii="Times New Roman" w:hAnsi="Times New Roman" w:cs="Times New Roman"/>
                <w:b w:val="0"/>
                <w:bCs w:val="0"/>
                <w:color w:val="auto"/>
                <w:sz w:val="24"/>
                <w:lang w:val="en-US" w:eastAsia="zh-CN"/>
              </w:rPr>
              <w:t>1</w:t>
            </w:r>
            <w:r>
              <w:rPr>
                <w:rFonts w:hint="default" w:ascii="Times New Roman" w:hAnsi="Times New Roman" w:cs="Times New Roman"/>
                <w:b w:val="0"/>
                <w:bCs w:val="0"/>
                <w:color w:val="auto"/>
                <w:sz w:val="24"/>
                <w:lang w:val="en-US" w:eastAsia="zh-CN"/>
              </w:rPr>
              <w:t>月底完成工程：</w:t>
            </w:r>
          </w:p>
        </w:tc>
      </w:tr>
      <w:tr w14:paraId="4DB15A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27" w:hRule="atLeast"/>
          <w:jc w:val="center"/>
        </w:trPr>
        <w:tc>
          <w:tcPr>
            <w:tcW w:w="710" w:type="dxa"/>
            <w:noWrap w:val="0"/>
            <w:vAlign w:val="center"/>
          </w:tcPr>
          <w:p w14:paraId="7BE32768">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施工方案</w:t>
            </w:r>
          </w:p>
        </w:tc>
        <w:tc>
          <w:tcPr>
            <w:tcW w:w="8441" w:type="dxa"/>
            <w:noWrap w:val="0"/>
            <w:vAlign w:val="center"/>
          </w:tcPr>
          <w:p w14:paraId="1EBF3CF8">
            <w:pPr>
              <w:pStyle w:val="33"/>
              <w:keepNext w:val="0"/>
              <w:keepLines w:val="0"/>
              <w:pageBreakBefore w:val="0"/>
              <w:widowControl w:val="0"/>
              <w:kinsoku/>
              <w:wordWrap/>
              <w:overflowPunct/>
              <w:topLinePunct w:val="0"/>
              <w:autoSpaceDE/>
              <w:autoSpaceDN/>
              <w:bidi w:val="0"/>
              <w:adjustRightInd w:val="0"/>
              <w:snapToGrid w:val="0"/>
              <w:spacing w:line="360" w:lineRule="auto"/>
              <w:ind w:left="0" w:right="0" w:firstLine="482" w:firstLineChars="200"/>
              <w:textAlignment w:val="auto"/>
              <w:rPr>
                <w:rFonts w:hint="default" w:ascii="Times New Roman" w:hAnsi="Times New Roman" w:cs="Times New Roman"/>
                <w:b/>
                <w:bCs/>
                <w:color w:val="auto"/>
                <w:kern w:val="2"/>
                <w:szCs w:val="24"/>
              </w:rPr>
            </w:pPr>
            <w:r>
              <w:rPr>
                <w:rFonts w:hint="default" w:ascii="Times New Roman" w:hAnsi="Times New Roman" w:cs="Times New Roman"/>
                <w:b/>
                <w:bCs/>
                <w:color w:val="auto"/>
                <w:kern w:val="2"/>
                <w:szCs w:val="24"/>
                <w:lang w:val="en-US" w:eastAsia="zh-CN"/>
              </w:rPr>
              <w:t>1、</w:t>
            </w:r>
            <w:r>
              <w:rPr>
                <w:rFonts w:hint="default" w:ascii="Times New Roman" w:hAnsi="Times New Roman" w:eastAsia="宋体" w:cs="Times New Roman"/>
                <w:b/>
                <w:bCs/>
                <w:color w:val="auto"/>
                <w:sz w:val="24"/>
                <w:lang w:val="en-US" w:eastAsia="zh-CN"/>
              </w:rPr>
              <w:t>风电发电组件的建设施工期工艺流程</w:t>
            </w:r>
          </w:p>
          <w:p w14:paraId="08CDAF0C">
            <w:pPr>
              <w:pStyle w:val="33"/>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风电发电组件的建设施工期工艺流程及排污节点如下图所示：</w:t>
            </w:r>
          </w:p>
          <w:p w14:paraId="096A1758">
            <w:pPr>
              <w:pStyle w:val="4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drawing>
                <wp:inline distT="0" distB="0" distL="114300" distR="114300">
                  <wp:extent cx="5273675" cy="1169670"/>
                  <wp:effectExtent l="0" t="0" r="3175" b="11430"/>
                  <wp:docPr id="11" name="图片 8" descr="15995611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1599561186(1)"/>
                          <pic:cNvPicPr>
                            <a:picLocks noChangeAspect="1"/>
                          </pic:cNvPicPr>
                        </pic:nvPicPr>
                        <pic:blipFill>
                          <a:blip r:embed="rId14"/>
                          <a:stretch>
                            <a:fillRect/>
                          </a:stretch>
                        </pic:blipFill>
                        <pic:spPr>
                          <a:xfrm>
                            <a:off x="0" y="0"/>
                            <a:ext cx="5273675" cy="1169670"/>
                          </a:xfrm>
                          <a:prstGeom prst="rect">
                            <a:avLst/>
                          </a:prstGeom>
                          <a:noFill/>
                          <a:ln>
                            <a:noFill/>
                          </a:ln>
                        </pic:spPr>
                      </pic:pic>
                    </a:graphicData>
                  </a:graphic>
                </wp:inline>
              </w:drawing>
            </w:r>
          </w:p>
          <w:p w14:paraId="4FCD4D21">
            <w:pPr>
              <w:keepNext w:val="0"/>
              <w:keepLines w:val="0"/>
              <w:widowControl/>
              <w:suppressLineNumbers w:val="0"/>
              <w:jc w:val="center"/>
              <w:rPr>
                <w:rFonts w:hint="default" w:ascii="Times New Roman" w:hAnsi="Times New Roman" w:cs="Times New Roman"/>
                <w:b w:val="0"/>
                <w:bCs w:val="0"/>
                <w:snapToGrid w:val="0"/>
                <w:color w:val="auto"/>
                <w:szCs w:val="24"/>
                <w:lang w:val="en-US" w:eastAsia="zh-CN"/>
              </w:rPr>
            </w:pPr>
            <w:r>
              <w:rPr>
                <w:rFonts w:hint="default" w:ascii="Times New Roman" w:hAnsi="Times New Roman" w:eastAsia="宋体" w:cs="Times New Roman"/>
                <w:b/>
                <w:color w:val="auto"/>
                <w:kern w:val="0"/>
                <w:sz w:val="24"/>
                <w:szCs w:val="24"/>
                <w:lang w:val="en-US" w:eastAsia="zh-CN" w:bidi="ar"/>
              </w:rPr>
              <w:t>图3-</w:t>
            </w:r>
            <w:r>
              <w:rPr>
                <w:rFonts w:hint="default" w:ascii="Times New Roman" w:hAnsi="Times New Roman" w:cs="Times New Roman"/>
                <w:b/>
                <w:color w:val="auto"/>
                <w:kern w:val="0"/>
                <w:sz w:val="24"/>
                <w:szCs w:val="24"/>
                <w:lang w:val="en-US" w:eastAsia="zh-CN" w:bidi="ar"/>
              </w:rPr>
              <w:t>2</w:t>
            </w:r>
            <w:r>
              <w:rPr>
                <w:rFonts w:hint="default" w:ascii="Times New Roman" w:hAnsi="Times New Roman" w:eastAsia="宋体" w:cs="Times New Roman"/>
                <w:b/>
                <w:color w:val="auto"/>
                <w:kern w:val="0"/>
                <w:sz w:val="24"/>
                <w:szCs w:val="24"/>
                <w:lang w:val="en-US" w:eastAsia="zh-CN" w:bidi="ar"/>
              </w:rPr>
              <w:t>风电机发电组件建设施工期工艺流程图</w:t>
            </w:r>
          </w:p>
          <w:p w14:paraId="1EBC9EB4">
            <w:pPr>
              <w:pStyle w:val="38"/>
              <w:snapToGrid w:val="0"/>
              <w:spacing w:line="360" w:lineRule="auto"/>
              <w:ind w:firstLine="480" w:firstLineChars="200"/>
              <w:jc w:val="left"/>
              <w:rPr>
                <w:rFonts w:hint="default" w:ascii="Times New Roman" w:hAnsi="Times New Roman" w:cs="Times New Roman"/>
                <w:b w:val="0"/>
                <w:bCs w:val="0"/>
                <w:snapToGrid w:val="0"/>
                <w:color w:val="auto"/>
                <w:szCs w:val="24"/>
                <w:lang w:val="en-US" w:eastAsia="zh-CN"/>
              </w:rPr>
            </w:pPr>
            <w:r>
              <w:rPr>
                <w:rFonts w:hint="default" w:ascii="Times New Roman" w:hAnsi="Times New Roman" w:cs="Times New Roman"/>
                <w:b w:val="0"/>
                <w:bCs w:val="0"/>
                <w:snapToGrid w:val="0"/>
                <w:color w:val="auto"/>
                <w:szCs w:val="24"/>
                <w:lang w:val="en-US" w:eastAsia="zh-CN"/>
              </w:rPr>
              <w:t>（1）根据施工现场坐标控制点，包括基线和水平基准点，定出基础轴线，再根据轴线定出基坑开挖线。利用白灰进行放线。灰线、轴线经复核检查无误后方可进行挖土施工。</w:t>
            </w:r>
          </w:p>
          <w:p w14:paraId="05344387">
            <w:pPr>
              <w:pStyle w:val="38"/>
              <w:snapToGrid w:val="0"/>
              <w:spacing w:line="360" w:lineRule="auto"/>
              <w:ind w:firstLine="480" w:firstLineChars="200"/>
              <w:jc w:val="left"/>
              <w:rPr>
                <w:rFonts w:hint="default" w:ascii="Times New Roman" w:hAnsi="Times New Roman" w:eastAsia="宋体" w:cs="Times New Roman"/>
                <w:b/>
                <w:bCs w:val="0"/>
                <w:color w:val="auto"/>
                <w:kern w:val="0"/>
                <w:sz w:val="24"/>
                <w:szCs w:val="24"/>
                <w:lang w:val="en-US" w:eastAsia="zh-CN" w:bidi="ar"/>
              </w:rPr>
            </w:pPr>
            <w:r>
              <w:rPr>
                <w:rFonts w:hint="default" w:ascii="Times New Roman" w:hAnsi="Times New Roman" w:cs="Times New Roman"/>
                <w:b w:val="0"/>
                <w:bCs w:val="0"/>
                <w:snapToGrid w:val="0"/>
                <w:color w:val="auto"/>
                <w:szCs w:val="24"/>
                <w:lang w:val="en-US" w:eastAsia="zh-CN"/>
              </w:rPr>
              <w:t>（2）箱式变压器的基础采用混凝土形式基础。首先用小型挖掘机进行基础开挖，并辅以人工</w:t>
            </w:r>
            <w:r>
              <w:rPr>
                <w:rFonts w:hint="default" w:ascii="Times New Roman" w:hAnsi="Times New Roman" w:cs="Times New Roman"/>
                <w:b w:val="0"/>
                <w:bCs w:val="0"/>
                <w:snapToGrid w:val="0"/>
                <w:color w:val="auto"/>
                <w:szCs w:val="24"/>
                <w:lang w:val="en-US" w:eastAsia="zh-CN"/>
              </w:rPr>
              <w:t>修整</w:t>
            </w:r>
            <w:r>
              <w:rPr>
                <w:rFonts w:hint="default" w:ascii="Times New Roman" w:hAnsi="Times New Roman" w:cs="Times New Roman"/>
                <w:b w:val="0"/>
                <w:bCs w:val="0"/>
                <w:snapToGrid w:val="0"/>
                <w:color w:val="auto"/>
                <w:szCs w:val="24"/>
                <w:lang w:val="en-US" w:eastAsia="zh-CN"/>
              </w:rPr>
              <w:t>基坑边坡，基础开挖完工后，应将基坑清理干净，进行验收。基坑验收完毕后，根据地质情况对基础做出处理。浇筑基础混凝土时，先浇筑10cm厚度的C20混凝土垫层，待混凝土达到设计强度后，再进行绑扎钢筋、架设模板，浇筑C40基础混凝土，砼经过7～14d的养护期，达到相应的强度后即可进行设备安装。</w:t>
            </w:r>
          </w:p>
        </w:tc>
      </w:tr>
      <w:tr w14:paraId="3F21C1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0" w:type="dxa"/>
            <w:noWrap w:val="0"/>
            <w:vAlign w:val="center"/>
          </w:tcPr>
          <w:p w14:paraId="6112F4CD">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其他</w:t>
            </w:r>
          </w:p>
        </w:tc>
        <w:tc>
          <w:tcPr>
            <w:tcW w:w="8441" w:type="dxa"/>
            <w:noWrap w:val="0"/>
            <w:vAlign w:val="center"/>
          </w:tcPr>
          <w:p w14:paraId="11EA43FE">
            <w:pPr>
              <w:pStyle w:val="31"/>
              <w:ind w:firstLine="0" w:firstLineChars="0"/>
              <w:jc w:val="center"/>
              <w:rPr>
                <w:rFonts w:hint="default" w:ascii="Times New Roman" w:hAnsi="Times New Roman" w:cs="Times New Roman"/>
                <w:color w:val="auto"/>
                <w:szCs w:val="24"/>
              </w:rPr>
            </w:pPr>
            <w:r>
              <w:rPr>
                <w:rFonts w:hint="default" w:ascii="Times New Roman" w:hAnsi="Times New Roman" w:cs="Times New Roman"/>
                <w:color w:val="auto"/>
                <w:szCs w:val="24"/>
              </w:rPr>
              <w:t>无</w:t>
            </w:r>
          </w:p>
        </w:tc>
      </w:tr>
    </w:tbl>
    <w:p w14:paraId="4F53DDFB">
      <w:pPr>
        <w:pStyle w:val="21"/>
        <w:jc w:val="center"/>
        <w:outlineLvl w:val="0"/>
        <w:rPr>
          <w:rFonts w:hint="default" w:ascii="Times New Roman" w:hAnsi="Times New Roman" w:cs="Times New Roman"/>
          <w:snapToGrid w:val="0"/>
          <w:color w:val="auto"/>
        </w:rPr>
      </w:pPr>
      <w:r>
        <w:rPr>
          <w:rFonts w:hint="default" w:ascii="Times New Roman" w:hAnsi="Times New Roman" w:cs="Times New Roman"/>
          <w:b/>
          <w:bCs/>
          <w:color w:val="auto"/>
        </w:rPr>
        <w:br w:type="page"/>
      </w:r>
      <w:bookmarkStart w:id="5" w:name="_Toc18348"/>
      <w:r>
        <w:rPr>
          <w:rFonts w:hint="default" w:ascii="Times New Roman" w:hAnsi="Times New Roman" w:eastAsia="黑体" w:cs="Times New Roman"/>
          <w:snapToGrid w:val="0"/>
          <w:color w:val="auto"/>
          <w:sz w:val="30"/>
          <w:szCs w:val="30"/>
        </w:rPr>
        <w:t>三、生态环境现状、保护目标及评价标准</w:t>
      </w:r>
      <w:bookmarkEnd w:id="5"/>
    </w:p>
    <w:tbl>
      <w:tblPr>
        <w:tblStyle w:val="22"/>
        <w:tblW w:w="915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1"/>
        <w:gridCol w:w="8436"/>
      </w:tblGrid>
      <w:tr w14:paraId="0AA5CB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90" w:hRule="atLeast"/>
          <w:jc w:val="center"/>
        </w:trPr>
        <w:tc>
          <w:tcPr>
            <w:tcW w:w="721" w:type="dxa"/>
            <w:noWrap w:val="0"/>
            <w:vAlign w:val="center"/>
          </w:tcPr>
          <w:p w14:paraId="71399274">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生态环境现状</w:t>
            </w:r>
          </w:p>
        </w:tc>
        <w:tc>
          <w:tcPr>
            <w:tcW w:w="8436" w:type="dxa"/>
            <w:noWrap w:val="0"/>
            <w:vAlign w:val="center"/>
          </w:tcPr>
          <w:p w14:paraId="23BCB64B">
            <w:pPr>
              <w:numPr>
                <w:ilvl w:val="0"/>
                <w:numId w:val="0"/>
              </w:numPr>
              <w:adjustRightInd w:val="0"/>
              <w:snapToGrid w:val="0"/>
              <w:spacing w:line="360" w:lineRule="auto"/>
              <w:ind w:firstLine="482" w:firstLineChars="200"/>
              <w:rPr>
                <w:rFonts w:hint="default" w:ascii="Times New Roman" w:hAnsi="Times New Roman" w:cs="Times New Roman"/>
                <w:b/>
                <w:bCs/>
                <w:color w:val="auto"/>
                <w:kern w:val="0"/>
                <w:sz w:val="24"/>
              </w:rPr>
            </w:pPr>
            <w:r>
              <w:rPr>
                <w:rFonts w:hint="default"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rPr>
              <w:t>、</w:t>
            </w:r>
            <w:r>
              <w:rPr>
                <w:rFonts w:hint="default" w:ascii="Times New Roman" w:hAnsi="Times New Roman" w:cs="Times New Roman"/>
                <w:b/>
                <w:bCs/>
                <w:color w:val="auto"/>
                <w:kern w:val="0"/>
                <w:sz w:val="24"/>
              </w:rPr>
              <w:t>生态环境现状</w:t>
            </w:r>
          </w:p>
          <w:p w14:paraId="691D894F">
            <w:pPr>
              <w:numPr>
                <w:ilvl w:val="0"/>
                <w:numId w:val="0"/>
              </w:numPr>
              <w:adjustRightInd w:val="0"/>
              <w:snapToGrid w:val="0"/>
              <w:spacing w:line="360" w:lineRule="auto"/>
              <w:ind w:firstLine="482" w:firstLineChars="200"/>
              <w:rPr>
                <w:rFonts w:hint="default" w:ascii="Times New Roman" w:hAnsi="Times New Roman" w:cs="Times New Roman"/>
                <w:b/>
                <w:bCs/>
                <w:color w:val="auto"/>
                <w:kern w:val="0"/>
                <w:sz w:val="24"/>
                <w:lang w:val="en-US" w:eastAsia="zh-CN"/>
              </w:rPr>
            </w:pPr>
            <w:r>
              <w:rPr>
                <w:rFonts w:hint="default" w:ascii="Times New Roman" w:hAnsi="Times New Roman" w:cs="Times New Roman"/>
                <w:b/>
                <w:bCs/>
                <w:color w:val="auto"/>
                <w:kern w:val="0"/>
                <w:sz w:val="24"/>
                <w:lang w:val="en-US" w:eastAsia="zh-CN"/>
              </w:rPr>
              <w:t>1.1主体功能区划</w:t>
            </w:r>
          </w:p>
          <w:p w14:paraId="3DBB0CEA">
            <w:pPr>
              <w:numPr>
                <w:ilvl w:val="0"/>
                <w:numId w:val="0"/>
              </w:numPr>
              <w:adjustRightInd w:val="0"/>
              <w:snapToGrid w:val="0"/>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新疆维吾尔自治区主体功能区规划》，新疆国土空间划分为重点开发、限制开发和禁止开发区域；按开发内容，分为城市化地区、农产品主产区和重点生态功能区；按层级，包括国家和自治区两个层面。本项目位于新疆维吾尔自治区昌吉回族自治州</w:t>
            </w:r>
            <w:r>
              <w:rPr>
                <w:rFonts w:hint="default" w:ascii="Times New Roman" w:hAnsi="Times New Roman" w:cs="Times New Roman"/>
                <w:color w:val="auto"/>
                <w:sz w:val="24"/>
                <w:szCs w:val="24"/>
                <w:lang w:eastAsia="zh-CN"/>
              </w:rPr>
              <w:t>木垒哈萨克自治县</w:t>
            </w:r>
            <w:r>
              <w:rPr>
                <w:rFonts w:hint="default" w:ascii="Times New Roman" w:hAnsi="Times New Roman" w:eastAsia="宋体" w:cs="Times New Roman"/>
                <w:color w:val="auto"/>
                <w:sz w:val="24"/>
                <w:szCs w:val="24"/>
              </w:rPr>
              <w:t>县城北侧；不属于主体功能区划中确定的国家和自治区层面的禁止开发区域。对照《新疆维吾尔自治区主体功能区规划》的划分，</w:t>
            </w:r>
            <w:r>
              <w:rPr>
                <w:rFonts w:hint="default" w:ascii="Times New Roman" w:hAnsi="Times New Roman" w:cs="Times New Roman"/>
                <w:color w:val="auto"/>
                <w:sz w:val="24"/>
                <w:szCs w:val="24"/>
                <w:lang w:eastAsia="zh-CN"/>
              </w:rPr>
              <w:t>木垒哈萨克自治县</w:t>
            </w:r>
            <w:r>
              <w:rPr>
                <w:rFonts w:hint="default" w:ascii="Times New Roman" w:hAnsi="Times New Roman" w:eastAsia="宋体" w:cs="Times New Roman"/>
                <w:color w:val="auto"/>
                <w:sz w:val="24"/>
                <w:szCs w:val="24"/>
              </w:rPr>
              <w:t>属于自治区级点状开发城镇。项目区主体功能区划图见附图5。</w:t>
            </w:r>
          </w:p>
          <w:p w14:paraId="05EADB51">
            <w:pPr>
              <w:adjustRightInd w:val="0"/>
              <w:snapToGrid w:val="0"/>
              <w:spacing w:line="360" w:lineRule="auto"/>
              <w:ind w:firstLine="480" w:firstLineChars="200"/>
              <w:rPr>
                <w:rFonts w:hint="default" w:ascii="Times New Roman" w:hAnsi="Times New Roman" w:cs="Times New Roman"/>
                <w:color w:val="auto"/>
                <w:sz w:val="24"/>
                <w:szCs w:val="24"/>
                <w:lang w:eastAsia="zh-CN"/>
              </w:rPr>
            </w:pPr>
            <w:r>
              <w:rPr>
                <w:rFonts w:hint="default" w:ascii="Times New Roman" w:hAnsi="Times New Roman" w:eastAsia="宋体" w:cs="Times New Roman"/>
                <w:color w:val="auto"/>
                <w:sz w:val="24"/>
                <w:szCs w:val="24"/>
              </w:rPr>
              <w:t>开发原则：统筹规划有限的绿洲空间；健全城市规模结构；加强基础设施建设；加快建立现代产业体系；保护生态环境；高效利用水资源，保护水环境，提高水质量；把握开发时序。相符性分析：本项目为电力能源基础设施建设项目，项目所在区域不在生态红线区内，符合“加强基础设施建设”</w:t>
            </w:r>
            <w:r>
              <w:rPr>
                <w:rFonts w:hint="default" w:ascii="Times New Roman" w:hAnsi="Times New Roman" w:cs="Times New Roman"/>
                <w:color w:val="auto"/>
                <w:sz w:val="24"/>
                <w:szCs w:val="24"/>
                <w:lang w:eastAsia="zh-CN"/>
              </w:rPr>
              <w:t>的开发原则</w:t>
            </w:r>
            <w:r>
              <w:rPr>
                <w:rFonts w:hint="default" w:ascii="Times New Roman" w:hAnsi="Times New Roman" w:eastAsia="宋体" w:cs="Times New Roman"/>
                <w:color w:val="auto"/>
                <w:sz w:val="24"/>
                <w:szCs w:val="24"/>
              </w:rPr>
              <w:t>；本工程为增容扩建工程，在原有占地范围内建设，无新增占地。要求建设单位需对开发活动严格控制，尽可能减少对生态系统的干扰；在项目实施过程中积极采取生态保护措施，防沙治沙措施，加强对生态系统保护和恢复，高度注意保护植被，保护野生动物，保护地貌，维护自然生态环境，积极落实本环评提出的各项生态环境保护措施，因此，本项目建设符合《新疆维吾尔自治区主体功能区规划》</w:t>
            </w:r>
            <w:r>
              <w:rPr>
                <w:rFonts w:hint="default" w:ascii="Times New Roman" w:hAnsi="Times New Roman" w:cs="Times New Roman"/>
                <w:color w:val="auto"/>
                <w:sz w:val="24"/>
                <w:szCs w:val="24"/>
                <w:lang w:eastAsia="zh-CN"/>
              </w:rPr>
              <w:t>对</w:t>
            </w:r>
            <w:r>
              <w:rPr>
                <w:rFonts w:hint="default" w:ascii="Times New Roman" w:hAnsi="Times New Roman" w:eastAsia="宋体" w:cs="Times New Roman"/>
                <w:color w:val="auto"/>
                <w:sz w:val="24"/>
                <w:szCs w:val="24"/>
              </w:rPr>
              <w:t>项目区块的开发原则，与区域生态功能的保护是协调的</w:t>
            </w:r>
            <w:r>
              <w:rPr>
                <w:rFonts w:hint="default" w:ascii="Times New Roman" w:hAnsi="Times New Roman" w:cs="Times New Roman"/>
                <w:color w:val="auto"/>
                <w:sz w:val="24"/>
                <w:szCs w:val="24"/>
                <w:lang w:eastAsia="zh-CN"/>
              </w:rPr>
              <w:t>。</w:t>
            </w:r>
          </w:p>
          <w:p w14:paraId="79283D47">
            <w:pPr>
              <w:adjustRightInd w:val="0"/>
              <w:snapToGrid w:val="0"/>
              <w:spacing w:line="360" w:lineRule="auto"/>
              <w:ind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本项目为</w:t>
            </w:r>
            <w:r>
              <w:rPr>
                <w:rFonts w:hint="default" w:ascii="Times New Roman" w:hAnsi="Times New Roman" w:cs="Times New Roman"/>
                <w:color w:val="auto"/>
                <w:kern w:val="0"/>
                <w:sz w:val="24"/>
                <w:lang w:val="en-US" w:eastAsia="zh-CN"/>
              </w:rPr>
              <w:t>风力发电项目</w:t>
            </w:r>
            <w:r>
              <w:rPr>
                <w:rFonts w:hint="default" w:ascii="Times New Roman" w:hAnsi="Times New Roman" w:cs="Times New Roman"/>
                <w:color w:val="auto"/>
                <w:kern w:val="0"/>
                <w:sz w:val="24"/>
              </w:rPr>
              <w:t>建设工程，主要占地为</w:t>
            </w:r>
            <w:r>
              <w:rPr>
                <w:rFonts w:hint="default" w:ascii="Times New Roman" w:hAnsi="Times New Roman" w:cs="Times New Roman"/>
                <w:color w:val="auto"/>
                <w:sz w:val="24"/>
                <w:szCs w:val="24"/>
                <w:lang w:eastAsia="zh-CN"/>
              </w:rPr>
              <w:t>天然牧草地</w:t>
            </w:r>
            <w:r>
              <w:rPr>
                <w:rFonts w:hint="default" w:ascii="Times New Roman" w:hAnsi="Times New Roman" w:cs="Times New Roman"/>
                <w:color w:val="auto"/>
                <w:kern w:val="0"/>
                <w:sz w:val="24"/>
              </w:rPr>
              <w:t>，根据现场踏勘，</w:t>
            </w:r>
            <w:r>
              <w:rPr>
                <w:rFonts w:hint="default" w:ascii="Times New Roman" w:hAnsi="Times New Roman" w:cs="Times New Roman"/>
                <w:color w:val="auto"/>
                <w:kern w:val="0"/>
                <w:sz w:val="24"/>
                <w:szCs w:val="24"/>
                <w:lang w:val="en-US" w:eastAsia="zh-CN"/>
              </w:rPr>
              <w:t>植物有针茅（Stipaglareosa）、芨芨草（Achnatherumsplendens）以及其他杂草类</w:t>
            </w:r>
            <w:r>
              <w:rPr>
                <w:rFonts w:hint="default" w:ascii="Times New Roman" w:hAnsi="Times New Roman" w:cs="Times New Roman"/>
                <w:color w:val="auto"/>
                <w:kern w:val="0"/>
                <w:sz w:val="24"/>
              </w:rPr>
              <w:t>。项目区无国家级、自治区级保护植物分布。</w:t>
            </w:r>
          </w:p>
          <w:p w14:paraId="3BC70483">
            <w:pPr>
              <w:adjustRightInd w:val="0"/>
              <w:snapToGrid w:val="0"/>
              <w:spacing w:line="360" w:lineRule="auto"/>
              <w:ind w:firstLine="482" w:firstLineChars="200"/>
              <w:rPr>
                <w:rFonts w:hint="default" w:ascii="Times New Roman" w:hAnsi="Times New Roman" w:eastAsia="宋体" w:cs="Times New Roman"/>
                <w:b/>
                <w:bCs/>
                <w:color w:val="auto"/>
                <w:kern w:val="0"/>
                <w:sz w:val="24"/>
                <w:lang w:val="en-US" w:eastAsia="zh-CN"/>
              </w:rPr>
            </w:pPr>
            <w:r>
              <w:rPr>
                <w:rFonts w:hint="default" w:ascii="Times New Roman" w:hAnsi="Times New Roman" w:cs="Times New Roman"/>
                <w:b/>
                <w:bCs/>
                <w:color w:val="auto"/>
                <w:kern w:val="0"/>
                <w:sz w:val="24"/>
                <w:lang w:val="en-US" w:eastAsia="zh-CN"/>
              </w:rPr>
              <w:t>1.2新疆生态功能区划</w:t>
            </w:r>
          </w:p>
          <w:p w14:paraId="1B0C76EE">
            <w:pPr>
              <w:adjustRightInd w:val="0"/>
              <w:snapToGrid w:val="0"/>
              <w:spacing w:line="360" w:lineRule="auto"/>
              <w:ind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项目区附近无大型野生动物，区域现状野生动物以鸟类、爬行动物和啮齿类动物为主，动物种类和数量较少。</w:t>
            </w:r>
          </w:p>
          <w:p w14:paraId="0099EA8D">
            <w:pPr>
              <w:adjustRightInd w:val="0"/>
              <w:snapToGrid w:val="0"/>
              <w:spacing w:line="360" w:lineRule="auto"/>
              <w:ind w:firstLine="480" w:firstLineChars="200"/>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根据《新疆生态功能区划》，</w:t>
            </w:r>
            <w:r>
              <w:rPr>
                <w:rFonts w:hint="default" w:ascii="Times New Roman" w:hAnsi="Times New Roman" w:eastAsia="宋体" w:cs="Times New Roman"/>
                <w:color w:val="auto"/>
                <w:sz w:val="24"/>
                <w:szCs w:val="24"/>
              </w:rPr>
              <w:t>根据《新疆生态功能区划》，项目所在区域属于</w:t>
            </w:r>
            <w:r>
              <w:rPr>
                <w:rFonts w:hint="default" w:ascii="Times New Roman" w:hAnsi="Times New Roman" w:eastAsia="宋体" w:cs="Times New Roman"/>
                <w:color w:val="auto"/>
                <w:sz w:val="24"/>
                <w:szCs w:val="24"/>
              </w:rPr>
              <w:t>为准噶尔盆地南部荒漠绿洲农业生态亚区，阜康-木垒绿洲农业、荒漠草地保护生态功能区</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28</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w:t>
            </w:r>
          </w:p>
          <w:p w14:paraId="3663E893">
            <w:pPr>
              <w:pStyle w:val="38"/>
              <w:spacing w:line="440" w:lineRule="exact"/>
              <w:ind w:firstLine="0" w:firstLineChars="0"/>
              <w:jc w:val="center"/>
              <w:textAlignment w:val="baseline"/>
              <w:rPr>
                <w:rFonts w:hint="default" w:ascii="Times New Roman" w:hAnsi="Times New Roman" w:eastAsia="宋体" w:cs="Times New Roman"/>
                <w:b/>
                <w:bCs w:val="0"/>
                <w:snapToGrid w:val="0"/>
                <w:color w:val="auto"/>
                <w:sz w:val="21"/>
                <w:szCs w:val="22"/>
              </w:rPr>
            </w:pPr>
            <w:r>
              <w:rPr>
                <w:rFonts w:hint="default" w:ascii="Times New Roman" w:hAnsi="Times New Roman" w:eastAsia="宋体" w:cs="Times New Roman"/>
                <w:b/>
                <w:bCs w:val="0"/>
                <w:snapToGrid w:val="0"/>
                <w:color w:val="auto"/>
                <w:sz w:val="21"/>
                <w:szCs w:val="22"/>
              </w:rPr>
              <w:t>表3-1项目区生态功能区划简表</w:t>
            </w:r>
          </w:p>
          <w:tbl>
            <w:tblPr>
              <w:tblStyle w:val="22"/>
              <w:tblW w:w="82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78"/>
              <w:gridCol w:w="1388"/>
              <w:gridCol w:w="972"/>
              <w:gridCol w:w="972"/>
              <w:gridCol w:w="972"/>
              <w:gridCol w:w="822"/>
              <w:gridCol w:w="1050"/>
              <w:gridCol w:w="763"/>
            </w:tblGrid>
            <w:tr w14:paraId="70AD3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622" w:type="pct"/>
                  <w:gridSpan w:val="2"/>
                  <w:tcBorders>
                    <w:top w:val="single" w:color="000000" w:sz="4" w:space="0"/>
                    <w:left w:val="single" w:color="000000" w:sz="4" w:space="0"/>
                    <w:bottom w:val="single" w:color="000000" w:sz="4" w:space="0"/>
                    <w:right w:val="single" w:color="000000" w:sz="4" w:space="0"/>
                  </w:tcBorders>
                  <w:noWrap w:val="0"/>
                  <w:vAlign w:val="center"/>
                </w:tcPr>
                <w:p w14:paraId="063DDD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生态功能分区单元</w:t>
                  </w:r>
                </w:p>
              </w:tc>
              <w:tc>
                <w:tcPr>
                  <w:tcW w:w="591" w:type="pct"/>
                  <w:vMerge w:val="restart"/>
                  <w:tcBorders>
                    <w:top w:val="single" w:color="000000" w:sz="4" w:space="0"/>
                    <w:left w:val="single" w:color="000000" w:sz="4" w:space="0"/>
                    <w:bottom w:val="single" w:color="000000" w:sz="4" w:space="0"/>
                    <w:right w:val="single" w:color="000000" w:sz="4" w:space="0"/>
                  </w:tcBorders>
                  <w:noWrap w:val="0"/>
                  <w:vAlign w:val="center"/>
                </w:tcPr>
                <w:p w14:paraId="0AD58E0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主要生态服务功能</w:t>
                  </w:r>
                </w:p>
              </w:tc>
              <w:tc>
                <w:tcPr>
                  <w:tcW w:w="591" w:type="pct"/>
                  <w:vMerge w:val="restart"/>
                  <w:tcBorders>
                    <w:top w:val="single" w:color="000000" w:sz="4" w:space="0"/>
                    <w:left w:val="single" w:color="000000" w:sz="4" w:space="0"/>
                    <w:bottom w:val="single" w:color="000000" w:sz="4" w:space="0"/>
                    <w:right w:val="single" w:color="000000" w:sz="4" w:space="0"/>
                  </w:tcBorders>
                  <w:noWrap w:val="0"/>
                  <w:vAlign w:val="center"/>
                </w:tcPr>
                <w:p w14:paraId="43286EB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主要生态功能问题</w:t>
                  </w:r>
                </w:p>
              </w:tc>
              <w:tc>
                <w:tcPr>
                  <w:tcW w:w="591" w:type="pct"/>
                  <w:vMerge w:val="restart"/>
                  <w:tcBorders>
                    <w:top w:val="single" w:color="000000" w:sz="4" w:space="0"/>
                    <w:left w:val="single" w:color="000000" w:sz="4" w:space="0"/>
                    <w:bottom w:val="single" w:color="000000" w:sz="4" w:space="0"/>
                    <w:right w:val="single" w:color="000000" w:sz="4" w:space="0"/>
                  </w:tcBorders>
                  <w:noWrap w:val="0"/>
                  <w:vAlign w:val="center"/>
                </w:tcPr>
                <w:p w14:paraId="78ABAA7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Times New Roman" w:hAnsi="Times New Roman"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主要生态敏感因子、敏感程度</w:t>
                  </w:r>
                </w:p>
              </w:tc>
              <w:tc>
                <w:tcPr>
                  <w:tcW w:w="500" w:type="pct"/>
                  <w:vMerge w:val="restart"/>
                  <w:tcBorders>
                    <w:top w:val="single" w:color="000000" w:sz="4" w:space="0"/>
                    <w:left w:val="single" w:color="000000" w:sz="4" w:space="0"/>
                    <w:bottom w:val="single" w:color="000000" w:sz="4" w:space="0"/>
                    <w:right w:val="single" w:color="000000" w:sz="4" w:space="0"/>
                  </w:tcBorders>
                  <w:noWrap w:val="0"/>
                  <w:vAlign w:val="center"/>
                </w:tcPr>
                <w:p w14:paraId="4D756D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主要保护目标</w:t>
                  </w:r>
                </w:p>
              </w:tc>
              <w:tc>
                <w:tcPr>
                  <w:tcW w:w="638" w:type="pct"/>
                  <w:vMerge w:val="restart"/>
                  <w:tcBorders>
                    <w:top w:val="single" w:color="000000" w:sz="4" w:space="0"/>
                    <w:left w:val="single" w:color="000000" w:sz="4" w:space="0"/>
                    <w:bottom w:val="single" w:color="000000" w:sz="4" w:space="0"/>
                    <w:right w:val="single" w:color="000000" w:sz="4" w:space="0"/>
                  </w:tcBorders>
                  <w:noWrap w:val="0"/>
                  <w:vAlign w:val="center"/>
                </w:tcPr>
                <w:p w14:paraId="1064008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主要保护措施</w:t>
                  </w:r>
                </w:p>
              </w:tc>
              <w:tc>
                <w:tcPr>
                  <w:tcW w:w="464" w:type="pct"/>
                  <w:vMerge w:val="restart"/>
                  <w:tcBorders>
                    <w:top w:val="single" w:color="000000" w:sz="4" w:space="0"/>
                    <w:left w:val="single" w:color="000000" w:sz="4" w:space="0"/>
                    <w:bottom w:val="single" w:color="000000" w:sz="4" w:space="0"/>
                    <w:right w:val="single" w:color="000000" w:sz="4" w:space="0"/>
                  </w:tcBorders>
                  <w:noWrap w:val="0"/>
                  <w:vAlign w:val="center"/>
                </w:tcPr>
                <w:p w14:paraId="59FAE6D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适宜发展方向</w:t>
                  </w:r>
                </w:p>
              </w:tc>
            </w:tr>
            <w:tr w14:paraId="04E27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8" w:hRule="atLeast"/>
              </w:trPr>
              <w:tc>
                <w:tcPr>
                  <w:tcW w:w="777" w:type="pct"/>
                  <w:tcBorders>
                    <w:top w:val="single" w:color="000000" w:sz="4" w:space="0"/>
                    <w:left w:val="single" w:color="000000" w:sz="4" w:space="0"/>
                    <w:bottom w:val="single" w:color="000000" w:sz="4" w:space="0"/>
                    <w:right w:val="single" w:color="000000" w:sz="4" w:space="0"/>
                  </w:tcBorders>
                  <w:noWrap w:val="0"/>
                  <w:vAlign w:val="center"/>
                </w:tcPr>
                <w:p w14:paraId="1BBE6F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生态亚区</w:t>
                  </w: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26EC290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i w:val="0"/>
                      <w:iCs w:val="0"/>
                      <w:color w:val="auto"/>
                      <w:sz w:val="21"/>
                      <w:szCs w:val="21"/>
                      <w:u w:val="none"/>
                    </w:rPr>
                  </w:pPr>
                  <w:r>
                    <w:rPr>
                      <w:rStyle w:val="42"/>
                      <w:rFonts w:hint="default" w:ascii="Times New Roman" w:hAnsi="Times New Roman" w:cs="Times New Roman"/>
                      <w:color w:val="auto"/>
                      <w:sz w:val="21"/>
                      <w:szCs w:val="21"/>
                      <w:lang w:val="en-US" w:eastAsia="zh-CN" w:bidi="ar"/>
                    </w:rPr>
                    <w:t>生态功能区</w:t>
                  </w:r>
                </w:p>
              </w:tc>
              <w:tc>
                <w:tcPr>
                  <w:tcW w:w="5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6BF7D4">
                  <w:pPr>
                    <w:keepNext w:val="0"/>
                    <w:keepLines w:val="0"/>
                    <w:pageBreakBefore w:val="0"/>
                    <w:widowControl/>
                    <w:kinsoku/>
                    <w:wordWrap/>
                    <w:overflowPunct/>
                    <w:topLinePunct w:val="0"/>
                    <w:autoSpaceDE/>
                    <w:autoSpaceDN/>
                    <w:bidi w:val="0"/>
                    <w:adjustRightInd/>
                    <w:snapToGrid/>
                    <w:jc w:val="left"/>
                    <w:rPr>
                      <w:rFonts w:hint="default" w:ascii="Times New Roman" w:hAnsi="Times New Roman" w:cs="Times New Roman"/>
                      <w:i w:val="0"/>
                      <w:iCs w:val="0"/>
                      <w:color w:val="auto"/>
                      <w:sz w:val="21"/>
                      <w:szCs w:val="21"/>
                      <w:u w:val="none"/>
                    </w:rPr>
                  </w:pPr>
                </w:p>
              </w:tc>
              <w:tc>
                <w:tcPr>
                  <w:tcW w:w="5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9510A6">
                  <w:pPr>
                    <w:keepNext w:val="0"/>
                    <w:keepLines w:val="0"/>
                    <w:pageBreakBefore w:val="0"/>
                    <w:widowControl/>
                    <w:kinsoku/>
                    <w:wordWrap/>
                    <w:overflowPunct/>
                    <w:topLinePunct w:val="0"/>
                    <w:autoSpaceDE/>
                    <w:autoSpaceDN/>
                    <w:bidi w:val="0"/>
                    <w:adjustRightInd/>
                    <w:snapToGrid/>
                    <w:jc w:val="left"/>
                    <w:rPr>
                      <w:rFonts w:hint="default" w:ascii="Times New Roman" w:hAnsi="Times New Roman" w:cs="Times New Roman"/>
                      <w:i w:val="0"/>
                      <w:iCs w:val="0"/>
                      <w:color w:val="auto"/>
                      <w:sz w:val="21"/>
                      <w:szCs w:val="21"/>
                      <w:u w:val="none"/>
                    </w:rPr>
                  </w:pPr>
                </w:p>
              </w:tc>
              <w:tc>
                <w:tcPr>
                  <w:tcW w:w="5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EB0639">
                  <w:pPr>
                    <w:keepNext w:val="0"/>
                    <w:keepLines w:val="0"/>
                    <w:pageBreakBefore w:val="0"/>
                    <w:widowControl/>
                    <w:kinsoku/>
                    <w:wordWrap/>
                    <w:overflowPunct/>
                    <w:topLinePunct w:val="0"/>
                    <w:autoSpaceDE/>
                    <w:autoSpaceDN/>
                    <w:bidi w:val="0"/>
                    <w:adjustRightInd/>
                    <w:snapToGrid/>
                    <w:jc w:val="right"/>
                    <w:rPr>
                      <w:rFonts w:hint="default" w:ascii="Times New Roman" w:hAnsi="Times New Roman" w:cs="Times New Roman"/>
                      <w:i w:val="0"/>
                      <w:iCs w:val="0"/>
                      <w:color w:val="auto"/>
                      <w:sz w:val="21"/>
                      <w:szCs w:val="21"/>
                      <w:u w:val="none"/>
                    </w:rPr>
                  </w:pPr>
                </w:p>
              </w:tc>
              <w:tc>
                <w:tcPr>
                  <w:tcW w:w="50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48DFB0">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cs="Times New Roman"/>
                      <w:i w:val="0"/>
                      <w:iCs w:val="0"/>
                      <w:color w:val="auto"/>
                      <w:sz w:val="21"/>
                      <w:szCs w:val="21"/>
                      <w:u w:val="none"/>
                    </w:rPr>
                  </w:pPr>
                </w:p>
              </w:tc>
              <w:tc>
                <w:tcPr>
                  <w:tcW w:w="6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D0C240">
                  <w:pPr>
                    <w:keepNext w:val="0"/>
                    <w:keepLines w:val="0"/>
                    <w:pageBreakBefore w:val="0"/>
                    <w:widowControl/>
                    <w:kinsoku/>
                    <w:wordWrap/>
                    <w:overflowPunct/>
                    <w:topLinePunct w:val="0"/>
                    <w:autoSpaceDE/>
                    <w:autoSpaceDN/>
                    <w:bidi w:val="0"/>
                    <w:adjustRightInd/>
                    <w:snapToGrid/>
                    <w:jc w:val="left"/>
                    <w:rPr>
                      <w:rFonts w:hint="default" w:ascii="Times New Roman" w:hAnsi="Times New Roman" w:cs="Times New Roman"/>
                      <w:i w:val="0"/>
                      <w:iCs w:val="0"/>
                      <w:color w:val="auto"/>
                      <w:sz w:val="21"/>
                      <w:szCs w:val="21"/>
                      <w:u w:val="none"/>
                    </w:rPr>
                  </w:pPr>
                </w:p>
              </w:tc>
              <w:tc>
                <w:tcPr>
                  <w:tcW w:w="46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42F3A8">
                  <w:pPr>
                    <w:keepNext w:val="0"/>
                    <w:keepLines w:val="0"/>
                    <w:pageBreakBefore w:val="0"/>
                    <w:widowControl/>
                    <w:kinsoku/>
                    <w:wordWrap/>
                    <w:overflowPunct/>
                    <w:topLinePunct w:val="0"/>
                    <w:autoSpaceDE/>
                    <w:autoSpaceDN/>
                    <w:bidi w:val="0"/>
                    <w:adjustRightInd/>
                    <w:snapToGrid/>
                    <w:jc w:val="left"/>
                    <w:rPr>
                      <w:rFonts w:hint="default" w:ascii="Times New Roman" w:hAnsi="Times New Roman" w:cs="Times New Roman"/>
                      <w:i w:val="0"/>
                      <w:iCs w:val="0"/>
                      <w:color w:val="auto"/>
                      <w:sz w:val="21"/>
                      <w:szCs w:val="21"/>
                      <w:u w:val="none"/>
                    </w:rPr>
                  </w:pPr>
                </w:p>
              </w:tc>
            </w:tr>
            <w:tr w14:paraId="1179E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0" w:hRule="atLeast"/>
              </w:trPr>
              <w:tc>
                <w:tcPr>
                  <w:tcW w:w="777" w:type="pct"/>
                  <w:tcBorders>
                    <w:top w:val="single" w:color="000000" w:sz="4" w:space="0"/>
                    <w:left w:val="single" w:color="000000" w:sz="4" w:space="0"/>
                    <w:bottom w:val="single" w:color="000000" w:sz="4" w:space="0"/>
                    <w:right w:val="single" w:color="000000" w:sz="4" w:space="0"/>
                  </w:tcBorders>
                  <w:noWrap w:val="0"/>
                  <w:vAlign w:val="center"/>
                </w:tcPr>
                <w:p w14:paraId="4FEDC4A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color w:val="auto"/>
                      <w:sz w:val="21"/>
                      <w:szCs w:val="21"/>
                    </w:rPr>
                    <w:t>本项目所在区域为准噶尔盆地南部荒漠绿洲农业生态亚区</w:t>
                  </w: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68EFBE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i w:val="0"/>
                      <w:iCs w:val="0"/>
                      <w:color w:val="auto"/>
                      <w:sz w:val="21"/>
                      <w:szCs w:val="21"/>
                      <w:u w:val="none"/>
                    </w:rPr>
                  </w:pPr>
                  <w:r>
                    <w:rPr>
                      <w:rFonts w:hint="default" w:ascii="Times New Roman" w:hAnsi="Times New Roman" w:eastAsia="宋体" w:cs="Times New Roman"/>
                      <w:color w:val="auto"/>
                      <w:sz w:val="21"/>
                      <w:szCs w:val="21"/>
                    </w:rPr>
                    <w:t>阜康-木垒绿洲农业、荒漠草地保护生态功能区</w:t>
                  </w:r>
                  <w:r>
                    <w:rPr>
                      <w:rFonts w:hint="default" w:ascii="Times New Roman" w:hAnsi="Times New Roman" w:cs="Times New Roman"/>
                      <w:color w:val="auto"/>
                      <w:sz w:val="21"/>
                      <w:szCs w:val="21"/>
                      <w:lang w:eastAsia="zh-CN"/>
                    </w:rPr>
                    <w:t>（</w:t>
                  </w:r>
                  <w:r>
                    <w:rPr>
                      <w:rFonts w:hint="default" w:ascii="Times New Roman" w:hAnsi="Times New Roman" w:eastAsia="宋体" w:cs="Times New Roman"/>
                      <w:color w:val="auto"/>
                      <w:sz w:val="21"/>
                      <w:szCs w:val="21"/>
                    </w:rPr>
                    <w:t>28</w:t>
                  </w:r>
                  <w:r>
                    <w:rPr>
                      <w:rFonts w:hint="default" w:ascii="Times New Roman" w:hAnsi="Times New Roman" w:cs="Times New Roman"/>
                      <w:color w:val="auto"/>
                      <w:sz w:val="21"/>
                      <w:szCs w:val="21"/>
                      <w:lang w:eastAsia="zh-CN"/>
                    </w:rPr>
                    <w:t>）</w:t>
                  </w: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2D35262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cs="Times New Roman"/>
                      <w:i w:val="0"/>
                      <w:iCs w:val="0"/>
                      <w:color w:val="auto"/>
                      <w:sz w:val="21"/>
                      <w:szCs w:val="21"/>
                      <w:u w:val="none"/>
                    </w:rPr>
                  </w:pPr>
                  <w:r>
                    <w:rPr>
                      <w:rFonts w:hint="default" w:ascii="Times New Roman" w:hAnsi="Times New Roman" w:cs="Times New Roman"/>
                      <w:i w:val="0"/>
                      <w:iCs w:val="0"/>
                      <w:color w:val="auto"/>
                      <w:sz w:val="21"/>
                      <w:szCs w:val="21"/>
                      <w:u w:val="none"/>
                    </w:rPr>
                    <w:t>农牧业产品生产、人居环境、荒漠化控制</w:t>
                  </w: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673A57A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cs="Times New Roman"/>
                      <w:i w:val="0"/>
                      <w:iCs w:val="0"/>
                      <w:color w:val="auto"/>
                      <w:sz w:val="21"/>
                      <w:szCs w:val="21"/>
                      <w:u w:val="none"/>
                    </w:rPr>
                  </w:pPr>
                  <w:r>
                    <w:rPr>
                      <w:rFonts w:hint="default" w:ascii="Times New Roman" w:hAnsi="Times New Roman" w:cs="Times New Roman"/>
                      <w:i w:val="0"/>
                      <w:iCs w:val="0"/>
                      <w:color w:val="auto"/>
                      <w:sz w:val="21"/>
                      <w:szCs w:val="21"/>
                      <w:u w:val="none"/>
                    </w:rPr>
                    <w:t>地下水超采、荒漠植被退化、沙漠化威胁、局部土壤盐渍化、河流萎缩、滥开荒地</w:t>
                  </w: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309445B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cs="Times New Roman"/>
                      <w:i w:val="0"/>
                      <w:iCs w:val="0"/>
                      <w:color w:val="auto"/>
                      <w:sz w:val="21"/>
                      <w:szCs w:val="21"/>
                      <w:u w:val="none"/>
                    </w:rPr>
                  </w:pPr>
                  <w:r>
                    <w:rPr>
                      <w:rFonts w:hint="default" w:ascii="Times New Roman" w:hAnsi="Times New Roman" w:cs="Times New Roman"/>
                      <w:i w:val="0"/>
                      <w:iCs w:val="0"/>
                      <w:color w:val="auto"/>
                      <w:sz w:val="21"/>
                      <w:szCs w:val="21"/>
                      <w:u w:val="none"/>
                    </w:rPr>
                    <w:t>生物多样性及其生境中度敏感，土壤侵蚀轻度敏感、土地沙漠化中度敏感，土壤盐渍化轻度敏感</w:t>
                  </w:r>
                </w:p>
              </w:tc>
              <w:tc>
                <w:tcPr>
                  <w:tcW w:w="500" w:type="pct"/>
                  <w:tcBorders>
                    <w:top w:val="single" w:color="000000" w:sz="4" w:space="0"/>
                    <w:left w:val="single" w:color="000000" w:sz="4" w:space="0"/>
                    <w:bottom w:val="single" w:color="000000" w:sz="4" w:space="0"/>
                    <w:right w:val="single" w:color="000000" w:sz="4" w:space="0"/>
                  </w:tcBorders>
                  <w:noWrap w:val="0"/>
                  <w:vAlign w:val="center"/>
                </w:tcPr>
                <w:p w14:paraId="4BBCC8D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i w:val="0"/>
                      <w:iCs w:val="0"/>
                      <w:color w:val="auto"/>
                      <w:sz w:val="21"/>
                      <w:szCs w:val="21"/>
                      <w:u w:val="none"/>
                    </w:rPr>
                  </w:pPr>
                  <w:r>
                    <w:rPr>
                      <w:rFonts w:hint="default" w:ascii="Times New Roman" w:hAnsi="Times New Roman" w:cs="Times New Roman"/>
                      <w:i w:val="0"/>
                      <w:iCs w:val="0"/>
                      <w:color w:val="auto"/>
                      <w:sz w:val="21"/>
                      <w:szCs w:val="21"/>
                      <w:u w:val="none"/>
                    </w:rPr>
                    <w:t>保护基本农田、保护荒漠植被、保护土壤环境质量</w:t>
                  </w:r>
                </w:p>
              </w:tc>
              <w:tc>
                <w:tcPr>
                  <w:tcW w:w="638" w:type="pct"/>
                  <w:tcBorders>
                    <w:top w:val="single" w:color="000000" w:sz="4" w:space="0"/>
                    <w:left w:val="single" w:color="000000" w:sz="4" w:space="0"/>
                    <w:bottom w:val="single" w:color="000000" w:sz="4" w:space="0"/>
                    <w:right w:val="single" w:color="000000" w:sz="4" w:space="0"/>
                  </w:tcBorders>
                  <w:noWrap w:val="0"/>
                  <w:vAlign w:val="center"/>
                </w:tcPr>
                <w:p w14:paraId="7FD57FE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cs="Times New Roman"/>
                      <w:i w:val="0"/>
                      <w:iCs w:val="0"/>
                      <w:color w:val="auto"/>
                      <w:sz w:val="21"/>
                      <w:szCs w:val="21"/>
                      <w:u w:val="none"/>
                    </w:rPr>
                  </w:pPr>
                  <w:r>
                    <w:rPr>
                      <w:rFonts w:hint="default" w:ascii="Times New Roman" w:hAnsi="Times New Roman" w:cs="Times New Roman"/>
                      <w:i w:val="0"/>
                      <w:iCs w:val="0"/>
                      <w:color w:val="auto"/>
                      <w:sz w:val="21"/>
                      <w:szCs w:val="21"/>
                      <w:u w:val="none"/>
                    </w:rPr>
                    <w:t>节水灌溉、草场休牧、对坡耕地和沙化土地实施退耕还林（草），在水源无保障、植被稀少、生态脆弱地带禁止开荒、加强农田投入品的使用管理</w:t>
                  </w:r>
                </w:p>
              </w:tc>
              <w:tc>
                <w:tcPr>
                  <w:tcW w:w="464" w:type="pct"/>
                  <w:tcBorders>
                    <w:top w:val="single" w:color="000000" w:sz="4" w:space="0"/>
                    <w:left w:val="single" w:color="000000" w:sz="4" w:space="0"/>
                    <w:bottom w:val="single" w:color="000000" w:sz="4" w:space="0"/>
                    <w:right w:val="single" w:color="000000" w:sz="4" w:space="0"/>
                  </w:tcBorders>
                  <w:noWrap w:val="0"/>
                  <w:vAlign w:val="center"/>
                </w:tcPr>
                <w:p w14:paraId="6CDDD35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cs="Times New Roman"/>
                      <w:i w:val="0"/>
                      <w:iCs w:val="0"/>
                      <w:color w:val="auto"/>
                      <w:sz w:val="21"/>
                      <w:szCs w:val="21"/>
                      <w:u w:val="none"/>
                    </w:rPr>
                  </w:pPr>
                  <w:r>
                    <w:rPr>
                      <w:rFonts w:hint="default" w:ascii="Times New Roman" w:hAnsi="Times New Roman" w:cs="Times New Roman"/>
                      <w:i w:val="0"/>
                      <w:iCs w:val="0"/>
                      <w:color w:val="auto"/>
                      <w:sz w:val="21"/>
                      <w:szCs w:val="21"/>
                      <w:u w:val="none"/>
                    </w:rPr>
                    <w:t>农牧结合，发展优质、高效特色农业和畜牧业</w:t>
                  </w:r>
                </w:p>
              </w:tc>
            </w:tr>
          </w:tbl>
          <w:p w14:paraId="2C01264C">
            <w:pPr>
              <w:keepNext w:val="0"/>
              <w:keepLines w:val="0"/>
              <w:pageBreakBefore w:val="0"/>
              <w:widowControl w:val="0"/>
              <w:kinsoku/>
              <w:wordWrap/>
              <w:overflowPunct/>
              <w:topLinePunct w:val="0"/>
              <w:autoSpaceDE/>
              <w:autoSpaceDN/>
              <w:bidi w:val="0"/>
              <w:spacing w:line="360" w:lineRule="auto"/>
              <w:ind w:left="0" w:leftChars="0" w:firstLine="474"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pacing w:val="-2"/>
                <w:sz w:val="24"/>
                <w:szCs w:val="24"/>
                <w:lang w:val="en-US" w:eastAsia="zh-CN"/>
              </w:rPr>
              <w:t>2.1</w:t>
            </w:r>
            <w:r>
              <w:rPr>
                <w:rFonts w:hint="default" w:ascii="Times New Roman" w:hAnsi="Times New Roman" w:eastAsia="宋体" w:cs="Times New Roman"/>
                <w:b/>
                <w:bCs/>
                <w:color w:val="auto"/>
                <w:spacing w:val="-2"/>
                <w:sz w:val="24"/>
                <w:szCs w:val="24"/>
              </w:rPr>
              <w:t>土地利用现状调</w:t>
            </w:r>
            <w:r>
              <w:rPr>
                <w:rFonts w:hint="default" w:ascii="Times New Roman" w:hAnsi="Times New Roman" w:eastAsia="宋体" w:cs="Times New Roman"/>
                <w:color w:val="auto"/>
                <w:spacing w:val="-2"/>
                <w:sz w:val="24"/>
                <w:szCs w:val="24"/>
              </w:rPr>
              <w:t>查</w:t>
            </w:r>
          </w:p>
          <w:p w14:paraId="29746A9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color w:val="auto"/>
                <w:kern w:val="0"/>
                <w:sz w:val="24"/>
                <w:szCs w:val="24"/>
              </w:rPr>
              <w:t>本项目所在区域土地现状利用类型为</w:t>
            </w:r>
            <w:r>
              <w:rPr>
                <w:rFonts w:hint="default" w:ascii="Times New Roman" w:hAnsi="Times New Roman" w:eastAsia="宋体" w:cs="Times New Roman"/>
                <w:color w:val="auto"/>
                <w:kern w:val="0"/>
                <w:sz w:val="24"/>
                <w:szCs w:val="24"/>
                <w:lang w:eastAsia="zh-CN"/>
              </w:rPr>
              <w:t>草地（</w:t>
            </w:r>
            <w:r>
              <w:rPr>
                <w:rFonts w:hint="default" w:ascii="Times New Roman" w:hAnsi="Times New Roman" w:cs="Times New Roman"/>
                <w:color w:val="auto"/>
                <w:kern w:val="0"/>
                <w:sz w:val="24"/>
                <w:szCs w:val="24"/>
                <w:lang w:eastAsia="zh-CN"/>
              </w:rPr>
              <w:t>天然牧草地</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b w:val="0"/>
                <w:bCs/>
                <w:color w:val="auto"/>
                <w:sz w:val="24"/>
                <w:lang w:val="en-US" w:eastAsia="zh-CN"/>
              </w:rPr>
              <w:t>风电场工程永久性征地面积为</w:t>
            </w:r>
            <w:r>
              <w:rPr>
                <w:rFonts w:hint="default" w:ascii="Times New Roman" w:hAnsi="Times New Roman" w:cs="Times New Roman"/>
                <w:b w:val="0"/>
                <w:bCs/>
                <w:color w:val="auto"/>
                <w:sz w:val="24"/>
                <w:lang w:val="en-US" w:eastAsia="zh-CN"/>
              </w:rPr>
              <w:t>40352.516</w:t>
            </w:r>
            <w:r>
              <w:rPr>
                <w:rFonts w:hint="default" w:ascii="Times New Roman" w:hAnsi="Times New Roman" w:eastAsia="宋体" w:cs="Times New Roman"/>
                <w:b w:val="0"/>
                <w:bCs/>
                <w:color w:val="auto"/>
                <w:sz w:val="24"/>
                <w:lang w:val="en-US" w:eastAsia="zh-CN"/>
              </w:rPr>
              <w:t>m</w:t>
            </w:r>
            <w:r>
              <w:rPr>
                <w:rFonts w:hint="default" w:ascii="Times New Roman" w:hAnsi="Times New Roman" w:eastAsia="宋体" w:cs="Times New Roman"/>
                <w:b w:val="0"/>
                <w:bCs/>
                <w:color w:val="auto"/>
                <w:sz w:val="24"/>
                <w:vertAlign w:val="superscript"/>
                <w:lang w:val="en-US" w:eastAsia="zh-CN"/>
              </w:rPr>
              <w:t>2</w:t>
            </w:r>
            <w:r>
              <w:rPr>
                <w:rFonts w:hint="default" w:ascii="Times New Roman" w:hAnsi="Times New Roman" w:eastAsia="宋体" w:cs="Times New Roman"/>
                <w:b w:val="0"/>
                <w:bCs/>
                <w:color w:val="auto"/>
                <w:sz w:val="24"/>
                <w:lang w:val="en-US" w:eastAsia="zh-CN"/>
              </w:rPr>
              <w:t>，临时性用地面积</w:t>
            </w:r>
            <w:r>
              <w:rPr>
                <w:rFonts w:hint="default" w:ascii="Times New Roman" w:hAnsi="Times New Roman" w:cs="Times New Roman"/>
                <w:b w:val="0"/>
                <w:bCs/>
                <w:color w:val="auto"/>
                <w:sz w:val="24"/>
                <w:lang w:val="en-US" w:eastAsia="zh-CN"/>
              </w:rPr>
              <w:t>557859</w:t>
            </w:r>
            <w:r>
              <w:rPr>
                <w:rFonts w:hint="default" w:ascii="Times New Roman" w:hAnsi="Times New Roman" w:eastAsia="宋体" w:cs="Times New Roman"/>
                <w:b w:val="0"/>
                <w:bCs/>
                <w:color w:val="auto"/>
                <w:sz w:val="24"/>
                <w:lang w:val="en-US" w:eastAsia="zh-CN"/>
              </w:rPr>
              <w:t>m</w:t>
            </w:r>
            <w:r>
              <w:rPr>
                <w:rFonts w:hint="default" w:ascii="Times New Roman" w:hAnsi="Times New Roman" w:eastAsia="宋体" w:cs="Times New Roman"/>
                <w:b w:val="0"/>
                <w:bCs/>
                <w:color w:val="auto"/>
                <w:sz w:val="24"/>
                <w:vertAlign w:val="superscript"/>
                <w:lang w:val="en-US" w:eastAsia="zh-CN"/>
              </w:rPr>
              <w:t>2</w:t>
            </w:r>
            <w:r>
              <w:rPr>
                <w:rFonts w:hint="default" w:ascii="Times New Roman" w:hAnsi="Times New Roman" w:eastAsia="宋体" w:cs="Times New Roman"/>
                <w:b w:val="0"/>
                <w:bCs/>
                <w:color w:val="auto"/>
                <w:sz w:val="24"/>
                <w:lang w:val="en-US" w:eastAsia="zh-CN"/>
              </w:rPr>
              <w:t>，占地类型为草地（</w:t>
            </w:r>
            <w:r>
              <w:rPr>
                <w:rFonts w:hint="default" w:ascii="Times New Roman" w:hAnsi="Times New Roman" w:cs="Times New Roman"/>
                <w:b w:val="0"/>
                <w:bCs/>
                <w:color w:val="auto"/>
                <w:sz w:val="24"/>
                <w:lang w:val="en-US" w:eastAsia="zh-CN"/>
              </w:rPr>
              <w:t>天然牧草地</w:t>
            </w:r>
            <w:r>
              <w:rPr>
                <w:rFonts w:hint="default" w:ascii="Times New Roman" w:hAnsi="Times New Roman" w:eastAsia="宋体" w:cs="Times New Roman"/>
                <w:b w:val="0"/>
                <w:bCs/>
                <w:color w:val="auto"/>
                <w:sz w:val="24"/>
                <w:lang w:val="en-US" w:eastAsia="zh-CN"/>
              </w:rPr>
              <w:t>）。</w:t>
            </w:r>
          </w:p>
          <w:p w14:paraId="50237F4F">
            <w:pPr>
              <w:pStyle w:val="38"/>
              <w:spacing w:line="440" w:lineRule="exact"/>
              <w:ind w:firstLine="0" w:firstLineChars="0"/>
              <w:jc w:val="center"/>
              <w:textAlignment w:val="baseline"/>
              <w:rPr>
                <w:rFonts w:hint="default" w:ascii="Times New Roman" w:hAnsi="Times New Roman" w:eastAsia="宋体" w:cs="Times New Roman"/>
                <w:b/>
                <w:bCs w:val="0"/>
                <w:snapToGrid w:val="0"/>
                <w:color w:val="auto"/>
                <w:sz w:val="21"/>
                <w:szCs w:val="22"/>
              </w:rPr>
            </w:pPr>
            <w:r>
              <w:rPr>
                <w:rFonts w:hint="default" w:ascii="Times New Roman" w:hAnsi="Times New Roman" w:eastAsia="宋体" w:cs="Times New Roman"/>
                <w:b/>
                <w:bCs w:val="0"/>
                <w:snapToGrid w:val="0"/>
                <w:color w:val="auto"/>
                <w:sz w:val="21"/>
                <w:szCs w:val="22"/>
              </w:rPr>
              <w:t>表</w:t>
            </w:r>
            <w:r>
              <w:rPr>
                <w:rFonts w:hint="default" w:ascii="Times New Roman" w:hAnsi="Times New Roman" w:eastAsia="宋体" w:cs="Times New Roman"/>
                <w:b/>
                <w:bCs w:val="0"/>
                <w:snapToGrid w:val="0"/>
                <w:color w:val="auto"/>
                <w:sz w:val="21"/>
                <w:szCs w:val="22"/>
                <w:lang w:val="en-US" w:eastAsia="zh-CN"/>
              </w:rPr>
              <w:t>3</w:t>
            </w:r>
            <w:r>
              <w:rPr>
                <w:rFonts w:hint="default" w:ascii="Times New Roman" w:hAnsi="Times New Roman" w:eastAsia="宋体" w:cs="Times New Roman"/>
                <w:b/>
                <w:bCs w:val="0"/>
                <w:snapToGrid w:val="0"/>
                <w:color w:val="auto"/>
                <w:sz w:val="21"/>
                <w:szCs w:val="22"/>
              </w:rPr>
              <w:t>-</w:t>
            </w:r>
            <w:r>
              <w:rPr>
                <w:rFonts w:hint="default" w:ascii="Times New Roman" w:hAnsi="Times New Roman" w:eastAsia="宋体" w:cs="Times New Roman"/>
                <w:b/>
                <w:bCs w:val="0"/>
                <w:snapToGrid w:val="0"/>
                <w:color w:val="auto"/>
                <w:sz w:val="21"/>
                <w:szCs w:val="22"/>
                <w:lang w:val="en-US" w:eastAsia="zh-CN"/>
              </w:rPr>
              <w:t>2</w:t>
            </w:r>
            <w:r>
              <w:rPr>
                <w:rFonts w:hint="default" w:ascii="Times New Roman" w:hAnsi="Times New Roman" w:eastAsia="宋体" w:cs="Times New Roman"/>
                <w:b/>
                <w:bCs w:val="0"/>
                <w:snapToGrid w:val="0"/>
                <w:color w:val="auto"/>
                <w:sz w:val="21"/>
                <w:szCs w:val="22"/>
                <w:lang w:eastAsia="zh-CN"/>
              </w:rPr>
              <w:t>风电场</w:t>
            </w:r>
            <w:r>
              <w:rPr>
                <w:rFonts w:hint="default" w:ascii="Times New Roman" w:hAnsi="Times New Roman" w:eastAsia="宋体" w:cs="Times New Roman"/>
                <w:b/>
                <w:bCs w:val="0"/>
                <w:snapToGrid w:val="0"/>
                <w:color w:val="auto"/>
                <w:sz w:val="21"/>
                <w:szCs w:val="22"/>
              </w:rPr>
              <w:t>占地面积汇总一览表单位：m</w:t>
            </w:r>
            <w:r>
              <w:rPr>
                <w:rFonts w:hint="default" w:ascii="Times New Roman" w:hAnsi="Times New Roman" w:eastAsia="宋体" w:cs="Times New Roman"/>
                <w:b/>
                <w:bCs w:val="0"/>
                <w:snapToGrid w:val="0"/>
                <w:color w:val="auto"/>
                <w:sz w:val="21"/>
                <w:szCs w:val="22"/>
                <w:vertAlign w:val="superscript"/>
              </w:rPr>
              <w:t>2</w:t>
            </w:r>
          </w:p>
          <w:tbl>
            <w:tblPr>
              <w:tblStyle w:val="2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89"/>
              <w:gridCol w:w="794"/>
              <w:gridCol w:w="1647"/>
              <w:gridCol w:w="2383"/>
              <w:gridCol w:w="1104"/>
            </w:tblGrid>
            <w:tr w14:paraId="618E5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 w:hRule="atLeast"/>
              </w:trPr>
              <w:tc>
                <w:tcPr>
                  <w:tcW w:w="1393" w:type="pct"/>
                  <w:tcBorders>
                    <w:top w:val="single" w:color="000000" w:sz="4" w:space="0"/>
                    <w:left w:val="single" w:color="000000" w:sz="4" w:space="0"/>
                    <w:bottom w:val="single" w:color="000000" w:sz="4" w:space="0"/>
                    <w:right w:val="single" w:color="000000" w:sz="4" w:space="0"/>
                  </w:tcBorders>
                  <w:noWrap w:val="0"/>
                  <w:vAlign w:val="center"/>
                </w:tcPr>
                <w:p w14:paraId="5963857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项目</w:t>
                  </w:r>
                </w:p>
              </w:tc>
              <w:tc>
                <w:tcPr>
                  <w:tcW w:w="483" w:type="pct"/>
                  <w:tcBorders>
                    <w:top w:val="single" w:color="000000" w:sz="4" w:space="0"/>
                    <w:left w:val="single" w:color="000000" w:sz="4" w:space="0"/>
                    <w:bottom w:val="single" w:color="000000" w:sz="4" w:space="0"/>
                    <w:right w:val="single" w:color="000000" w:sz="4" w:space="0"/>
                  </w:tcBorders>
                  <w:noWrap w:val="0"/>
                  <w:vAlign w:val="center"/>
                </w:tcPr>
                <w:p w14:paraId="5ED9343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单位</w:t>
                  </w:r>
                </w:p>
              </w:tc>
              <w:tc>
                <w:tcPr>
                  <w:tcW w:w="1002" w:type="pct"/>
                  <w:tcBorders>
                    <w:top w:val="single" w:color="000000" w:sz="4" w:space="0"/>
                    <w:left w:val="single" w:color="000000" w:sz="4" w:space="0"/>
                    <w:bottom w:val="single" w:color="000000" w:sz="4" w:space="0"/>
                    <w:right w:val="single" w:color="000000" w:sz="4" w:space="0"/>
                  </w:tcBorders>
                  <w:noWrap w:val="0"/>
                  <w:vAlign w:val="center"/>
                </w:tcPr>
                <w:p w14:paraId="27C3D9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面积</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0B71EB2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cs="Times New Roman"/>
                      <w:i w:val="0"/>
                      <w:iCs w:val="0"/>
                      <w:color w:val="auto"/>
                      <w:sz w:val="21"/>
                      <w:szCs w:val="21"/>
                      <w:u w:val="none"/>
                      <w:lang w:eastAsia="zh-CN"/>
                    </w:rPr>
                    <w:t>用地性质</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707EA15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Style w:val="39"/>
                      <w:rFonts w:hint="default" w:ascii="Times New Roman" w:hAnsi="Times New Roman" w:cs="Times New Roman"/>
                      <w:color w:val="auto"/>
                      <w:sz w:val="21"/>
                      <w:szCs w:val="21"/>
                      <w:lang w:val="en-US" w:eastAsia="zh-CN" w:bidi="ar"/>
                    </w:rPr>
                    <w:t>备注</w:t>
                  </w:r>
                </w:p>
              </w:tc>
            </w:tr>
            <w:tr w14:paraId="1C714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758DF06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一、永久性占地项目</w:t>
                  </w:r>
                </w:p>
              </w:tc>
            </w:tr>
            <w:tr w14:paraId="16B67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trPr>
              <w:tc>
                <w:tcPr>
                  <w:tcW w:w="1393" w:type="pct"/>
                  <w:tcBorders>
                    <w:top w:val="single" w:color="000000" w:sz="4" w:space="0"/>
                    <w:left w:val="single" w:color="000000" w:sz="4" w:space="0"/>
                    <w:bottom w:val="single" w:color="000000" w:sz="4" w:space="0"/>
                    <w:right w:val="single" w:color="000000" w:sz="4" w:space="0"/>
                  </w:tcBorders>
                  <w:noWrap w:val="0"/>
                  <w:vAlign w:val="top"/>
                </w:tcPr>
                <w:p w14:paraId="0B50E79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风机基础</w:t>
                  </w:r>
                </w:p>
              </w:tc>
              <w:tc>
                <w:tcPr>
                  <w:tcW w:w="483" w:type="pct"/>
                  <w:tcBorders>
                    <w:top w:val="single" w:color="000000" w:sz="4" w:space="0"/>
                    <w:left w:val="single" w:color="000000" w:sz="4" w:space="0"/>
                    <w:bottom w:val="single" w:color="000000" w:sz="4" w:space="0"/>
                    <w:right w:val="single" w:color="000000" w:sz="4" w:space="0"/>
                  </w:tcBorders>
                  <w:noWrap w:val="0"/>
                  <w:vAlign w:val="center"/>
                </w:tcPr>
                <w:p w14:paraId="445DD0F2">
                  <w:pPr>
                    <w:keepNext w:val="0"/>
                    <w:keepLines w:val="0"/>
                    <w:widowControl/>
                    <w:suppressLineNumbers w:val="0"/>
                    <w:jc w:val="center"/>
                    <w:textAlignment w:val="center"/>
                    <w:rPr>
                      <w:rStyle w:val="39"/>
                      <w:rFonts w:hint="default" w:ascii="Times New Roman" w:hAnsi="Times New Roman" w:cs="Times New Roman"/>
                      <w:color w:val="auto"/>
                      <w:sz w:val="21"/>
                      <w:szCs w:val="21"/>
                      <w:lang w:val="en-US" w:eastAsia="zh-CN" w:bidi="ar"/>
                    </w:rPr>
                  </w:pPr>
                  <w:r>
                    <w:rPr>
                      <w:rStyle w:val="39"/>
                      <w:rFonts w:hint="default" w:ascii="Times New Roman" w:hAnsi="Times New Roman" w:cs="Times New Roman"/>
                      <w:color w:val="auto"/>
                      <w:sz w:val="21"/>
                      <w:szCs w:val="21"/>
                      <w:lang w:val="en-US" w:eastAsia="zh-CN" w:bidi="ar"/>
                    </w:rPr>
                    <w:t>m²</w:t>
                  </w:r>
                </w:p>
              </w:tc>
              <w:tc>
                <w:tcPr>
                  <w:tcW w:w="1699" w:type="dxa"/>
                  <w:tcBorders>
                    <w:top w:val="single" w:color="000000" w:sz="4" w:space="0"/>
                    <w:left w:val="single" w:color="000000" w:sz="4" w:space="0"/>
                    <w:bottom w:val="single" w:color="000000" w:sz="4" w:space="0"/>
                    <w:right w:val="single" w:color="000000" w:sz="4" w:space="0"/>
                  </w:tcBorders>
                  <w:noWrap w:val="0"/>
                  <w:vAlign w:val="top"/>
                </w:tcPr>
                <w:p w14:paraId="317022F0">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19940.256</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685A650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2228821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06FA0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trPr>
              <w:tc>
                <w:tcPr>
                  <w:tcW w:w="1393" w:type="pct"/>
                  <w:tcBorders>
                    <w:top w:val="single" w:color="000000" w:sz="4" w:space="0"/>
                    <w:left w:val="single" w:color="000000" w:sz="4" w:space="0"/>
                    <w:bottom w:val="single" w:color="000000" w:sz="4" w:space="0"/>
                    <w:right w:val="single" w:color="000000" w:sz="4" w:space="0"/>
                  </w:tcBorders>
                  <w:noWrap w:val="0"/>
                  <w:vAlign w:val="top"/>
                </w:tcPr>
                <w:p w14:paraId="5AB158A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箱变基础</w:t>
                  </w:r>
                </w:p>
              </w:tc>
              <w:tc>
                <w:tcPr>
                  <w:tcW w:w="483" w:type="pct"/>
                  <w:tcBorders>
                    <w:top w:val="single" w:color="000000" w:sz="4" w:space="0"/>
                    <w:left w:val="single" w:color="000000" w:sz="4" w:space="0"/>
                    <w:bottom w:val="single" w:color="000000" w:sz="4" w:space="0"/>
                    <w:right w:val="single" w:color="000000" w:sz="4" w:space="0"/>
                  </w:tcBorders>
                  <w:noWrap w:val="0"/>
                  <w:vAlign w:val="center"/>
                </w:tcPr>
                <w:p w14:paraId="46C188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1699" w:type="dxa"/>
                  <w:tcBorders>
                    <w:top w:val="single" w:color="000000" w:sz="4" w:space="0"/>
                    <w:left w:val="single" w:color="000000" w:sz="4" w:space="0"/>
                    <w:bottom w:val="single" w:color="000000" w:sz="4" w:space="0"/>
                    <w:right w:val="single" w:color="000000" w:sz="4" w:space="0"/>
                  </w:tcBorders>
                  <w:noWrap w:val="0"/>
                  <w:vAlign w:val="top"/>
                </w:tcPr>
                <w:p w14:paraId="5D51CD4F">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3200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6DA764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343AC0E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0157A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1393" w:type="pct"/>
                  <w:tcBorders>
                    <w:top w:val="single" w:color="000000" w:sz="4" w:space="0"/>
                    <w:left w:val="single" w:color="000000" w:sz="4" w:space="0"/>
                    <w:bottom w:val="single" w:color="000000" w:sz="4" w:space="0"/>
                    <w:right w:val="single" w:color="000000" w:sz="4" w:space="0"/>
                  </w:tcBorders>
                  <w:noWrap w:val="0"/>
                  <w:vAlign w:val="top"/>
                </w:tcPr>
                <w:p w14:paraId="1D9893E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防洪围堰</w:t>
                  </w:r>
                </w:p>
              </w:tc>
              <w:tc>
                <w:tcPr>
                  <w:tcW w:w="483" w:type="pct"/>
                  <w:tcBorders>
                    <w:top w:val="single" w:color="000000" w:sz="4" w:space="0"/>
                    <w:left w:val="single" w:color="000000" w:sz="4" w:space="0"/>
                    <w:bottom w:val="single" w:color="000000" w:sz="4" w:space="0"/>
                    <w:right w:val="single" w:color="000000" w:sz="4" w:space="0"/>
                  </w:tcBorders>
                  <w:noWrap w:val="0"/>
                  <w:vAlign w:val="center"/>
                </w:tcPr>
                <w:p w14:paraId="345D0B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1699" w:type="dxa"/>
                  <w:tcBorders>
                    <w:top w:val="single" w:color="000000" w:sz="4" w:space="0"/>
                    <w:left w:val="single" w:color="000000" w:sz="4" w:space="0"/>
                    <w:bottom w:val="single" w:color="000000" w:sz="4" w:space="0"/>
                    <w:right w:val="single" w:color="000000" w:sz="4" w:space="0"/>
                  </w:tcBorders>
                  <w:noWrap w:val="0"/>
                  <w:vAlign w:val="top"/>
                </w:tcPr>
                <w:p w14:paraId="51DC9645">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1980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1353B916">
                  <w:pPr>
                    <w:keepNext w:val="0"/>
                    <w:keepLines w:val="0"/>
                    <w:widowControl/>
                    <w:suppressLineNumbers w:val="0"/>
                    <w:jc w:val="center"/>
                    <w:textAlignment w:val="center"/>
                    <w:rPr>
                      <w:rFonts w:hint="default" w:ascii="Times New Roman" w:hAnsi="Times New Roman" w:cs="Times New Roman"/>
                      <w:snapToGrid w:val="0"/>
                      <w:color w:val="auto"/>
                      <w:kern w:val="0"/>
                      <w:szCs w:val="21"/>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1378AB2E">
                  <w:pPr>
                    <w:keepNext w:val="0"/>
                    <w:keepLines w:val="0"/>
                    <w:widowControl/>
                    <w:suppressLineNumbers w:val="0"/>
                    <w:jc w:val="center"/>
                    <w:textAlignment w:val="center"/>
                    <w:rPr>
                      <w:rFonts w:hint="default" w:ascii="Times New Roman" w:hAnsi="Times New Roman" w:cs="Times New Roman"/>
                      <w:snapToGrid w:val="0"/>
                      <w:color w:val="auto"/>
                      <w:kern w:val="0"/>
                      <w:szCs w:val="21"/>
                      <w:lang w:val="en-US" w:eastAsia="zh-CN"/>
                    </w:rPr>
                  </w:pPr>
                </w:p>
              </w:tc>
            </w:tr>
            <w:tr w14:paraId="6FAB4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 w:hRule="atLeast"/>
              </w:trPr>
              <w:tc>
                <w:tcPr>
                  <w:tcW w:w="1393" w:type="pct"/>
                  <w:tcBorders>
                    <w:top w:val="single" w:color="000000" w:sz="4" w:space="0"/>
                    <w:left w:val="single" w:color="000000" w:sz="4" w:space="0"/>
                    <w:bottom w:val="single" w:color="000000" w:sz="4" w:space="0"/>
                    <w:right w:val="single" w:color="000000" w:sz="4" w:space="0"/>
                  </w:tcBorders>
                  <w:noWrap w:val="0"/>
                  <w:vAlign w:val="top"/>
                </w:tcPr>
                <w:p w14:paraId="3D9B6F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集电线路</w:t>
                  </w:r>
                </w:p>
              </w:tc>
              <w:tc>
                <w:tcPr>
                  <w:tcW w:w="483" w:type="pct"/>
                  <w:tcBorders>
                    <w:top w:val="single" w:color="000000" w:sz="4" w:space="0"/>
                    <w:left w:val="single" w:color="000000" w:sz="4" w:space="0"/>
                    <w:bottom w:val="single" w:color="000000" w:sz="4" w:space="0"/>
                    <w:right w:val="single" w:color="000000" w:sz="4" w:space="0"/>
                  </w:tcBorders>
                  <w:noWrap w:val="0"/>
                  <w:vAlign w:val="center"/>
                </w:tcPr>
                <w:p w14:paraId="41D0E5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1699" w:type="dxa"/>
                  <w:tcBorders>
                    <w:top w:val="single" w:color="000000" w:sz="4" w:space="0"/>
                    <w:left w:val="single" w:color="000000" w:sz="4" w:space="0"/>
                    <w:bottom w:val="single" w:color="000000" w:sz="4" w:space="0"/>
                    <w:right w:val="single" w:color="000000" w:sz="4" w:space="0"/>
                  </w:tcBorders>
                  <w:noWrap w:val="0"/>
                  <w:vAlign w:val="top"/>
                </w:tcPr>
                <w:p w14:paraId="204B0F98">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15232.260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420525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08FF14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07EB8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1393" w:type="pct"/>
                  <w:tcBorders>
                    <w:top w:val="single" w:color="000000" w:sz="4" w:space="0"/>
                    <w:left w:val="single" w:color="000000" w:sz="4" w:space="0"/>
                    <w:bottom w:val="single" w:color="000000" w:sz="4" w:space="0"/>
                    <w:right w:val="single" w:color="000000" w:sz="4" w:space="0"/>
                  </w:tcBorders>
                  <w:noWrap w:val="0"/>
                  <w:vAlign w:val="center"/>
                </w:tcPr>
                <w:p w14:paraId="68EDF9D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永久性占地合计</w:t>
                  </w:r>
                </w:p>
              </w:tc>
              <w:tc>
                <w:tcPr>
                  <w:tcW w:w="483" w:type="pct"/>
                  <w:tcBorders>
                    <w:top w:val="single" w:color="000000" w:sz="4" w:space="0"/>
                    <w:left w:val="single" w:color="000000" w:sz="4" w:space="0"/>
                    <w:bottom w:val="single" w:color="000000" w:sz="4" w:space="0"/>
                    <w:right w:val="single" w:color="000000" w:sz="4" w:space="0"/>
                  </w:tcBorders>
                  <w:noWrap w:val="0"/>
                  <w:vAlign w:val="center"/>
                </w:tcPr>
                <w:p w14:paraId="281426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1699" w:type="dxa"/>
                  <w:tcBorders>
                    <w:top w:val="single" w:color="000000" w:sz="4" w:space="0"/>
                    <w:left w:val="single" w:color="000000" w:sz="4" w:space="0"/>
                    <w:bottom w:val="single" w:color="000000" w:sz="4" w:space="0"/>
                    <w:right w:val="single" w:color="000000" w:sz="4" w:space="0"/>
                  </w:tcBorders>
                  <w:noWrap w:val="0"/>
                  <w:vAlign w:val="top"/>
                </w:tcPr>
                <w:p w14:paraId="721D2D3C">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40352.516</w:t>
                  </w:r>
                </w:p>
              </w:tc>
              <w:tc>
                <w:tcPr>
                  <w:tcW w:w="1450" w:type="pct"/>
                  <w:tcBorders>
                    <w:top w:val="single" w:color="000000" w:sz="4" w:space="0"/>
                    <w:left w:val="single" w:color="000000" w:sz="4" w:space="0"/>
                    <w:bottom w:val="single" w:color="000000" w:sz="4" w:space="0"/>
                    <w:right w:val="single" w:color="000000" w:sz="4" w:space="0"/>
                  </w:tcBorders>
                  <w:noWrap w:val="0"/>
                  <w:vAlign w:val="top"/>
                </w:tcPr>
                <w:p w14:paraId="064B6CFB">
                  <w:pPr>
                    <w:keepNext w:val="0"/>
                    <w:keepLines w:val="0"/>
                    <w:widowControl/>
                    <w:suppressLineNumbers w:val="0"/>
                    <w:jc w:val="center"/>
                    <w:textAlignment w:val="top"/>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1" w:type="pct"/>
                  <w:tcBorders>
                    <w:top w:val="single" w:color="000000" w:sz="4" w:space="0"/>
                    <w:left w:val="single" w:color="000000" w:sz="4" w:space="0"/>
                    <w:bottom w:val="single" w:color="000000" w:sz="4" w:space="0"/>
                    <w:right w:val="single" w:color="000000" w:sz="4" w:space="0"/>
                  </w:tcBorders>
                  <w:noWrap w:val="0"/>
                  <w:vAlign w:val="top"/>
                </w:tcPr>
                <w:p w14:paraId="07308FAB">
                  <w:pPr>
                    <w:keepNext w:val="0"/>
                    <w:keepLines w:val="0"/>
                    <w:widowControl/>
                    <w:suppressLineNumbers w:val="0"/>
                    <w:jc w:val="center"/>
                    <w:textAlignment w:val="top"/>
                    <w:rPr>
                      <w:rFonts w:hint="default" w:ascii="Times New Roman" w:hAnsi="Times New Roman" w:eastAsia="宋体" w:cs="Times New Roman"/>
                      <w:i w:val="0"/>
                      <w:iCs w:val="0"/>
                      <w:color w:val="auto"/>
                      <w:kern w:val="0"/>
                      <w:sz w:val="22"/>
                      <w:szCs w:val="22"/>
                      <w:u w:val="none"/>
                      <w:lang w:val="en-US" w:eastAsia="zh-CN" w:bidi="ar"/>
                    </w:rPr>
                  </w:pPr>
                </w:p>
              </w:tc>
            </w:tr>
            <w:tr w14:paraId="07C58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748027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二、临时性占地项目</w:t>
                  </w:r>
                </w:p>
              </w:tc>
            </w:tr>
            <w:tr w14:paraId="04598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93" w:type="pct"/>
                  <w:tcBorders>
                    <w:top w:val="single" w:color="000000" w:sz="4" w:space="0"/>
                    <w:left w:val="single" w:color="000000" w:sz="4" w:space="0"/>
                    <w:bottom w:val="single" w:color="000000" w:sz="4" w:space="0"/>
                    <w:right w:val="single" w:color="000000" w:sz="4" w:space="0"/>
                  </w:tcBorders>
                  <w:noWrap w:val="0"/>
                  <w:vAlign w:val="top"/>
                </w:tcPr>
                <w:p w14:paraId="388C801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临时生活办公区</w:t>
                  </w:r>
                </w:p>
              </w:tc>
              <w:tc>
                <w:tcPr>
                  <w:tcW w:w="483" w:type="pct"/>
                  <w:tcBorders>
                    <w:top w:val="single" w:color="000000" w:sz="4" w:space="0"/>
                    <w:left w:val="single" w:color="000000" w:sz="4" w:space="0"/>
                    <w:bottom w:val="single" w:color="000000" w:sz="4" w:space="0"/>
                    <w:right w:val="single" w:color="000000" w:sz="4" w:space="0"/>
                  </w:tcBorders>
                  <w:noWrap w:val="0"/>
                  <w:vAlign w:val="center"/>
                </w:tcPr>
                <w:p w14:paraId="7CF88F3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1002" w:type="pct"/>
                  <w:tcBorders>
                    <w:top w:val="single" w:color="000000" w:sz="4" w:space="0"/>
                    <w:left w:val="single" w:color="000000" w:sz="4" w:space="0"/>
                    <w:bottom w:val="single" w:color="000000" w:sz="4" w:space="0"/>
                    <w:right w:val="single" w:color="000000" w:sz="4" w:space="0"/>
                  </w:tcBorders>
                  <w:noWrap w:val="0"/>
                  <w:vAlign w:val="top"/>
                </w:tcPr>
                <w:p w14:paraId="544B127F">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cs="Times New Roman"/>
                      <w:color w:val="auto"/>
                      <w:sz w:val="20"/>
                      <w:szCs w:val="20"/>
                    </w:rPr>
                    <w:t>10000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7EFB17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225049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2F00F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1393" w:type="pct"/>
                  <w:tcBorders>
                    <w:top w:val="single" w:color="000000" w:sz="4" w:space="0"/>
                    <w:left w:val="single" w:color="000000" w:sz="4" w:space="0"/>
                    <w:bottom w:val="single" w:color="000000" w:sz="4" w:space="0"/>
                    <w:right w:val="single" w:color="000000" w:sz="4" w:space="0"/>
                  </w:tcBorders>
                  <w:noWrap w:val="0"/>
                  <w:vAlign w:val="top"/>
                </w:tcPr>
                <w:p w14:paraId="133C48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机械停放场</w:t>
                  </w:r>
                </w:p>
              </w:tc>
              <w:tc>
                <w:tcPr>
                  <w:tcW w:w="483" w:type="pct"/>
                  <w:tcBorders>
                    <w:top w:val="single" w:color="000000" w:sz="4" w:space="0"/>
                    <w:left w:val="single" w:color="000000" w:sz="4" w:space="0"/>
                    <w:bottom w:val="single" w:color="000000" w:sz="4" w:space="0"/>
                    <w:right w:val="single" w:color="000000" w:sz="4" w:space="0"/>
                  </w:tcBorders>
                  <w:noWrap w:val="0"/>
                  <w:vAlign w:val="center"/>
                </w:tcPr>
                <w:p w14:paraId="306BD3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1002" w:type="pct"/>
                  <w:tcBorders>
                    <w:top w:val="single" w:color="000000" w:sz="4" w:space="0"/>
                    <w:left w:val="single" w:color="000000" w:sz="4" w:space="0"/>
                    <w:bottom w:val="single" w:color="000000" w:sz="4" w:space="0"/>
                    <w:right w:val="single" w:color="000000" w:sz="4" w:space="0"/>
                  </w:tcBorders>
                  <w:noWrap w:val="0"/>
                  <w:vAlign w:val="top"/>
                </w:tcPr>
                <w:p w14:paraId="69E22228">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cs="Times New Roman"/>
                      <w:color w:val="auto"/>
                      <w:sz w:val="20"/>
                      <w:szCs w:val="20"/>
                    </w:rPr>
                    <w:t>10000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3E0421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481D44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78AD9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1393" w:type="pct"/>
                  <w:tcBorders>
                    <w:top w:val="single" w:color="000000" w:sz="4" w:space="0"/>
                    <w:left w:val="single" w:color="000000" w:sz="4" w:space="0"/>
                    <w:bottom w:val="single" w:color="000000" w:sz="4" w:space="0"/>
                    <w:right w:val="single" w:color="000000" w:sz="4" w:space="0"/>
                  </w:tcBorders>
                  <w:noWrap w:val="0"/>
                  <w:vAlign w:val="top"/>
                </w:tcPr>
                <w:p w14:paraId="28E973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综合加工厂</w:t>
                  </w:r>
                </w:p>
              </w:tc>
              <w:tc>
                <w:tcPr>
                  <w:tcW w:w="483" w:type="pct"/>
                  <w:tcBorders>
                    <w:top w:val="single" w:color="000000" w:sz="4" w:space="0"/>
                    <w:left w:val="single" w:color="000000" w:sz="4" w:space="0"/>
                    <w:bottom w:val="single" w:color="000000" w:sz="4" w:space="0"/>
                    <w:right w:val="single" w:color="000000" w:sz="4" w:space="0"/>
                  </w:tcBorders>
                  <w:noWrap w:val="0"/>
                  <w:vAlign w:val="center"/>
                </w:tcPr>
                <w:p w14:paraId="0F1264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1002" w:type="pct"/>
                  <w:tcBorders>
                    <w:top w:val="single" w:color="000000" w:sz="4" w:space="0"/>
                    <w:left w:val="single" w:color="000000" w:sz="4" w:space="0"/>
                    <w:bottom w:val="single" w:color="000000" w:sz="4" w:space="0"/>
                    <w:right w:val="single" w:color="000000" w:sz="4" w:space="0"/>
                  </w:tcBorders>
                  <w:noWrap w:val="0"/>
                  <w:vAlign w:val="top"/>
                </w:tcPr>
                <w:p w14:paraId="4B79115B">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cs="Times New Roman"/>
                      <w:color w:val="auto"/>
                      <w:spacing w:val="2"/>
                      <w:sz w:val="20"/>
                      <w:szCs w:val="20"/>
                    </w:rPr>
                    <w:t>5000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720D1C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5CDC241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3A1D9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1393" w:type="pct"/>
                  <w:tcBorders>
                    <w:top w:val="single" w:color="000000" w:sz="4" w:space="0"/>
                    <w:left w:val="single" w:color="000000" w:sz="4" w:space="0"/>
                    <w:bottom w:val="single" w:color="000000" w:sz="4" w:space="0"/>
                    <w:right w:val="single" w:color="000000" w:sz="4" w:space="0"/>
                  </w:tcBorders>
                  <w:noWrap w:val="0"/>
                  <w:vAlign w:val="top"/>
                </w:tcPr>
                <w:p w14:paraId="3E75B45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综合仓库</w:t>
                  </w:r>
                </w:p>
              </w:tc>
              <w:tc>
                <w:tcPr>
                  <w:tcW w:w="483" w:type="pct"/>
                  <w:tcBorders>
                    <w:top w:val="single" w:color="000000" w:sz="4" w:space="0"/>
                    <w:left w:val="single" w:color="000000" w:sz="4" w:space="0"/>
                    <w:bottom w:val="single" w:color="000000" w:sz="4" w:space="0"/>
                    <w:right w:val="single" w:color="000000" w:sz="4" w:space="0"/>
                  </w:tcBorders>
                  <w:noWrap w:val="0"/>
                  <w:vAlign w:val="center"/>
                </w:tcPr>
                <w:p w14:paraId="6460AD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1002" w:type="pct"/>
                  <w:tcBorders>
                    <w:top w:val="single" w:color="000000" w:sz="4" w:space="0"/>
                    <w:left w:val="single" w:color="000000" w:sz="4" w:space="0"/>
                    <w:bottom w:val="single" w:color="000000" w:sz="4" w:space="0"/>
                    <w:right w:val="single" w:color="000000" w:sz="4" w:space="0"/>
                  </w:tcBorders>
                  <w:noWrap w:val="0"/>
                  <w:vAlign w:val="top"/>
                </w:tcPr>
                <w:p w14:paraId="573BF153">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cs="Times New Roman"/>
                      <w:color w:val="auto"/>
                      <w:sz w:val="20"/>
                      <w:szCs w:val="20"/>
                    </w:rPr>
                    <w:t>10000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404713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1EDDE93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7EF6E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1393" w:type="pct"/>
                  <w:tcBorders>
                    <w:top w:val="single" w:color="000000" w:sz="4" w:space="0"/>
                    <w:left w:val="single" w:color="000000" w:sz="4" w:space="0"/>
                    <w:bottom w:val="single" w:color="000000" w:sz="4" w:space="0"/>
                    <w:right w:val="single" w:color="000000" w:sz="4" w:space="0"/>
                  </w:tcBorders>
                  <w:noWrap w:val="0"/>
                  <w:vAlign w:val="top"/>
                </w:tcPr>
                <w:p w14:paraId="73DC216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设备及材料堆场</w:t>
                  </w:r>
                </w:p>
              </w:tc>
              <w:tc>
                <w:tcPr>
                  <w:tcW w:w="483" w:type="pct"/>
                  <w:tcBorders>
                    <w:top w:val="single" w:color="000000" w:sz="4" w:space="0"/>
                    <w:left w:val="single" w:color="000000" w:sz="4" w:space="0"/>
                    <w:bottom w:val="single" w:color="000000" w:sz="4" w:space="0"/>
                    <w:right w:val="single" w:color="000000" w:sz="4" w:space="0"/>
                  </w:tcBorders>
                  <w:noWrap w:val="0"/>
                  <w:vAlign w:val="center"/>
                </w:tcPr>
                <w:p w14:paraId="169ED996">
                  <w:pPr>
                    <w:keepNext w:val="0"/>
                    <w:keepLines w:val="0"/>
                    <w:widowControl/>
                    <w:suppressLineNumbers w:val="0"/>
                    <w:jc w:val="center"/>
                    <w:textAlignment w:val="center"/>
                    <w:rPr>
                      <w:rStyle w:val="39"/>
                      <w:rFonts w:hint="default" w:ascii="Times New Roman" w:hAnsi="Times New Roman" w:cs="Times New Roman"/>
                      <w:color w:val="auto"/>
                      <w:sz w:val="21"/>
                      <w:szCs w:val="21"/>
                      <w:lang w:val="en-US" w:eastAsia="zh-CN" w:bidi="ar"/>
                    </w:rPr>
                  </w:pPr>
                  <w:r>
                    <w:rPr>
                      <w:rStyle w:val="39"/>
                      <w:rFonts w:hint="default" w:ascii="Times New Roman" w:hAnsi="Times New Roman" w:cs="Times New Roman"/>
                      <w:color w:val="auto"/>
                      <w:sz w:val="21"/>
                      <w:szCs w:val="21"/>
                      <w:lang w:val="en-US" w:eastAsia="zh-CN" w:bidi="ar"/>
                    </w:rPr>
                    <w:t>m²</w:t>
                  </w:r>
                </w:p>
              </w:tc>
              <w:tc>
                <w:tcPr>
                  <w:tcW w:w="1002" w:type="pct"/>
                  <w:tcBorders>
                    <w:top w:val="single" w:color="000000" w:sz="4" w:space="0"/>
                    <w:left w:val="single" w:color="000000" w:sz="4" w:space="0"/>
                    <w:bottom w:val="single" w:color="000000" w:sz="4" w:space="0"/>
                    <w:right w:val="single" w:color="000000" w:sz="4" w:space="0"/>
                  </w:tcBorders>
                  <w:noWrap w:val="0"/>
                  <w:vAlign w:val="top"/>
                </w:tcPr>
                <w:p w14:paraId="1E546C48">
                  <w:pPr>
                    <w:pStyle w:val="50"/>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cs="Times New Roman"/>
                      <w:i w:val="0"/>
                      <w:iCs w:val="0"/>
                      <w:color w:val="auto"/>
                      <w:sz w:val="21"/>
                      <w:szCs w:val="21"/>
                      <w:u w:val="none"/>
                      <w:lang w:val="en-US" w:eastAsia="zh-CN"/>
                    </w:rPr>
                  </w:pPr>
                  <w:r>
                    <w:rPr>
                      <w:rFonts w:hint="default" w:ascii="Times New Roman" w:hAnsi="Times New Roman" w:cs="Times New Roman"/>
                      <w:color w:val="auto"/>
                      <w:sz w:val="20"/>
                      <w:szCs w:val="20"/>
                    </w:rPr>
                    <w:t>15000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20310F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2232D54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749BB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1393" w:type="pct"/>
                  <w:tcBorders>
                    <w:top w:val="single" w:color="000000" w:sz="4" w:space="0"/>
                    <w:left w:val="single" w:color="000000" w:sz="4" w:space="0"/>
                    <w:bottom w:val="single" w:color="000000" w:sz="4" w:space="0"/>
                    <w:right w:val="single" w:color="000000" w:sz="4" w:space="0"/>
                  </w:tcBorders>
                  <w:noWrap w:val="0"/>
                  <w:vAlign w:val="center"/>
                </w:tcPr>
                <w:p w14:paraId="69EF3923">
                  <w:pPr>
                    <w:keepNext w:val="0"/>
                    <w:keepLines w:val="0"/>
                    <w:widowControl/>
                    <w:suppressLineNumbers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rPr>
                    <w:t>吊装平台</w:t>
                  </w:r>
                </w:p>
              </w:tc>
              <w:tc>
                <w:tcPr>
                  <w:tcW w:w="483" w:type="pct"/>
                  <w:tcBorders>
                    <w:top w:val="single" w:color="000000" w:sz="4" w:space="0"/>
                    <w:left w:val="single" w:color="000000" w:sz="4" w:space="0"/>
                    <w:bottom w:val="single" w:color="000000" w:sz="4" w:space="0"/>
                    <w:right w:val="single" w:color="000000" w:sz="4" w:space="0"/>
                  </w:tcBorders>
                  <w:noWrap w:val="0"/>
                  <w:vAlign w:val="center"/>
                </w:tcPr>
                <w:p w14:paraId="3E718F7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1002" w:type="pct"/>
                  <w:tcBorders>
                    <w:top w:val="single" w:color="000000" w:sz="4" w:space="0"/>
                    <w:left w:val="single" w:color="000000" w:sz="4" w:space="0"/>
                    <w:bottom w:val="single" w:color="000000" w:sz="4" w:space="0"/>
                    <w:right w:val="single" w:color="000000" w:sz="4" w:space="0"/>
                  </w:tcBorders>
                  <w:noWrap w:val="0"/>
                  <w:vAlign w:val="center"/>
                </w:tcPr>
                <w:p w14:paraId="6488A06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132859</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603B991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3A63A3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6DCA7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1393" w:type="pct"/>
                  <w:tcBorders>
                    <w:top w:val="single" w:color="000000" w:sz="4" w:space="0"/>
                    <w:left w:val="single" w:color="000000" w:sz="4" w:space="0"/>
                    <w:bottom w:val="single" w:color="000000" w:sz="4" w:space="0"/>
                    <w:right w:val="single" w:color="000000" w:sz="4" w:space="0"/>
                  </w:tcBorders>
                  <w:noWrap w:val="0"/>
                  <w:vAlign w:val="center"/>
                </w:tcPr>
                <w:p w14:paraId="5C0C25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电缆直埋</w:t>
                  </w:r>
                </w:p>
              </w:tc>
              <w:tc>
                <w:tcPr>
                  <w:tcW w:w="483" w:type="pct"/>
                  <w:tcBorders>
                    <w:top w:val="single" w:color="000000" w:sz="4" w:space="0"/>
                    <w:left w:val="single" w:color="000000" w:sz="4" w:space="0"/>
                    <w:bottom w:val="single" w:color="000000" w:sz="4" w:space="0"/>
                    <w:right w:val="single" w:color="000000" w:sz="4" w:space="0"/>
                  </w:tcBorders>
                  <w:noWrap w:val="0"/>
                  <w:vAlign w:val="center"/>
                </w:tcPr>
                <w:p w14:paraId="689D34C3">
                  <w:pPr>
                    <w:keepNext w:val="0"/>
                    <w:keepLines w:val="0"/>
                    <w:widowControl/>
                    <w:suppressLineNumbers w:val="0"/>
                    <w:jc w:val="center"/>
                    <w:textAlignment w:val="center"/>
                    <w:rPr>
                      <w:rStyle w:val="39"/>
                      <w:rFonts w:hint="default" w:ascii="Times New Roman" w:hAnsi="Times New Roman" w:cs="Times New Roman"/>
                      <w:color w:val="auto"/>
                      <w:sz w:val="21"/>
                      <w:szCs w:val="21"/>
                      <w:lang w:val="en-US" w:eastAsia="zh-CN" w:bidi="ar"/>
                    </w:rPr>
                  </w:pPr>
                  <w:r>
                    <w:rPr>
                      <w:rStyle w:val="39"/>
                      <w:rFonts w:hint="default" w:ascii="Times New Roman" w:hAnsi="Times New Roman" w:cs="Times New Roman"/>
                      <w:color w:val="auto"/>
                      <w:sz w:val="21"/>
                      <w:szCs w:val="21"/>
                      <w:lang w:val="en-US" w:eastAsia="zh-CN" w:bidi="ar"/>
                    </w:rPr>
                    <w:t>m²</w:t>
                  </w:r>
                </w:p>
              </w:tc>
              <w:tc>
                <w:tcPr>
                  <w:tcW w:w="1002" w:type="pct"/>
                  <w:tcBorders>
                    <w:top w:val="single" w:color="000000" w:sz="4" w:space="0"/>
                    <w:left w:val="single" w:color="000000" w:sz="4" w:space="0"/>
                    <w:bottom w:val="single" w:color="000000" w:sz="4" w:space="0"/>
                    <w:right w:val="single" w:color="000000" w:sz="4" w:space="0"/>
                  </w:tcBorders>
                  <w:noWrap w:val="0"/>
                  <w:vAlign w:val="center"/>
                </w:tcPr>
                <w:p w14:paraId="440E780A">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15000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7DA67CE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5FB9B9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20A3B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1393" w:type="pct"/>
                  <w:tcBorders>
                    <w:top w:val="single" w:color="000000" w:sz="4" w:space="0"/>
                    <w:left w:val="single" w:color="000000" w:sz="4" w:space="0"/>
                    <w:bottom w:val="single" w:color="000000" w:sz="4" w:space="0"/>
                    <w:right w:val="single" w:color="000000" w:sz="4" w:space="0"/>
                  </w:tcBorders>
                  <w:noWrap w:val="0"/>
                  <w:vAlign w:val="center"/>
                </w:tcPr>
                <w:p w14:paraId="47320E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临时施工道路及检修道路</w:t>
                  </w:r>
                </w:p>
              </w:tc>
              <w:tc>
                <w:tcPr>
                  <w:tcW w:w="483" w:type="pct"/>
                  <w:tcBorders>
                    <w:top w:val="single" w:color="000000" w:sz="4" w:space="0"/>
                    <w:left w:val="single" w:color="000000" w:sz="4" w:space="0"/>
                    <w:bottom w:val="single" w:color="000000" w:sz="4" w:space="0"/>
                    <w:right w:val="single" w:color="000000" w:sz="4" w:space="0"/>
                  </w:tcBorders>
                  <w:noWrap w:val="0"/>
                  <w:vAlign w:val="center"/>
                </w:tcPr>
                <w:p w14:paraId="72EBDBF2">
                  <w:pPr>
                    <w:keepNext w:val="0"/>
                    <w:keepLines w:val="0"/>
                    <w:widowControl/>
                    <w:suppressLineNumbers w:val="0"/>
                    <w:jc w:val="center"/>
                    <w:textAlignment w:val="center"/>
                    <w:rPr>
                      <w:rStyle w:val="39"/>
                      <w:rFonts w:hint="default" w:ascii="Times New Roman" w:hAnsi="Times New Roman" w:cs="Times New Roman"/>
                      <w:color w:val="auto"/>
                      <w:sz w:val="21"/>
                      <w:szCs w:val="21"/>
                      <w:lang w:val="en-US" w:eastAsia="zh-CN" w:bidi="ar"/>
                    </w:rPr>
                  </w:pPr>
                  <w:r>
                    <w:rPr>
                      <w:rStyle w:val="39"/>
                      <w:rFonts w:hint="default" w:ascii="Times New Roman" w:hAnsi="Times New Roman" w:cs="Times New Roman"/>
                      <w:color w:val="auto"/>
                      <w:sz w:val="21"/>
                      <w:szCs w:val="21"/>
                      <w:lang w:val="en-US" w:eastAsia="zh-CN" w:bidi="ar"/>
                    </w:rPr>
                    <w:t>m²</w:t>
                  </w:r>
                </w:p>
              </w:tc>
              <w:tc>
                <w:tcPr>
                  <w:tcW w:w="1002" w:type="pct"/>
                  <w:tcBorders>
                    <w:top w:val="single" w:color="000000" w:sz="4" w:space="0"/>
                    <w:left w:val="single" w:color="000000" w:sz="4" w:space="0"/>
                    <w:bottom w:val="single" w:color="000000" w:sz="4" w:space="0"/>
                    <w:right w:val="single" w:color="000000" w:sz="4" w:space="0"/>
                  </w:tcBorders>
                  <w:noWrap w:val="0"/>
                  <w:vAlign w:val="center"/>
                </w:tcPr>
                <w:p w14:paraId="00D748F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112500</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23D6C7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7C13B97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r w14:paraId="22322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 w:hRule="atLeast"/>
              </w:trPr>
              <w:tc>
                <w:tcPr>
                  <w:tcW w:w="1393" w:type="pct"/>
                  <w:tcBorders>
                    <w:top w:val="single" w:color="000000" w:sz="4" w:space="0"/>
                    <w:left w:val="single" w:color="000000" w:sz="4" w:space="0"/>
                    <w:bottom w:val="single" w:color="000000" w:sz="4" w:space="0"/>
                    <w:right w:val="single" w:color="000000" w:sz="4" w:space="0"/>
                  </w:tcBorders>
                  <w:noWrap w:val="0"/>
                  <w:vAlign w:val="center"/>
                </w:tcPr>
                <w:p w14:paraId="7940117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临时性占地合计</w:t>
                  </w:r>
                </w:p>
              </w:tc>
              <w:tc>
                <w:tcPr>
                  <w:tcW w:w="483" w:type="pct"/>
                  <w:tcBorders>
                    <w:top w:val="single" w:color="000000" w:sz="4" w:space="0"/>
                    <w:left w:val="single" w:color="000000" w:sz="4" w:space="0"/>
                    <w:bottom w:val="single" w:color="000000" w:sz="4" w:space="0"/>
                    <w:right w:val="single" w:color="000000" w:sz="4" w:space="0"/>
                  </w:tcBorders>
                  <w:noWrap w:val="0"/>
                  <w:vAlign w:val="center"/>
                </w:tcPr>
                <w:p w14:paraId="218A7FD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9"/>
                      <w:rFonts w:hint="default" w:ascii="Times New Roman" w:hAnsi="Times New Roman" w:cs="Times New Roman"/>
                      <w:color w:val="auto"/>
                      <w:sz w:val="21"/>
                      <w:szCs w:val="21"/>
                      <w:lang w:val="en-US" w:eastAsia="zh-CN" w:bidi="ar"/>
                    </w:rPr>
                    <w:t>m²</w:t>
                  </w:r>
                </w:p>
              </w:tc>
              <w:tc>
                <w:tcPr>
                  <w:tcW w:w="1002" w:type="pct"/>
                  <w:tcBorders>
                    <w:top w:val="single" w:color="000000" w:sz="4" w:space="0"/>
                    <w:left w:val="single" w:color="000000" w:sz="4" w:space="0"/>
                    <w:bottom w:val="single" w:color="000000" w:sz="4" w:space="0"/>
                    <w:right w:val="single" w:color="000000" w:sz="4" w:space="0"/>
                  </w:tcBorders>
                  <w:noWrap w:val="0"/>
                  <w:vAlign w:val="center"/>
                </w:tcPr>
                <w:p w14:paraId="3500220D">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557859</w:t>
                  </w:r>
                </w:p>
              </w:tc>
              <w:tc>
                <w:tcPr>
                  <w:tcW w:w="1450" w:type="pct"/>
                  <w:tcBorders>
                    <w:top w:val="single" w:color="000000" w:sz="4" w:space="0"/>
                    <w:left w:val="single" w:color="000000" w:sz="4" w:space="0"/>
                    <w:bottom w:val="single" w:color="000000" w:sz="4" w:space="0"/>
                    <w:right w:val="single" w:color="000000" w:sz="4" w:space="0"/>
                  </w:tcBorders>
                  <w:noWrap w:val="0"/>
                  <w:vAlign w:val="center"/>
                </w:tcPr>
                <w:p w14:paraId="0C59313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草地（</w:t>
                  </w:r>
                  <w:r>
                    <w:rPr>
                      <w:rFonts w:hint="default" w:ascii="Times New Roman" w:hAnsi="Times New Roman" w:cs="Times New Roman"/>
                      <w:i w:val="0"/>
                      <w:iCs w:val="0"/>
                      <w:color w:val="auto"/>
                      <w:sz w:val="21"/>
                      <w:szCs w:val="21"/>
                      <w:u w:val="none"/>
                      <w:lang w:val="en-US" w:eastAsia="zh-CN"/>
                    </w:rPr>
                    <w:t>天然牧草地</w:t>
                  </w:r>
                  <w:r>
                    <w:rPr>
                      <w:rFonts w:hint="default" w:ascii="Times New Roman" w:hAnsi="Times New Roman" w:eastAsia="宋体" w:cs="Times New Roman"/>
                      <w:i w:val="0"/>
                      <w:iCs w:val="0"/>
                      <w:color w:val="auto"/>
                      <w:sz w:val="21"/>
                      <w:szCs w:val="21"/>
                      <w:u w:val="none"/>
                      <w:lang w:val="en-US" w:eastAsia="zh-CN"/>
                    </w:rPr>
                    <w:t>）</w:t>
                  </w:r>
                </w:p>
              </w:tc>
              <w:tc>
                <w:tcPr>
                  <w:tcW w:w="671" w:type="pct"/>
                  <w:tcBorders>
                    <w:top w:val="single" w:color="000000" w:sz="4" w:space="0"/>
                    <w:left w:val="single" w:color="000000" w:sz="4" w:space="0"/>
                    <w:bottom w:val="single" w:color="000000" w:sz="4" w:space="0"/>
                    <w:right w:val="single" w:color="000000" w:sz="4" w:space="0"/>
                  </w:tcBorders>
                  <w:noWrap w:val="0"/>
                  <w:vAlign w:val="center"/>
                </w:tcPr>
                <w:p w14:paraId="4E5554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p>
              </w:tc>
            </w:tr>
          </w:tbl>
          <w:p w14:paraId="2665972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b w:val="0"/>
                <w:bCs w:val="0"/>
                <w:color w:val="auto"/>
                <w:kern w:val="0"/>
                <w:sz w:val="24"/>
                <w:szCs w:val="24"/>
                <w:lang w:val="en-US" w:eastAsia="zh-CN"/>
              </w:rPr>
            </w:pPr>
            <w:r>
              <w:rPr>
                <w:rFonts w:hint="default" w:ascii="Times New Roman" w:hAnsi="Times New Roman" w:eastAsia="宋体" w:cs="Times New Roman"/>
                <w:b w:val="0"/>
                <w:bCs w:val="0"/>
                <w:color w:val="auto"/>
                <w:kern w:val="0"/>
                <w:sz w:val="24"/>
                <w:szCs w:val="24"/>
                <w:lang w:val="en-US" w:eastAsia="zh-CN"/>
              </w:rPr>
              <w:t>经调查，项目未占用基本农田和公益林。</w:t>
            </w:r>
          </w:p>
          <w:p w14:paraId="43A02AC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textAlignment w:val="auto"/>
              <w:rPr>
                <w:rFonts w:hint="default" w:ascii="Times New Roman" w:hAnsi="Times New Roman" w:eastAsia="宋体" w:cs="Times New Roman"/>
                <w:b/>
                <w:bCs/>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2.2土壤现状调查</w:t>
            </w:r>
          </w:p>
          <w:p w14:paraId="5210C47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b/>
                <w:bCs/>
                <w:color w:val="auto"/>
                <w:spacing w:val="-2"/>
                <w:sz w:val="24"/>
                <w:szCs w:val="24"/>
                <w:lang w:val="en-US" w:eastAsia="zh-CN"/>
              </w:rPr>
            </w:pPr>
            <w:r>
              <w:rPr>
                <w:rFonts w:hint="default" w:ascii="Times New Roman" w:hAnsi="Times New Roman" w:eastAsia="宋体" w:cs="Times New Roman"/>
                <w:color w:val="auto"/>
                <w:kern w:val="0"/>
                <w:sz w:val="24"/>
                <w:szCs w:val="24"/>
                <w:lang w:eastAsia="zh-CN"/>
              </w:rPr>
              <w:t>本</w:t>
            </w:r>
            <w:r>
              <w:rPr>
                <w:rFonts w:hint="default" w:ascii="Times New Roman" w:hAnsi="Times New Roman" w:eastAsia="宋体" w:cs="Times New Roman"/>
                <w:color w:val="auto"/>
                <w:kern w:val="0"/>
                <w:sz w:val="24"/>
                <w:szCs w:val="24"/>
              </w:rPr>
              <w:t>项目所在区域的</w:t>
            </w:r>
            <w:r>
              <w:rPr>
                <w:rFonts w:hint="default" w:ascii="Times New Roman" w:hAnsi="Times New Roman" w:cs="Times New Roman"/>
                <w:color w:val="auto"/>
                <w:kern w:val="0"/>
                <w:sz w:val="24"/>
                <w:szCs w:val="24"/>
                <w:lang w:val="en-US" w:eastAsia="zh-CN"/>
              </w:rPr>
              <w:t>风电场</w:t>
            </w:r>
            <w:r>
              <w:rPr>
                <w:rFonts w:hint="default" w:ascii="Times New Roman" w:hAnsi="Times New Roman" w:eastAsia="宋体" w:cs="Times New Roman"/>
                <w:color w:val="auto"/>
                <w:kern w:val="0"/>
                <w:sz w:val="24"/>
                <w:szCs w:val="24"/>
              </w:rPr>
              <w:t>土壤类型为</w:t>
            </w:r>
            <w:r>
              <w:rPr>
                <w:rFonts w:hint="default" w:ascii="Times New Roman" w:hAnsi="Times New Roman" w:cs="Times New Roman"/>
                <w:color w:val="auto"/>
                <w:kern w:val="0"/>
                <w:sz w:val="24"/>
                <w:szCs w:val="24"/>
                <w:lang w:val="en-US" w:eastAsia="zh-CN"/>
              </w:rPr>
              <w:t>淡棕钙土</w:t>
            </w:r>
            <w:r>
              <w:rPr>
                <w:rFonts w:hint="default" w:ascii="Times New Roman" w:hAnsi="Times New Roman" w:eastAsia="宋体" w:cs="Times New Roman"/>
                <w:color w:val="auto"/>
                <w:kern w:val="0"/>
                <w:sz w:val="24"/>
                <w:szCs w:val="24"/>
              </w:rPr>
              <w:t>。</w:t>
            </w:r>
          </w:p>
          <w:p w14:paraId="4D78D415">
            <w:pPr>
              <w:keepNext w:val="0"/>
              <w:keepLines w:val="0"/>
              <w:pageBreakBefore w:val="0"/>
              <w:widowControl w:val="0"/>
              <w:kinsoku/>
              <w:wordWrap/>
              <w:overflowPunct/>
              <w:topLinePunct w:val="0"/>
              <w:autoSpaceDE/>
              <w:autoSpaceDN/>
              <w:bidi w:val="0"/>
              <w:spacing w:line="360" w:lineRule="auto"/>
              <w:ind w:left="0" w:leftChars="0" w:firstLine="474"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lang w:val="en-US" w:eastAsia="zh-CN"/>
              </w:rPr>
              <w:t>2.</w:t>
            </w:r>
            <w:r>
              <w:rPr>
                <w:rFonts w:hint="default" w:ascii="Times New Roman" w:hAnsi="Times New Roman" w:eastAsia="宋体" w:cs="Times New Roman"/>
                <w:b/>
                <w:bCs/>
                <w:color w:val="auto"/>
                <w:spacing w:val="-2"/>
                <w:sz w:val="24"/>
                <w:szCs w:val="24"/>
                <w:lang w:val="en-US" w:eastAsia="zh-CN"/>
              </w:rPr>
              <w:t>3</w:t>
            </w:r>
            <w:r>
              <w:rPr>
                <w:rFonts w:hint="default" w:ascii="Times New Roman" w:hAnsi="Times New Roman" w:eastAsia="宋体" w:cs="Times New Roman"/>
                <w:b/>
                <w:bCs/>
                <w:color w:val="auto"/>
                <w:spacing w:val="-2"/>
                <w:sz w:val="24"/>
                <w:szCs w:val="24"/>
              </w:rPr>
              <w:t>植被现状调查</w:t>
            </w:r>
          </w:p>
          <w:p w14:paraId="0289B28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kern w:val="0"/>
                <w:sz w:val="24"/>
                <w:szCs w:val="24"/>
              </w:rPr>
            </w:pPr>
            <w:r>
              <w:rPr>
                <w:rFonts w:hint="default" w:ascii="Times New Roman" w:hAnsi="Times New Roman" w:eastAsia="宋体" w:cs="Times New Roman"/>
                <w:color w:val="auto"/>
                <w:sz w:val="24"/>
                <w:szCs w:val="24"/>
              </w:rPr>
              <w:t>本项目风电场占地类型为</w:t>
            </w:r>
            <w:r>
              <w:rPr>
                <w:rFonts w:hint="default" w:ascii="Times New Roman" w:hAnsi="Times New Roman" w:eastAsia="宋体" w:cs="Times New Roman"/>
                <w:color w:val="auto"/>
                <w:sz w:val="24"/>
                <w:szCs w:val="24"/>
                <w:lang w:eastAsia="zh-CN"/>
              </w:rPr>
              <w:t>草地（</w:t>
            </w:r>
            <w:r>
              <w:rPr>
                <w:rFonts w:hint="default" w:ascii="Times New Roman" w:hAnsi="Times New Roman" w:cs="Times New Roman"/>
                <w:color w:val="auto"/>
                <w:sz w:val="24"/>
                <w:szCs w:val="24"/>
                <w:lang w:eastAsia="zh-CN"/>
              </w:rPr>
              <w:t>天然牧草地</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。位于山坡下平地，</w:t>
            </w:r>
            <w:r>
              <w:rPr>
                <w:rFonts w:hint="default" w:ascii="Times New Roman" w:hAnsi="Times New Roman" w:cs="Times New Roman"/>
                <w:color w:val="auto"/>
                <w:kern w:val="0"/>
                <w:sz w:val="24"/>
                <w:szCs w:val="24"/>
                <w:lang w:val="en-US" w:eastAsia="zh-CN"/>
              </w:rPr>
              <w:t>常见的植物有针茅（Stipaglareosa）、芨芨草（Achnatherumsplendens）以及其他杂草类，</w:t>
            </w:r>
          </w:p>
          <w:p w14:paraId="76654658">
            <w:pPr>
              <w:spacing w:line="360" w:lineRule="auto"/>
              <w:ind w:firstLine="540" w:firstLineChars="225"/>
              <w:rPr>
                <w:rFonts w:hint="default" w:ascii="Times New Roman" w:hAnsi="Times New Roman" w:eastAsia="宋体" w:cs="Times New Roman"/>
                <w:snapToGrid w:val="0"/>
                <w:color w:val="auto"/>
                <w:kern w:val="0"/>
                <w:sz w:val="24"/>
                <w:szCs w:val="22"/>
                <w:lang w:eastAsia="zh-CN"/>
              </w:rPr>
            </w:pPr>
            <w:r>
              <w:rPr>
                <w:rFonts w:hint="default" w:ascii="Times New Roman" w:hAnsi="Times New Roman" w:eastAsia="宋体" w:cs="Times New Roman"/>
                <w:snapToGrid w:val="0"/>
                <w:color w:val="auto"/>
                <w:kern w:val="0"/>
                <w:sz w:val="24"/>
                <w:szCs w:val="22"/>
                <w:lang w:eastAsia="zh-CN"/>
              </w:rPr>
              <w:t>评价区所占草地属于温带荒漠草场，植被主要由小半灌木组成。据调查，该区域草场为春秋放牧场。草高20-30cm，覆盖度</w:t>
            </w:r>
            <w:r>
              <w:rPr>
                <w:rFonts w:hint="default" w:ascii="Times New Roman" w:hAnsi="Times New Roman" w:cs="Times New Roman"/>
                <w:snapToGrid w:val="0"/>
                <w:color w:val="auto"/>
                <w:kern w:val="0"/>
                <w:sz w:val="24"/>
                <w:szCs w:val="22"/>
                <w:lang w:val="en-US" w:eastAsia="zh-CN"/>
              </w:rPr>
              <w:t>30</w:t>
            </w:r>
            <w:r>
              <w:rPr>
                <w:rFonts w:hint="default" w:ascii="Times New Roman" w:hAnsi="Times New Roman" w:eastAsia="宋体" w:cs="Times New Roman"/>
                <w:snapToGrid w:val="0"/>
                <w:color w:val="auto"/>
                <w:kern w:val="0"/>
                <w:sz w:val="24"/>
                <w:szCs w:val="22"/>
                <w:lang w:eastAsia="zh-CN"/>
              </w:rPr>
              <w:t>%左右。</w:t>
            </w:r>
          </w:p>
          <w:p w14:paraId="3A415F6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auto"/>
                <w:sz w:val="24"/>
                <w:lang w:val="en-US" w:eastAsia="zh-CN"/>
              </w:rPr>
            </w:pPr>
            <w:r>
              <w:rPr>
                <w:rFonts w:hint="default" w:ascii="Times New Roman" w:hAnsi="Times New Roman" w:cs="Times New Roman"/>
                <w:b/>
                <w:bCs/>
                <w:color w:val="auto"/>
                <w:sz w:val="24"/>
                <w:lang w:val="en-US" w:eastAsia="zh-CN"/>
              </w:rPr>
              <w:t>2.4陆生野生动物现状调查</w:t>
            </w:r>
          </w:p>
          <w:p w14:paraId="30BBAFF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sz w:val="24"/>
                <w:lang w:val="en-US" w:eastAsia="zh-CN"/>
              </w:rPr>
            </w:pPr>
            <w:r>
              <w:rPr>
                <w:rFonts w:hint="default" w:ascii="Times New Roman" w:hAnsi="Times New Roman" w:cs="Times New Roman"/>
                <w:b w:val="0"/>
                <w:bCs w:val="0"/>
                <w:color w:val="auto"/>
                <w:sz w:val="24"/>
                <w:lang w:val="en-US" w:eastAsia="zh-CN"/>
              </w:rPr>
              <w:t>根据现场调查和资料收集情况，受人类干扰严重。大型动物数量分布少，以鸟类和小型兽类为主。鸟类以麻雀、喜鹊、家燕等常见鸟类为主，偶见少量猛禽。兽类以草兔、灰仓鼠、小家鼠较为常见。爬行类中有捷蜥蜴、草原蝰等。</w:t>
            </w:r>
          </w:p>
          <w:p w14:paraId="27318A7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lang w:val="en-US" w:eastAsia="zh-CN"/>
              </w:rPr>
              <w:t>2、</w:t>
            </w:r>
            <w:r>
              <w:rPr>
                <w:rFonts w:hint="default" w:ascii="Times New Roman" w:hAnsi="Times New Roman" w:cs="Times New Roman"/>
                <w:b/>
                <w:bCs/>
                <w:color w:val="auto"/>
                <w:sz w:val="24"/>
              </w:rPr>
              <w:t>大气环境质量现状</w:t>
            </w:r>
          </w:p>
          <w:p w14:paraId="71E67B0A">
            <w:pPr>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b w:val="0"/>
                <w:bCs w:val="0"/>
                <w:color w:val="auto"/>
                <w:sz w:val="24"/>
                <w:szCs w:val="22"/>
                <w:highlight w:val="none"/>
                <w:lang w:val="en-US" w:eastAsia="zh-CN"/>
              </w:rPr>
            </w:pPr>
            <w:r>
              <w:rPr>
                <w:rFonts w:hint="default" w:ascii="Times New Roman" w:hAnsi="Times New Roman" w:eastAsia="宋体" w:cs="Times New Roman"/>
                <w:b w:val="0"/>
                <w:bCs w:val="0"/>
                <w:color w:val="auto"/>
                <w:sz w:val="24"/>
                <w:szCs w:val="22"/>
                <w:highlight w:val="none"/>
                <w:lang w:val="en-US" w:eastAsia="zh-CN"/>
              </w:rPr>
              <w:t>本次评价基本污染物SO</w:t>
            </w:r>
            <w:r>
              <w:rPr>
                <w:rFonts w:hint="default" w:ascii="Times New Roman" w:hAnsi="Times New Roman" w:eastAsia="宋体" w:cs="Times New Roman"/>
                <w:b w:val="0"/>
                <w:bCs w:val="0"/>
                <w:color w:val="auto"/>
                <w:sz w:val="24"/>
                <w:szCs w:val="22"/>
                <w:highlight w:val="none"/>
                <w:vertAlign w:val="subscript"/>
                <w:lang w:val="en-US" w:eastAsia="zh-CN"/>
              </w:rPr>
              <w:t>2</w:t>
            </w:r>
            <w:r>
              <w:rPr>
                <w:rFonts w:hint="default" w:ascii="Times New Roman" w:hAnsi="Times New Roman" w:eastAsia="宋体" w:cs="Times New Roman"/>
                <w:b w:val="0"/>
                <w:bCs w:val="0"/>
                <w:color w:val="auto"/>
                <w:sz w:val="24"/>
                <w:szCs w:val="22"/>
                <w:highlight w:val="none"/>
                <w:lang w:val="en-US" w:eastAsia="zh-CN"/>
              </w:rPr>
              <w:t>、NO</w:t>
            </w:r>
            <w:r>
              <w:rPr>
                <w:rFonts w:hint="default" w:ascii="Times New Roman" w:hAnsi="Times New Roman" w:eastAsia="宋体" w:cs="Times New Roman"/>
                <w:b w:val="0"/>
                <w:bCs w:val="0"/>
                <w:color w:val="auto"/>
                <w:sz w:val="24"/>
                <w:szCs w:val="22"/>
                <w:highlight w:val="none"/>
                <w:vertAlign w:val="subscript"/>
                <w:lang w:val="en-US" w:eastAsia="zh-CN"/>
              </w:rPr>
              <w:t>2</w:t>
            </w:r>
            <w:r>
              <w:rPr>
                <w:rFonts w:hint="default" w:ascii="Times New Roman" w:hAnsi="Times New Roman" w:eastAsia="宋体" w:cs="Times New Roman"/>
                <w:b w:val="0"/>
                <w:bCs w:val="0"/>
                <w:color w:val="auto"/>
                <w:sz w:val="24"/>
                <w:szCs w:val="22"/>
                <w:highlight w:val="none"/>
                <w:lang w:val="en-US" w:eastAsia="zh-CN"/>
              </w:rPr>
              <w:t>、PM</w:t>
            </w:r>
            <w:r>
              <w:rPr>
                <w:rFonts w:hint="default" w:ascii="Times New Roman" w:hAnsi="Times New Roman" w:eastAsia="宋体" w:cs="Times New Roman"/>
                <w:b w:val="0"/>
                <w:bCs w:val="0"/>
                <w:color w:val="auto"/>
                <w:sz w:val="24"/>
                <w:szCs w:val="22"/>
                <w:highlight w:val="none"/>
                <w:vertAlign w:val="subscript"/>
                <w:lang w:val="en-US" w:eastAsia="zh-CN"/>
              </w:rPr>
              <w:t>10</w:t>
            </w:r>
            <w:r>
              <w:rPr>
                <w:rFonts w:hint="default" w:ascii="Times New Roman" w:hAnsi="Times New Roman" w:eastAsia="宋体" w:cs="Times New Roman"/>
                <w:b w:val="0"/>
                <w:bCs w:val="0"/>
                <w:color w:val="auto"/>
                <w:sz w:val="24"/>
                <w:szCs w:val="22"/>
                <w:highlight w:val="none"/>
                <w:lang w:val="en-US" w:eastAsia="zh-CN"/>
              </w:rPr>
              <w:t>、PM</w:t>
            </w:r>
            <w:r>
              <w:rPr>
                <w:rFonts w:hint="default" w:ascii="Times New Roman" w:hAnsi="Times New Roman" w:eastAsia="宋体" w:cs="Times New Roman"/>
                <w:b w:val="0"/>
                <w:bCs w:val="0"/>
                <w:color w:val="auto"/>
                <w:sz w:val="24"/>
                <w:szCs w:val="22"/>
                <w:highlight w:val="none"/>
                <w:vertAlign w:val="subscript"/>
                <w:lang w:val="en-US" w:eastAsia="zh-CN"/>
              </w:rPr>
              <w:t>2.5</w:t>
            </w:r>
            <w:r>
              <w:rPr>
                <w:rFonts w:hint="default" w:ascii="Times New Roman" w:hAnsi="Times New Roman" w:eastAsia="宋体" w:cs="Times New Roman"/>
                <w:b w:val="0"/>
                <w:bCs w:val="0"/>
                <w:color w:val="auto"/>
                <w:sz w:val="24"/>
                <w:szCs w:val="22"/>
                <w:highlight w:val="none"/>
                <w:lang w:val="en-US" w:eastAsia="zh-CN"/>
              </w:rPr>
              <w:t>、CO和O</w:t>
            </w:r>
            <w:r>
              <w:rPr>
                <w:rFonts w:hint="default" w:ascii="Times New Roman" w:hAnsi="Times New Roman" w:eastAsia="宋体" w:cs="Times New Roman"/>
                <w:b w:val="0"/>
                <w:bCs w:val="0"/>
                <w:color w:val="auto"/>
                <w:sz w:val="24"/>
                <w:szCs w:val="22"/>
                <w:highlight w:val="none"/>
                <w:vertAlign w:val="subscript"/>
                <w:lang w:val="en-US" w:eastAsia="zh-CN"/>
              </w:rPr>
              <w:t>3</w:t>
            </w:r>
            <w:r>
              <w:rPr>
                <w:rFonts w:hint="default" w:ascii="Times New Roman" w:hAnsi="Times New Roman" w:eastAsia="宋体" w:cs="Times New Roman"/>
                <w:b w:val="0"/>
                <w:bCs w:val="0"/>
                <w:color w:val="auto"/>
                <w:sz w:val="24"/>
                <w:szCs w:val="22"/>
                <w:highlight w:val="none"/>
                <w:lang w:val="en-US" w:eastAsia="zh-CN"/>
              </w:rPr>
              <w:t>的数据引用</w:t>
            </w:r>
            <w:r>
              <w:rPr>
                <w:rFonts w:hint="default" w:ascii="Times New Roman" w:hAnsi="Times New Roman" w:cs="Times New Roman"/>
                <w:b w:val="0"/>
                <w:bCs w:val="0"/>
                <w:color w:val="auto"/>
                <w:sz w:val="24"/>
                <w:szCs w:val="22"/>
                <w:highlight w:val="none"/>
                <w:lang w:val="en-US" w:eastAsia="zh-CN"/>
              </w:rPr>
              <w:t>昌吉州</w:t>
            </w:r>
            <w:r>
              <w:rPr>
                <w:rFonts w:hint="default" w:ascii="Times New Roman" w:hAnsi="Times New Roman" w:eastAsia="宋体" w:cs="Times New Roman"/>
                <w:b w:val="0"/>
                <w:bCs w:val="0"/>
                <w:color w:val="auto"/>
                <w:sz w:val="24"/>
                <w:szCs w:val="22"/>
                <w:highlight w:val="none"/>
                <w:lang w:val="en-US" w:eastAsia="zh-CN"/>
              </w:rPr>
              <w:t>202</w:t>
            </w:r>
            <w:r>
              <w:rPr>
                <w:rFonts w:hint="default" w:ascii="Times New Roman" w:hAnsi="Times New Roman" w:cs="Times New Roman"/>
                <w:b w:val="0"/>
                <w:bCs w:val="0"/>
                <w:color w:val="auto"/>
                <w:sz w:val="24"/>
                <w:szCs w:val="22"/>
                <w:highlight w:val="none"/>
                <w:lang w:val="en-US" w:eastAsia="zh-CN"/>
              </w:rPr>
              <w:t>4</w:t>
            </w:r>
            <w:r>
              <w:rPr>
                <w:rFonts w:hint="default" w:ascii="Times New Roman" w:hAnsi="Times New Roman" w:eastAsia="宋体" w:cs="Times New Roman"/>
                <w:b w:val="0"/>
                <w:bCs w:val="0"/>
                <w:color w:val="auto"/>
                <w:sz w:val="24"/>
                <w:szCs w:val="22"/>
                <w:highlight w:val="none"/>
                <w:lang w:val="en-US" w:eastAsia="zh-CN"/>
              </w:rPr>
              <w:t>基准年连续1年的监测分析数据。</w:t>
            </w:r>
          </w:p>
          <w:p w14:paraId="583E0450">
            <w:pPr>
              <w:pStyle w:val="38"/>
              <w:spacing w:line="440" w:lineRule="exact"/>
              <w:ind w:firstLine="0" w:firstLineChars="0"/>
              <w:jc w:val="center"/>
              <w:textAlignment w:val="baseline"/>
              <w:rPr>
                <w:rFonts w:hint="default" w:ascii="Times New Roman" w:hAnsi="Times New Roman" w:eastAsia="宋体" w:cs="Times New Roman"/>
                <w:b/>
                <w:bCs w:val="0"/>
                <w:snapToGrid w:val="0"/>
                <w:color w:val="auto"/>
                <w:sz w:val="21"/>
                <w:szCs w:val="22"/>
                <w:lang w:val="en-US" w:eastAsia="zh-CN"/>
              </w:rPr>
            </w:pPr>
            <w:r>
              <w:rPr>
                <w:rFonts w:hint="default" w:ascii="Times New Roman" w:hAnsi="Times New Roman" w:eastAsia="宋体" w:cs="Times New Roman"/>
                <w:b/>
                <w:bCs w:val="0"/>
                <w:snapToGrid w:val="0"/>
                <w:color w:val="auto"/>
                <w:sz w:val="21"/>
                <w:szCs w:val="22"/>
                <w:lang w:val="en-US" w:eastAsia="zh-CN"/>
              </w:rPr>
              <w:t>表3-</w:t>
            </w:r>
            <w:r>
              <w:rPr>
                <w:rFonts w:hint="default" w:ascii="Times New Roman" w:hAnsi="Times New Roman" w:eastAsia="宋体" w:cs="Times New Roman"/>
                <w:b/>
                <w:bCs w:val="0"/>
                <w:snapToGrid w:val="0"/>
                <w:color w:val="auto"/>
                <w:sz w:val="21"/>
                <w:szCs w:val="22"/>
                <w:lang w:val="en-US" w:eastAsia="zh-CN"/>
              </w:rPr>
              <w:t>3</w:t>
            </w:r>
            <w:r>
              <w:rPr>
                <w:rFonts w:hint="default" w:ascii="Times New Roman" w:hAnsi="Times New Roman" w:eastAsia="宋体" w:cs="Times New Roman"/>
                <w:b/>
                <w:bCs w:val="0"/>
                <w:snapToGrid w:val="0"/>
                <w:color w:val="auto"/>
                <w:sz w:val="21"/>
                <w:szCs w:val="22"/>
                <w:lang w:val="en-US" w:eastAsia="zh-CN"/>
              </w:rPr>
              <w:t>区域空气质量现状评价结果一览表</w:t>
            </w:r>
          </w:p>
          <w:tbl>
            <w:tblPr>
              <w:tblStyle w:val="22"/>
              <w:tblW w:w="8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
              <w:gridCol w:w="3119"/>
              <w:gridCol w:w="1144"/>
              <w:gridCol w:w="1146"/>
              <w:gridCol w:w="1026"/>
              <w:gridCol w:w="1006"/>
            </w:tblGrid>
            <w:tr w14:paraId="5A2B4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6" w:type="dxa"/>
                  <w:vMerge w:val="restart"/>
                  <w:tcBorders>
                    <w:tl2br w:val="nil"/>
                    <w:tr2bl w:val="nil"/>
                  </w:tcBorders>
                  <w:noWrap w:val="0"/>
                  <w:vAlign w:val="center"/>
                </w:tcPr>
                <w:p w14:paraId="2BBE79CD">
                  <w:pPr>
                    <w:widowControl w:val="0"/>
                    <w:spacing w:line="240" w:lineRule="auto"/>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eastAsia="宋体" w:cs="Times New Roman"/>
                      <w:color w:val="auto"/>
                      <w:kern w:val="2"/>
                      <w:sz w:val="21"/>
                      <w:szCs w:val="24"/>
                      <w:highlight w:val="none"/>
                      <w:lang w:val="en-US" w:eastAsia="zh-CN"/>
                    </w:rPr>
                    <w:t>评价</w:t>
                  </w:r>
                </w:p>
                <w:p w14:paraId="5483D6CB">
                  <w:pPr>
                    <w:widowControl w:val="0"/>
                    <w:spacing w:line="240" w:lineRule="auto"/>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eastAsia="宋体" w:cs="Times New Roman"/>
                      <w:color w:val="auto"/>
                      <w:kern w:val="2"/>
                      <w:sz w:val="21"/>
                      <w:szCs w:val="24"/>
                      <w:highlight w:val="none"/>
                      <w:lang w:val="en-US" w:eastAsia="zh-CN"/>
                    </w:rPr>
                    <w:t>因子</w:t>
                  </w:r>
                </w:p>
              </w:tc>
              <w:tc>
                <w:tcPr>
                  <w:tcW w:w="3119" w:type="dxa"/>
                  <w:vMerge w:val="restart"/>
                  <w:tcBorders>
                    <w:tl2br w:val="nil"/>
                    <w:tr2bl w:val="nil"/>
                  </w:tcBorders>
                  <w:noWrap w:val="0"/>
                  <w:vAlign w:val="center"/>
                </w:tcPr>
                <w:p w14:paraId="269369FA">
                  <w:pPr>
                    <w:widowControl w:val="0"/>
                    <w:spacing w:line="240" w:lineRule="auto"/>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cs="Times New Roman"/>
                      <w:color w:val="auto"/>
                      <w:kern w:val="2"/>
                      <w:sz w:val="21"/>
                      <w:szCs w:val="24"/>
                      <w:highlight w:val="none"/>
                      <w:lang w:val="en-US" w:eastAsia="zh-CN"/>
                    </w:rPr>
                    <w:t>年度</w:t>
                  </w:r>
                  <w:r>
                    <w:rPr>
                      <w:rFonts w:hint="default" w:ascii="Times New Roman" w:hAnsi="Times New Roman" w:eastAsia="宋体" w:cs="Times New Roman"/>
                      <w:color w:val="auto"/>
                      <w:kern w:val="2"/>
                      <w:sz w:val="21"/>
                      <w:szCs w:val="24"/>
                      <w:highlight w:val="none"/>
                      <w:lang w:val="en-US" w:eastAsia="zh-CN"/>
                    </w:rPr>
                    <w:t>评价指标</w:t>
                  </w:r>
                </w:p>
              </w:tc>
              <w:tc>
                <w:tcPr>
                  <w:tcW w:w="1144" w:type="dxa"/>
                  <w:tcBorders>
                    <w:tl2br w:val="nil"/>
                    <w:tr2bl w:val="nil"/>
                  </w:tcBorders>
                  <w:noWrap w:val="0"/>
                  <w:vAlign w:val="center"/>
                </w:tcPr>
                <w:p w14:paraId="37B8016F">
                  <w:pPr>
                    <w:widowControl w:val="0"/>
                    <w:spacing w:line="240" w:lineRule="auto"/>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eastAsia="宋体" w:cs="Times New Roman"/>
                      <w:color w:val="auto"/>
                      <w:kern w:val="2"/>
                      <w:sz w:val="21"/>
                      <w:szCs w:val="24"/>
                      <w:highlight w:val="none"/>
                      <w:lang w:val="en-US" w:eastAsia="zh-CN"/>
                    </w:rPr>
                    <w:t>现状浓度</w:t>
                  </w:r>
                </w:p>
              </w:tc>
              <w:tc>
                <w:tcPr>
                  <w:tcW w:w="1146" w:type="dxa"/>
                  <w:tcBorders>
                    <w:tl2br w:val="nil"/>
                    <w:tr2bl w:val="nil"/>
                  </w:tcBorders>
                  <w:noWrap w:val="0"/>
                  <w:vAlign w:val="center"/>
                </w:tcPr>
                <w:p w14:paraId="6B7FFE05">
                  <w:pPr>
                    <w:widowControl w:val="0"/>
                    <w:spacing w:line="240" w:lineRule="auto"/>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eastAsia="宋体" w:cs="Times New Roman"/>
                      <w:color w:val="auto"/>
                      <w:kern w:val="2"/>
                      <w:sz w:val="21"/>
                      <w:szCs w:val="24"/>
                      <w:highlight w:val="none"/>
                      <w:lang w:val="en-US" w:eastAsia="zh-CN"/>
                    </w:rPr>
                    <w:t>标准限值</w:t>
                  </w:r>
                </w:p>
              </w:tc>
              <w:tc>
                <w:tcPr>
                  <w:tcW w:w="1026" w:type="dxa"/>
                  <w:vMerge w:val="restart"/>
                  <w:tcBorders>
                    <w:tl2br w:val="nil"/>
                    <w:tr2bl w:val="nil"/>
                  </w:tcBorders>
                  <w:noWrap w:val="0"/>
                  <w:vAlign w:val="center"/>
                </w:tcPr>
                <w:p w14:paraId="79DBD634">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占标率%</w:t>
                  </w:r>
                </w:p>
              </w:tc>
              <w:tc>
                <w:tcPr>
                  <w:tcW w:w="1006" w:type="dxa"/>
                  <w:vMerge w:val="restart"/>
                  <w:tcBorders>
                    <w:tl2br w:val="nil"/>
                    <w:tr2bl w:val="nil"/>
                  </w:tcBorders>
                  <w:noWrap w:val="0"/>
                  <w:vAlign w:val="center"/>
                </w:tcPr>
                <w:p w14:paraId="4CBF6933">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达标情况</w:t>
                  </w:r>
                </w:p>
              </w:tc>
            </w:tr>
            <w:tr w14:paraId="791E2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896" w:type="dxa"/>
                  <w:vMerge w:val="continue"/>
                  <w:tcBorders>
                    <w:tl2br w:val="nil"/>
                    <w:tr2bl w:val="nil"/>
                  </w:tcBorders>
                  <w:noWrap w:val="0"/>
                  <w:vAlign w:val="center"/>
                </w:tcPr>
                <w:p w14:paraId="235DBA9C">
                  <w:pPr>
                    <w:widowControl w:val="0"/>
                    <w:spacing w:line="240" w:lineRule="auto"/>
                    <w:jc w:val="center"/>
                    <w:rPr>
                      <w:rFonts w:hint="default" w:ascii="Times New Roman" w:hAnsi="Times New Roman" w:eastAsia="宋体" w:cs="Times New Roman"/>
                      <w:color w:val="auto"/>
                      <w:kern w:val="2"/>
                      <w:sz w:val="21"/>
                      <w:szCs w:val="24"/>
                      <w:highlight w:val="none"/>
                      <w:lang w:val="en-US" w:eastAsia="zh-CN"/>
                    </w:rPr>
                  </w:pPr>
                </w:p>
              </w:tc>
              <w:tc>
                <w:tcPr>
                  <w:tcW w:w="3119" w:type="dxa"/>
                  <w:vMerge w:val="continue"/>
                  <w:tcBorders>
                    <w:tl2br w:val="nil"/>
                    <w:tr2bl w:val="nil"/>
                  </w:tcBorders>
                  <w:noWrap w:val="0"/>
                  <w:vAlign w:val="center"/>
                </w:tcPr>
                <w:p w14:paraId="07F6CCCF">
                  <w:pPr>
                    <w:widowControl w:val="0"/>
                    <w:spacing w:line="240" w:lineRule="auto"/>
                    <w:jc w:val="center"/>
                    <w:rPr>
                      <w:rFonts w:hint="default" w:ascii="Times New Roman" w:hAnsi="Times New Roman" w:eastAsia="宋体" w:cs="Times New Roman"/>
                      <w:color w:val="auto"/>
                      <w:kern w:val="2"/>
                      <w:sz w:val="21"/>
                      <w:szCs w:val="24"/>
                      <w:highlight w:val="none"/>
                      <w:lang w:val="en-US" w:eastAsia="zh-CN"/>
                    </w:rPr>
                  </w:pPr>
                </w:p>
              </w:tc>
              <w:tc>
                <w:tcPr>
                  <w:tcW w:w="1144" w:type="dxa"/>
                  <w:tcBorders>
                    <w:tl2br w:val="nil"/>
                    <w:tr2bl w:val="nil"/>
                  </w:tcBorders>
                  <w:noWrap w:val="0"/>
                  <w:vAlign w:val="center"/>
                </w:tcPr>
                <w:p w14:paraId="42C2C5BD">
                  <w:pPr>
                    <w:widowControl w:val="0"/>
                    <w:spacing w:line="240" w:lineRule="auto"/>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eastAsia="宋体" w:cs="Times New Roman"/>
                      <w:color w:val="auto"/>
                      <w:kern w:val="2"/>
                      <w:sz w:val="21"/>
                      <w:szCs w:val="24"/>
                      <w:highlight w:val="none"/>
                      <w:lang w:val="en-US" w:eastAsia="zh-CN"/>
                    </w:rPr>
                    <w:t>（μg/m</w:t>
                  </w:r>
                  <w:r>
                    <w:rPr>
                      <w:rFonts w:hint="default" w:ascii="Times New Roman" w:hAnsi="Times New Roman" w:eastAsia="宋体" w:cs="Times New Roman"/>
                      <w:color w:val="auto"/>
                      <w:kern w:val="2"/>
                      <w:sz w:val="21"/>
                      <w:szCs w:val="24"/>
                      <w:highlight w:val="none"/>
                      <w:vertAlign w:val="superscript"/>
                      <w:lang w:val="en-US" w:eastAsia="zh-CN"/>
                    </w:rPr>
                    <w:t>3</w:t>
                  </w:r>
                  <w:r>
                    <w:rPr>
                      <w:rFonts w:hint="default" w:ascii="Times New Roman" w:hAnsi="Times New Roman" w:eastAsia="宋体" w:cs="Times New Roman"/>
                      <w:color w:val="auto"/>
                      <w:kern w:val="2"/>
                      <w:sz w:val="21"/>
                      <w:szCs w:val="24"/>
                      <w:highlight w:val="none"/>
                      <w:lang w:val="en-US" w:eastAsia="zh-CN"/>
                    </w:rPr>
                    <w:t>）</w:t>
                  </w:r>
                </w:p>
              </w:tc>
              <w:tc>
                <w:tcPr>
                  <w:tcW w:w="1146" w:type="dxa"/>
                  <w:tcBorders>
                    <w:tl2br w:val="nil"/>
                    <w:tr2bl w:val="nil"/>
                  </w:tcBorders>
                  <w:noWrap w:val="0"/>
                  <w:vAlign w:val="center"/>
                </w:tcPr>
                <w:p w14:paraId="2F5DD5FC">
                  <w:pPr>
                    <w:widowControl w:val="0"/>
                    <w:spacing w:line="240" w:lineRule="auto"/>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eastAsia="宋体" w:cs="Times New Roman"/>
                      <w:color w:val="auto"/>
                      <w:kern w:val="2"/>
                      <w:sz w:val="21"/>
                      <w:szCs w:val="24"/>
                      <w:highlight w:val="none"/>
                      <w:lang w:val="en-US" w:eastAsia="zh-CN"/>
                    </w:rPr>
                    <w:t>（μg/m</w:t>
                  </w:r>
                  <w:r>
                    <w:rPr>
                      <w:rFonts w:hint="default" w:ascii="Times New Roman" w:hAnsi="Times New Roman" w:eastAsia="宋体" w:cs="Times New Roman"/>
                      <w:color w:val="auto"/>
                      <w:kern w:val="2"/>
                      <w:sz w:val="21"/>
                      <w:szCs w:val="24"/>
                      <w:highlight w:val="none"/>
                      <w:vertAlign w:val="superscript"/>
                      <w:lang w:val="en-US" w:eastAsia="zh-CN"/>
                    </w:rPr>
                    <w:t>3</w:t>
                  </w:r>
                  <w:r>
                    <w:rPr>
                      <w:rFonts w:hint="default" w:ascii="Times New Roman" w:hAnsi="Times New Roman" w:eastAsia="宋体" w:cs="Times New Roman"/>
                      <w:color w:val="auto"/>
                      <w:kern w:val="2"/>
                      <w:sz w:val="21"/>
                      <w:szCs w:val="24"/>
                      <w:highlight w:val="none"/>
                      <w:lang w:val="en-US" w:eastAsia="zh-CN"/>
                    </w:rPr>
                    <w:t>）</w:t>
                  </w:r>
                </w:p>
              </w:tc>
              <w:tc>
                <w:tcPr>
                  <w:tcW w:w="1026" w:type="dxa"/>
                  <w:vMerge w:val="continue"/>
                  <w:tcBorders>
                    <w:tl2br w:val="nil"/>
                    <w:tr2bl w:val="nil"/>
                  </w:tcBorders>
                  <w:noWrap w:val="0"/>
                  <w:vAlign w:val="center"/>
                </w:tcPr>
                <w:p w14:paraId="61BFA1F5">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yellow"/>
                      <w:lang w:val="en-US"/>
                    </w:rPr>
                  </w:pPr>
                </w:p>
              </w:tc>
              <w:tc>
                <w:tcPr>
                  <w:tcW w:w="1006" w:type="dxa"/>
                  <w:vMerge w:val="continue"/>
                  <w:tcBorders>
                    <w:tl2br w:val="nil"/>
                    <w:tr2bl w:val="nil"/>
                  </w:tcBorders>
                  <w:noWrap w:val="0"/>
                  <w:vAlign w:val="center"/>
                </w:tcPr>
                <w:p w14:paraId="39A17437">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yellow"/>
                      <w:lang w:val="en-US"/>
                    </w:rPr>
                  </w:pPr>
                </w:p>
              </w:tc>
            </w:tr>
            <w:tr w14:paraId="57159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896" w:type="dxa"/>
                  <w:tcBorders>
                    <w:tl2br w:val="nil"/>
                    <w:tr2bl w:val="nil"/>
                  </w:tcBorders>
                  <w:noWrap w:val="0"/>
                  <w:vAlign w:val="center"/>
                </w:tcPr>
                <w:p w14:paraId="41E62307">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SO</w:t>
                  </w:r>
                  <w:r>
                    <w:rPr>
                      <w:rFonts w:hint="default" w:ascii="Times New Roman" w:hAnsi="Times New Roman" w:eastAsia="宋体" w:cs="Times New Roman"/>
                      <w:color w:val="auto"/>
                      <w:kern w:val="2"/>
                      <w:sz w:val="21"/>
                      <w:szCs w:val="24"/>
                      <w:highlight w:val="none"/>
                      <w:vertAlign w:val="subscript"/>
                      <w:lang w:val="en-US"/>
                    </w:rPr>
                    <w:t>2</w:t>
                  </w:r>
                </w:p>
              </w:tc>
              <w:tc>
                <w:tcPr>
                  <w:tcW w:w="3119" w:type="dxa"/>
                  <w:tcBorders>
                    <w:tl2br w:val="nil"/>
                    <w:tr2bl w:val="nil"/>
                  </w:tcBorders>
                  <w:noWrap w:val="0"/>
                  <w:vAlign w:val="center"/>
                </w:tcPr>
                <w:p w14:paraId="3F05C35B">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年平均</w:t>
                  </w:r>
                </w:p>
              </w:tc>
              <w:tc>
                <w:tcPr>
                  <w:tcW w:w="1144" w:type="dxa"/>
                  <w:tcBorders>
                    <w:tl2br w:val="nil"/>
                    <w:tr2bl w:val="nil"/>
                  </w:tcBorders>
                  <w:noWrap w:val="0"/>
                  <w:vAlign w:val="center"/>
                </w:tcPr>
                <w:p w14:paraId="7842B95C">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cs="Times New Roman"/>
                      <w:color w:val="auto"/>
                      <w:kern w:val="2"/>
                      <w:sz w:val="21"/>
                      <w:szCs w:val="24"/>
                      <w:highlight w:val="none"/>
                      <w:lang w:val="en-US" w:eastAsia="zh-CN"/>
                    </w:rPr>
                    <w:t>7</w:t>
                  </w:r>
                </w:p>
              </w:tc>
              <w:tc>
                <w:tcPr>
                  <w:tcW w:w="1146" w:type="dxa"/>
                  <w:tcBorders>
                    <w:tl2br w:val="nil"/>
                    <w:tr2bl w:val="nil"/>
                  </w:tcBorders>
                  <w:noWrap w:val="0"/>
                  <w:vAlign w:val="center"/>
                </w:tcPr>
                <w:p w14:paraId="6EDA8C1D">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eastAsia="宋体" w:cs="Times New Roman"/>
                      <w:color w:val="auto"/>
                      <w:kern w:val="2"/>
                      <w:sz w:val="21"/>
                      <w:szCs w:val="24"/>
                      <w:highlight w:val="none"/>
                      <w:lang w:val="en-US" w:eastAsia="zh-CN"/>
                    </w:rPr>
                    <w:t>60</w:t>
                  </w:r>
                </w:p>
              </w:tc>
              <w:tc>
                <w:tcPr>
                  <w:tcW w:w="1026" w:type="dxa"/>
                  <w:tcBorders>
                    <w:tl2br w:val="nil"/>
                    <w:tr2bl w:val="nil"/>
                  </w:tcBorders>
                  <w:noWrap w:val="0"/>
                  <w:vAlign w:val="center"/>
                </w:tcPr>
                <w:p w14:paraId="1E56E3ED">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cs="Times New Roman"/>
                      <w:color w:val="auto"/>
                      <w:kern w:val="2"/>
                      <w:sz w:val="21"/>
                      <w:szCs w:val="24"/>
                      <w:highlight w:val="none"/>
                      <w:lang w:val="en-US" w:eastAsia="zh-CN"/>
                    </w:rPr>
                    <w:t>11.7</w:t>
                  </w:r>
                </w:p>
              </w:tc>
              <w:tc>
                <w:tcPr>
                  <w:tcW w:w="1006" w:type="dxa"/>
                  <w:tcBorders>
                    <w:tl2br w:val="nil"/>
                    <w:tr2bl w:val="nil"/>
                  </w:tcBorders>
                  <w:noWrap w:val="0"/>
                  <w:vAlign w:val="center"/>
                </w:tcPr>
                <w:p w14:paraId="0964F460">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达标</w:t>
                  </w:r>
                </w:p>
              </w:tc>
            </w:tr>
            <w:tr w14:paraId="13E08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tc>
                <w:tcPr>
                  <w:tcW w:w="896" w:type="dxa"/>
                  <w:tcBorders>
                    <w:tl2br w:val="nil"/>
                    <w:tr2bl w:val="nil"/>
                  </w:tcBorders>
                  <w:noWrap w:val="0"/>
                  <w:vAlign w:val="center"/>
                </w:tcPr>
                <w:p w14:paraId="28CC1D0E">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NO</w:t>
                  </w:r>
                  <w:r>
                    <w:rPr>
                      <w:rFonts w:hint="default" w:ascii="Times New Roman" w:hAnsi="Times New Roman" w:eastAsia="宋体" w:cs="Times New Roman"/>
                      <w:color w:val="auto"/>
                      <w:kern w:val="2"/>
                      <w:sz w:val="21"/>
                      <w:szCs w:val="24"/>
                      <w:highlight w:val="none"/>
                      <w:vertAlign w:val="subscript"/>
                      <w:lang w:val="en-US"/>
                    </w:rPr>
                    <w:t>2</w:t>
                  </w:r>
                </w:p>
              </w:tc>
              <w:tc>
                <w:tcPr>
                  <w:tcW w:w="3119" w:type="dxa"/>
                  <w:tcBorders>
                    <w:tl2br w:val="nil"/>
                    <w:tr2bl w:val="nil"/>
                  </w:tcBorders>
                  <w:noWrap w:val="0"/>
                  <w:vAlign w:val="center"/>
                </w:tcPr>
                <w:p w14:paraId="50DB6339">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年平均</w:t>
                  </w:r>
                </w:p>
              </w:tc>
              <w:tc>
                <w:tcPr>
                  <w:tcW w:w="1144" w:type="dxa"/>
                  <w:tcBorders>
                    <w:tl2br w:val="nil"/>
                    <w:tr2bl w:val="nil"/>
                  </w:tcBorders>
                  <w:noWrap w:val="0"/>
                  <w:vAlign w:val="center"/>
                </w:tcPr>
                <w:p w14:paraId="53CE1F86">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cs="Times New Roman"/>
                      <w:color w:val="auto"/>
                      <w:kern w:val="2"/>
                      <w:sz w:val="21"/>
                      <w:szCs w:val="24"/>
                      <w:highlight w:val="none"/>
                      <w:lang w:val="en-US" w:eastAsia="zh-CN"/>
                    </w:rPr>
                    <w:t>30</w:t>
                  </w:r>
                </w:p>
              </w:tc>
              <w:tc>
                <w:tcPr>
                  <w:tcW w:w="1146" w:type="dxa"/>
                  <w:tcBorders>
                    <w:tl2br w:val="nil"/>
                    <w:tr2bl w:val="nil"/>
                  </w:tcBorders>
                  <w:noWrap w:val="0"/>
                  <w:vAlign w:val="center"/>
                </w:tcPr>
                <w:p w14:paraId="5EAC6A87">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eastAsia="宋体" w:cs="Times New Roman"/>
                      <w:color w:val="auto"/>
                      <w:kern w:val="2"/>
                      <w:sz w:val="21"/>
                      <w:szCs w:val="24"/>
                      <w:highlight w:val="none"/>
                      <w:lang w:val="en-US" w:eastAsia="zh-CN"/>
                    </w:rPr>
                    <w:t>40</w:t>
                  </w:r>
                </w:p>
              </w:tc>
              <w:tc>
                <w:tcPr>
                  <w:tcW w:w="1026" w:type="dxa"/>
                  <w:tcBorders>
                    <w:tl2br w:val="nil"/>
                    <w:tr2bl w:val="nil"/>
                  </w:tcBorders>
                  <w:noWrap w:val="0"/>
                  <w:vAlign w:val="center"/>
                </w:tcPr>
                <w:p w14:paraId="2CF6DB93">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cs="Times New Roman"/>
                      <w:color w:val="auto"/>
                      <w:kern w:val="2"/>
                      <w:sz w:val="21"/>
                      <w:szCs w:val="24"/>
                      <w:highlight w:val="none"/>
                      <w:lang w:val="en-US" w:eastAsia="zh-CN"/>
                    </w:rPr>
                    <w:t>75</w:t>
                  </w:r>
                </w:p>
              </w:tc>
              <w:tc>
                <w:tcPr>
                  <w:tcW w:w="1006" w:type="dxa"/>
                  <w:tcBorders>
                    <w:tl2br w:val="nil"/>
                    <w:tr2bl w:val="nil"/>
                  </w:tcBorders>
                  <w:noWrap w:val="0"/>
                  <w:vAlign w:val="top"/>
                </w:tcPr>
                <w:p w14:paraId="30201D7A">
                  <w:pPr>
                    <w:autoSpaceDE/>
                    <w:autoSpaceDN/>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达标</w:t>
                  </w:r>
                </w:p>
              </w:tc>
            </w:tr>
            <w:tr w14:paraId="7A30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896" w:type="dxa"/>
                  <w:tcBorders>
                    <w:tl2br w:val="nil"/>
                    <w:tr2bl w:val="nil"/>
                  </w:tcBorders>
                  <w:noWrap w:val="0"/>
                  <w:vAlign w:val="center"/>
                </w:tcPr>
                <w:p w14:paraId="72C0376B">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CO</w:t>
                  </w:r>
                </w:p>
              </w:tc>
              <w:tc>
                <w:tcPr>
                  <w:tcW w:w="3119" w:type="dxa"/>
                  <w:tcBorders>
                    <w:tl2br w:val="nil"/>
                    <w:tr2bl w:val="nil"/>
                  </w:tcBorders>
                  <w:noWrap w:val="0"/>
                  <w:vAlign w:val="center"/>
                </w:tcPr>
                <w:p w14:paraId="2405F445">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eastAsia="zh-CN"/>
                    </w:rPr>
                    <w:t>24h的</w:t>
                  </w:r>
                  <w:r>
                    <w:rPr>
                      <w:rFonts w:hint="default" w:ascii="Times New Roman" w:hAnsi="Times New Roman" w:eastAsia="宋体" w:cs="Times New Roman"/>
                      <w:color w:val="auto"/>
                      <w:kern w:val="2"/>
                      <w:sz w:val="21"/>
                      <w:szCs w:val="24"/>
                      <w:highlight w:val="none"/>
                      <w:lang w:val="en-US"/>
                    </w:rPr>
                    <w:t>第95百分位数</w:t>
                  </w:r>
                </w:p>
              </w:tc>
              <w:tc>
                <w:tcPr>
                  <w:tcW w:w="1144" w:type="dxa"/>
                  <w:tcBorders>
                    <w:tl2br w:val="nil"/>
                    <w:tr2bl w:val="nil"/>
                  </w:tcBorders>
                  <w:noWrap w:val="0"/>
                  <w:vAlign w:val="center"/>
                </w:tcPr>
                <w:p w14:paraId="744CF900">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cs="Times New Roman"/>
                      <w:color w:val="auto"/>
                      <w:kern w:val="2"/>
                      <w:sz w:val="21"/>
                      <w:szCs w:val="24"/>
                      <w:highlight w:val="none"/>
                      <w:lang w:val="en-US" w:eastAsia="zh-CN"/>
                    </w:rPr>
                    <w:t>1800</w:t>
                  </w:r>
                </w:p>
              </w:tc>
              <w:tc>
                <w:tcPr>
                  <w:tcW w:w="1146" w:type="dxa"/>
                  <w:tcBorders>
                    <w:tl2br w:val="nil"/>
                    <w:tr2bl w:val="nil"/>
                  </w:tcBorders>
                  <w:noWrap w:val="0"/>
                  <w:vAlign w:val="center"/>
                </w:tcPr>
                <w:p w14:paraId="2EE30A29">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4000</w:t>
                  </w:r>
                </w:p>
              </w:tc>
              <w:tc>
                <w:tcPr>
                  <w:tcW w:w="1026" w:type="dxa"/>
                  <w:tcBorders>
                    <w:tl2br w:val="nil"/>
                    <w:tr2bl w:val="nil"/>
                  </w:tcBorders>
                  <w:noWrap w:val="0"/>
                  <w:vAlign w:val="center"/>
                </w:tcPr>
                <w:p w14:paraId="6931910A">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cs="Times New Roman"/>
                      <w:color w:val="auto"/>
                      <w:kern w:val="2"/>
                      <w:sz w:val="21"/>
                      <w:szCs w:val="24"/>
                      <w:highlight w:val="none"/>
                      <w:lang w:val="en-US" w:eastAsia="zh-CN"/>
                    </w:rPr>
                    <w:t>45</w:t>
                  </w:r>
                </w:p>
              </w:tc>
              <w:tc>
                <w:tcPr>
                  <w:tcW w:w="1006" w:type="dxa"/>
                  <w:tcBorders>
                    <w:tl2br w:val="nil"/>
                    <w:tr2bl w:val="nil"/>
                  </w:tcBorders>
                  <w:noWrap w:val="0"/>
                  <w:vAlign w:val="top"/>
                </w:tcPr>
                <w:p w14:paraId="0416E5A4">
                  <w:pPr>
                    <w:autoSpaceDE/>
                    <w:autoSpaceDN/>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达标</w:t>
                  </w:r>
                </w:p>
              </w:tc>
            </w:tr>
            <w:tr w14:paraId="16D2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896" w:type="dxa"/>
                  <w:tcBorders>
                    <w:tl2br w:val="nil"/>
                    <w:tr2bl w:val="nil"/>
                  </w:tcBorders>
                  <w:noWrap w:val="0"/>
                  <w:vAlign w:val="center"/>
                </w:tcPr>
                <w:p w14:paraId="598A002E">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eastAsia="宋体" w:cs="Times New Roman"/>
                      <w:color w:val="auto"/>
                      <w:kern w:val="2"/>
                      <w:sz w:val="21"/>
                      <w:szCs w:val="24"/>
                      <w:highlight w:val="none"/>
                      <w:lang w:val="en-US"/>
                    </w:rPr>
                    <w:t>O</w:t>
                  </w:r>
                  <w:r>
                    <w:rPr>
                      <w:rFonts w:hint="default" w:ascii="Times New Roman" w:hAnsi="Times New Roman" w:eastAsia="宋体" w:cs="Times New Roman"/>
                      <w:color w:val="auto"/>
                      <w:kern w:val="2"/>
                      <w:sz w:val="21"/>
                      <w:szCs w:val="24"/>
                      <w:highlight w:val="none"/>
                      <w:vertAlign w:val="subscript"/>
                      <w:lang w:val="en-US"/>
                    </w:rPr>
                    <w:t>3</w:t>
                  </w:r>
                  <w:r>
                    <w:rPr>
                      <w:rFonts w:hint="default" w:ascii="Times New Roman" w:hAnsi="Times New Roman" w:eastAsia="宋体" w:cs="Times New Roman"/>
                      <w:color w:val="auto"/>
                      <w:kern w:val="2"/>
                      <w:sz w:val="21"/>
                      <w:szCs w:val="24"/>
                      <w:highlight w:val="none"/>
                      <w:vertAlign w:val="subscript"/>
                      <w:lang w:val="en-US" w:eastAsia="zh-CN"/>
                    </w:rPr>
                    <w:t>-8h</w:t>
                  </w:r>
                </w:p>
              </w:tc>
              <w:tc>
                <w:tcPr>
                  <w:tcW w:w="3119" w:type="dxa"/>
                  <w:tcBorders>
                    <w:tl2br w:val="nil"/>
                    <w:tr2bl w:val="nil"/>
                  </w:tcBorders>
                  <w:noWrap w:val="0"/>
                  <w:vAlign w:val="center"/>
                </w:tcPr>
                <w:p w14:paraId="1D14CE11">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eastAsia="宋体" w:cs="Times New Roman"/>
                      <w:color w:val="auto"/>
                      <w:kern w:val="2"/>
                      <w:sz w:val="21"/>
                      <w:szCs w:val="24"/>
                      <w:highlight w:val="none"/>
                      <w:lang w:val="en-US" w:eastAsia="zh-CN"/>
                    </w:rPr>
                    <w:t>最大8h</w:t>
                  </w:r>
                  <w:r>
                    <w:rPr>
                      <w:rFonts w:hint="default" w:ascii="Times New Roman" w:hAnsi="Times New Roman" w:eastAsia="宋体" w:cs="Times New Roman"/>
                      <w:color w:val="auto"/>
                      <w:kern w:val="2"/>
                      <w:sz w:val="21"/>
                      <w:szCs w:val="24"/>
                      <w:highlight w:val="none"/>
                      <w:lang w:val="en-US"/>
                    </w:rPr>
                    <w:t>平均</w:t>
                  </w:r>
                  <w:r>
                    <w:rPr>
                      <w:rFonts w:hint="default" w:ascii="Times New Roman" w:hAnsi="Times New Roman" w:eastAsia="宋体" w:cs="Times New Roman"/>
                      <w:color w:val="auto"/>
                      <w:kern w:val="2"/>
                      <w:sz w:val="21"/>
                      <w:szCs w:val="24"/>
                      <w:highlight w:val="none"/>
                      <w:lang w:val="en-US" w:eastAsia="zh-CN"/>
                    </w:rPr>
                    <w:t>值的</w:t>
                  </w:r>
                  <w:r>
                    <w:rPr>
                      <w:rFonts w:hint="default" w:ascii="Times New Roman" w:hAnsi="Times New Roman" w:eastAsia="宋体" w:cs="Times New Roman"/>
                      <w:color w:val="auto"/>
                      <w:kern w:val="2"/>
                      <w:sz w:val="21"/>
                      <w:szCs w:val="24"/>
                      <w:highlight w:val="none"/>
                      <w:lang w:val="en-US"/>
                    </w:rPr>
                    <w:t>第90百分位数</w:t>
                  </w:r>
                </w:p>
              </w:tc>
              <w:tc>
                <w:tcPr>
                  <w:tcW w:w="1144" w:type="dxa"/>
                  <w:tcBorders>
                    <w:tl2br w:val="nil"/>
                    <w:tr2bl w:val="nil"/>
                  </w:tcBorders>
                  <w:noWrap w:val="0"/>
                  <w:vAlign w:val="center"/>
                </w:tcPr>
                <w:p w14:paraId="379CBF2E">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yellow"/>
                      <w:lang w:val="en-US" w:eastAsia="zh-CN"/>
                    </w:rPr>
                  </w:pPr>
                  <w:r>
                    <w:rPr>
                      <w:rFonts w:hint="default" w:ascii="Times New Roman" w:hAnsi="Times New Roman" w:cs="Times New Roman"/>
                      <w:color w:val="auto"/>
                      <w:kern w:val="2"/>
                      <w:sz w:val="21"/>
                      <w:szCs w:val="24"/>
                      <w:highlight w:val="none"/>
                      <w:lang w:val="en-US" w:eastAsia="zh-CN"/>
                    </w:rPr>
                    <w:t>134</w:t>
                  </w:r>
                </w:p>
              </w:tc>
              <w:tc>
                <w:tcPr>
                  <w:tcW w:w="1146" w:type="dxa"/>
                  <w:tcBorders>
                    <w:tl2br w:val="nil"/>
                    <w:tr2bl w:val="nil"/>
                  </w:tcBorders>
                  <w:noWrap w:val="0"/>
                  <w:vAlign w:val="center"/>
                </w:tcPr>
                <w:p w14:paraId="0E96A0DB">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160</w:t>
                  </w:r>
                </w:p>
              </w:tc>
              <w:tc>
                <w:tcPr>
                  <w:tcW w:w="1026" w:type="dxa"/>
                  <w:tcBorders>
                    <w:tl2br w:val="nil"/>
                    <w:tr2bl w:val="nil"/>
                  </w:tcBorders>
                  <w:noWrap w:val="0"/>
                  <w:vAlign w:val="center"/>
                </w:tcPr>
                <w:p w14:paraId="79394194">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cs="Times New Roman"/>
                      <w:color w:val="auto"/>
                      <w:kern w:val="2"/>
                      <w:sz w:val="21"/>
                      <w:szCs w:val="24"/>
                      <w:highlight w:val="none"/>
                      <w:lang w:val="en-US" w:eastAsia="zh-CN"/>
                    </w:rPr>
                    <w:t>83.7</w:t>
                  </w:r>
                </w:p>
              </w:tc>
              <w:tc>
                <w:tcPr>
                  <w:tcW w:w="1006" w:type="dxa"/>
                  <w:tcBorders>
                    <w:tl2br w:val="nil"/>
                    <w:tr2bl w:val="nil"/>
                  </w:tcBorders>
                  <w:noWrap w:val="0"/>
                  <w:vAlign w:val="top"/>
                </w:tcPr>
                <w:p w14:paraId="630E74F4">
                  <w:pPr>
                    <w:autoSpaceDE/>
                    <w:autoSpaceDN/>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达标</w:t>
                  </w:r>
                </w:p>
              </w:tc>
            </w:tr>
            <w:tr w14:paraId="1689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896" w:type="dxa"/>
                  <w:tcBorders>
                    <w:tl2br w:val="nil"/>
                    <w:tr2bl w:val="nil"/>
                  </w:tcBorders>
                  <w:noWrap w:val="0"/>
                  <w:vAlign w:val="center"/>
                </w:tcPr>
                <w:p w14:paraId="216FA683">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PM</w:t>
                  </w:r>
                  <w:r>
                    <w:rPr>
                      <w:rFonts w:hint="default" w:ascii="Times New Roman" w:hAnsi="Times New Roman" w:eastAsia="宋体" w:cs="Times New Roman"/>
                      <w:color w:val="auto"/>
                      <w:kern w:val="2"/>
                      <w:sz w:val="21"/>
                      <w:szCs w:val="24"/>
                      <w:highlight w:val="none"/>
                      <w:vertAlign w:val="subscript"/>
                      <w:lang w:val="en-US"/>
                    </w:rPr>
                    <w:t>2.5</w:t>
                  </w:r>
                </w:p>
              </w:tc>
              <w:tc>
                <w:tcPr>
                  <w:tcW w:w="3119" w:type="dxa"/>
                  <w:tcBorders>
                    <w:tl2br w:val="nil"/>
                    <w:tr2bl w:val="nil"/>
                  </w:tcBorders>
                  <w:noWrap w:val="0"/>
                  <w:vAlign w:val="center"/>
                </w:tcPr>
                <w:p w14:paraId="63317360">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年平均</w:t>
                  </w:r>
                </w:p>
              </w:tc>
              <w:tc>
                <w:tcPr>
                  <w:tcW w:w="1144" w:type="dxa"/>
                  <w:tcBorders>
                    <w:tl2br w:val="nil"/>
                    <w:tr2bl w:val="nil"/>
                  </w:tcBorders>
                  <w:shd w:val="clear" w:color="auto" w:fill="auto"/>
                  <w:noWrap w:val="0"/>
                  <w:vAlign w:val="center"/>
                </w:tcPr>
                <w:p w14:paraId="43BCF2A2">
                  <w:pPr>
                    <w:autoSpaceDE w:val="0"/>
                    <w:autoSpaceDN w:val="0"/>
                    <w:adjustRightInd w:val="0"/>
                    <w:spacing w:before="0" w:after="0" w:line="240" w:lineRule="auto"/>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kern w:val="2"/>
                      <w:sz w:val="21"/>
                      <w:szCs w:val="24"/>
                      <w:highlight w:val="none"/>
                      <w:lang w:val="en-US" w:eastAsia="zh-CN" w:bidi="ar-SA"/>
                    </w:rPr>
                    <w:t>40</w:t>
                  </w:r>
                </w:p>
              </w:tc>
              <w:tc>
                <w:tcPr>
                  <w:tcW w:w="1146" w:type="dxa"/>
                  <w:tcBorders>
                    <w:tl2br w:val="nil"/>
                    <w:tr2bl w:val="nil"/>
                  </w:tcBorders>
                  <w:noWrap w:val="0"/>
                  <w:vAlign w:val="center"/>
                </w:tcPr>
                <w:p w14:paraId="402719E0">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35</w:t>
                  </w:r>
                </w:p>
              </w:tc>
              <w:tc>
                <w:tcPr>
                  <w:tcW w:w="1026" w:type="dxa"/>
                  <w:tcBorders>
                    <w:tl2br w:val="nil"/>
                    <w:tr2bl w:val="nil"/>
                  </w:tcBorders>
                  <w:noWrap w:val="0"/>
                  <w:vAlign w:val="center"/>
                </w:tcPr>
                <w:p w14:paraId="5ED79E8A">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cs="Times New Roman"/>
                      <w:color w:val="auto"/>
                      <w:kern w:val="2"/>
                      <w:sz w:val="21"/>
                      <w:szCs w:val="24"/>
                      <w:highlight w:val="none"/>
                      <w:lang w:val="en-US" w:eastAsia="zh-CN"/>
                    </w:rPr>
                    <w:t>114.3</w:t>
                  </w:r>
                </w:p>
              </w:tc>
              <w:tc>
                <w:tcPr>
                  <w:tcW w:w="1006" w:type="dxa"/>
                  <w:tcBorders>
                    <w:tl2br w:val="nil"/>
                    <w:tr2bl w:val="nil"/>
                  </w:tcBorders>
                  <w:noWrap w:val="0"/>
                  <w:vAlign w:val="top"/>
                </w:tcPr>
                <w:p w14:paraId="74206EBC">
                  <w:pPr>
                    <w:autoSpaceDE/>
                    <w:autoSpaceDN/>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超标</w:t>
                  </w:r>
                </w:p>
              </w:tc>
            </w:tr>
            <w:tr w14:paraId="7C24A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896" w:type="dxa"/>
                  <w:tcBorders>
                    <w:tl2br w:val="nil"/>
                    <w:tr2bl w:val="nil"/>
                  </w:tcBorders>
                  <w:noWrap w:val="0"/>
                  <w:vAlign w:val="center"/>
                </w:tcPr>
                <w:p w14:paraId="76CB8DFC">
                  <w:pPr>
                    <w:autoSpaceDE/>
                    <w:autoSpaceDN/>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PM</w:t>
                  </w:r>
                  <w:r>
                    <w:rPr>
                      <w:rFonts w:hint="default" w:ascii="Times New Roman" w:hAnsi="Times New Roman" w:eastAsia="宋体" w:cs="Times New Roman"/>
                      <w:color w:val="auto"/>
                      <w:kern w:val="2"/>
                      <w:sz w:val="21"/>
                      <w:szCs w:val="24"/>
                      <w:highlight w:val="none"/>
                      <w:vertAlign w:val="subscript"/>
                      <w:lang w:val="en-US"/>
                    </w:rPr>
                    <w:t>10</w:t>
                  </w:r>
                </w:p>
              </w:tc>
              <w:tc>
                <w:tcPr>
                  <w:tcW w:w="3119" w:type="dxa"/>
                  <w:tcBorders>
                    <w:tl2br w:val="nil"/>
                    <w:tr2bl w:val="nil"/>
                  </w:tcBorders>
                  <w:noWrap w:val="0"/>
                  <w:vAlign w:val="center"/>
                </w:tcPr>
                <w:p w14:paraId="66F9C1DF">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年平均</w:t>
                  </w:r>
                </w:p>
              </w:tc>
              <w:tc>
                <w:tcPr>
                  <w:tcW w:w="1144" w:type="dxa"/>
                  <w:tcBorders>
                    <w:tl2br w:val="nil"/>
                    <w:tr2bl w:val="nil"/>
                  </w:tcBorders>
                  <w:shd w:val="clear" w:color="auto" w:fill="auto"/>
                  <w:noWrap w:val="0"/>
                  <w:vAlign w:val="center"/>
                </w:tcPr>
                <w:p w14:paraId="6015C158">
                  <w:pPr>
                    <w:autoSpaceDE w:val="0"/>
                    <w:autoSpaceDN w:val="0"/>
                    <w:adjustRightInd w:val="0"/>
                    <w:spacing w:before="0" w:after="0" w:line="240" w:lineRule="auto"/>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kern w:val="2"/>
                      <w:sz w:val="21"/>
                      <w:szCs w:val="24"/>
                      <w:highlight w:val="none"/>
                      <w:lang w:val="en-US" w:eastAsia="zh-CN"/>
                    </w:rPr>
                    <w:t>70</w:t>
                  </w:r>
                </w:p>
              </w:tc>
              <w:tc>
                <w:tcPr>
                  <w:tcW w:w="1146" w:type="dxa"/>
                  <w:tcBorders>
                    <w:tl2br w:val="nil"/>
                    <w:tr2bl w:val="nil"/>
                  </w:tcBorders>
                  <w:noWrap w:val="0"/>
                  <w:vAlign w:val="center"/>
                </w:tcPr>
                <w:p w14:paraId="5A7DEBFB">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rPr>
                  </w:pPr>
                  <w:r>
                    <w:rPr>
                      <w:rFonts w:hint="default" w:ascii="Times New Roman" w:hAnsi="Times New Roman" w:eastAsia="宋体" w:cs="Times New Roman"/>
                      <w:color w:val="auto"/>
                      <w:kern w:val="2"/>
                      <w:sz w:val="21"/>
                      <w:szCs w:val="24"/>
                      <w:highlight w:val="none"/>
                      <w:lang w:val="en-US"/>
                    </w:rPr>
                    <w:t>70</w:t>
                  </w:r>
                </w:p>
              </w:tc>
              <w:tc>
                <w:tcPr>
                  <w:tcW w:w="1026" w:type="dxa"/>
                  <w:tcBorders>
                    <w:tl2br w:val="nil"/>
                    <w:tr2bl w:val="nil"/>
                  </w:tcBorders>
                  <w:noWrap w:val="0"/>
                  <w:vAlign w:val="center"/>
                </w:tcPr>
                <w:p w14:paraId="50D851BF">
                  <w:pPr>
                    <w:autoSpaceDE w:val="0"/>
                    <w:autoSpaceDN w:val="0"/>
                    <w:adjustRightInd w:val="0"/>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none"/>
                      <w:lang w:val="en-US" w:eastAsia="zh-CN"/>
                    </w:rPr>
                  </w:pPr>
                  <w:r>
                    <w:rPr>
                      <w:rFonts w:hint="default" w:ascii="Times New Roman" w:hAnsi="Times New Roman" w:cs="Times New Roman"/>
                      <w:color w:val="auto"/>
                      <w:kern w:val="2"/>
                      <w:sz w:val="21"/>
                      <w:szCs w:val="24"/>
                      <w:highlight w:val="none"/>
                      <w:lang w:val="en-US" w:eastAsia="zh-CN"/>
                    </w:rPr>
                    <w:t>100</w:t>
                  </w:r>
                </w:p>
              </w:tc>
              <w:tc>
                <w:tcPr>
                  <w:tcW w:w="1006" w:type="dxa"/>
                  <w:tcBorders>
                    <w:tl2br w:val="nil"/>
                    <w:tr2bl w:val="nil"/>
                  </w:tcBorders>
                  <w:noWrap w:val="0"/>
                  <w:vAlign w:val="top"/>
                </w:tcPr>
                <w:p w14:paraId="042318BD">
                  <w:pPr>
                    <w:autoSpaceDE/>
                    <w:autoSpaceDN/>
                    <w:spacing w:before="0" w:after="0" w:line="240" w:lineRule="auto"/>
                    <w:ind w:left="0" w:right="0" w:firstLine="0" w:firstLineChars="0"/>
                    <w:jc w:val="center"/>
                    <w:rPr>
                      <w:rFonts w:hint="default" w:ascii="Times New Roman" w:hAnsi="Times New Roman" w:eastAsia="宋体" w:cs="Times New Roman"/>
                      <w:color w:val="auto"/>
                      <w:kern w:val="2"/>
                      <w:sz w:val="21"/>
                      <w:szCs w:val="24"/>
                      <w:highlight w:val="yellow"/>
                      <w:lang w:val="en-US"/>
                    </w:rPr>
                  </w:pPr>
                  <w:r>
                    <w:rPr>
                      <w:rFonts w:hint="default" w:ascii="Times New Roman" w:hAnsi="Times New Roman" w:eastAsia="宋体" w:cs="Times New Roman"/>
                      <w:color w:val="auto"/>
                      <w:kern w:val="2"/>
                      <w:sz w:val="21"/>
                      <w:szCs w:val="24"/>
                      <w:highlight w:val="none"/>
                      <w:lang w:val="en-US" w:eastAsia="zh-CN"/>
                    </w:rPr>
                    <w:t>达</w:t>
                  </w:r>
                  <w:r>
                    <w:rPr>
                      <w:rFonts w:hint="default" w:ascii="Times New Roman" w:hAnsi="Times New Roman" w:eastAsia="宋体" w:cs="Times New Roman"/>
                      <w:color w:val="auto"/>
                      <w:kern w:val="2"/>
                      <w:sz w:val="21"/>
                      <w:szCs w:val="24"/>
                      <w:highlight w:val="none"/>
                      <w:lang w:val="en-US"/>
                    </w:rPr>
                    <w:t>标</w:t>
                  </w:r>
                </w:p>
              </w:tc>
            </w:tr>
          </w:tbl>
          <w:p w14:paraId="1B691555">
            <w:pPr>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jc w:val="both"/>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kern w:val="2"/>
                <w:sz w:val="24"/>
                <w:szCs w:val="20"/>
                <w:highlight w:val="none"/>
                <w:lang w:val="en-US" w:eastAsia="zh-CN" w:bidi="ar-SA"/>
              </w:rPr>
              <w:t>项目所在区域NO</w:t>
            </w:r>
            <w:r>
              <w:rPr>
                <w:rFonts w:hint="default" w:ascii="Times New Roman" w:hAnsi="Times New Roman" w:eastAsia="宋体" w:cs="Times New Roman"/>
                <w:color w:val="auto"/>
                <w:kern w:val="2"/>
                <w:sz w:val="24"/>
                <w:szCs w:val="20"/>
                <w:highlight w:val="none"/>
                <w:vertAlign w:val="subscript"/>
                <w:lang w:val="en-US" w:eastAsia="zh-CN" w:bidi="ar-SA"/>
              </w:rPr>
              <w:t>2</w:t>
            </w:r>
            <w:r>
              <w:rPr>
                <w:rFonts w:hint="default" w:ascii="Times New Roman" w:hAnsi="Times New Roman" w:eastAsia="宋体" w:cs="Times New Roman"/>
                <w:color w:val="auto"/>
                <w:kern w:val="2"/>
                <w:sz w:val="24"/>
                <w:szCs w:val="20"/>
                <w:highlight w:val="none"/>
                <w:lang w:val="en-US" w:eastAsia="zh-CN" w:bidi="ar-SA"/>
              </w:rPr>
              <w:t>、SO</w:t>
            </w:r>
            <w:r>
              <w:rPr>
                <w:rFonts w:hint="default" w:ascii="Times New Roman" w:hAnsi="Times New Roman" w:eastAsia="宋体" w:cs="Times New Roman"/>
                <w:color w:val="auto"/>
                <w:kern w:val="2"/>
                <w:sz w:val="24"/>
                <w:szCs w:val="20"/>
                <w:highlight w:val="none"/>
                <w:vertAlign w:val="subscript"/>
                <w:lang w:val="en-US" w:eastAsia="zh-CN" w:bidi="ar-SA"/>
              </w:rPr>
              <w:t>2</w:t>
            </w:r>
            <w:r>
              <w:rPr>
                <w:rFonts w:hint="default" w:ascii="Times New Roman" w:hAnsi="Times New Roman" w:eastAsia="宋体" w:cs="Times New Roman"/>
                <w:color w:val="auto"/>
                <w:kern w:val="2"/>
                <w:sz w:val="24"/>
                <w:szCs w:val="20"/>
                <w:highlight w:val="none"/>
                <w:lang w:val="en-US" w:eastAsia="zh-CN" w:bidi="ar-SA"/>
              </w:rPr>
              <w:t>、PM</w:t>
            </w:r>
            <w:r>
              <w:rPr>
                <w:rFonts w:hint="default" w:ascii="Times New Roman" w:hAnsi="Times New Roman" w:eastAsia="宋体" w:cs="Times New Roman"/>
                <w:color w:val="auto"/>
                <w:kern w:val="2"/>
                <w:sz w:val="24"/>
                <w:szCs w:val="20"/>
                <w:highlight w:val="none"/>
                <w:vertAlign w:val="subscript"/>
                <w:lang w:val="en-US" w:eastAsia="zh-CN" w:bidi="ar-SA"/>
              </w:rPr>
              <w:t>10</w:t>
            </w:r>
            <w:r>
              <w:rPr>
                <w:rFonts w:hint="default" w:ascii="Times New Roman" w:hAnsi="Times New Roman" w:eastAsia="宋体" w:cs="Times New Roman"/>
                <w:color w:val="auto"/>
                <w:kern w:val="2"/>
                <w:sz w:val="24"/>
                <w:szCs w:val="20"/>
                <w:highlight w:val="none"/>
                <w:lang w:val="en-US" w:eastAsia="zh-CN" w:bidi="ar-SA"/>
              </w:rPr>
              <w:t>、CO及O</w:t>
            </w:r>
            <w:r>
              <w:rPr>
                <w:rFonts w:hint="default" w:ascii="Times New Roman" w:hAnsi="Times New Roman" w:eastAsia="宋体" w:cs="Times New Roman"/>
                <w:color w:val="auto"/>
                <w:kern w:val="2"/>
                <w:sz w:val="24"/>
                <w:szCs w:val="20"/>
                <w:highlight w:val="none"/>
                <w:vertAlign w:val="subscript"/>
                <w:lang w:val="en-US" w:eastAsia="zh-CN" w:bidi="ar-SA"/>
              </w:rPr>
              <w:t>3</w:t>
            </w:r>
            <w:r>
              <w:rPr>
                <w:rFonts w:hint="default" w:ascii="Times New Roman" w:hAnsi="Times New Roman" w:eastAsia="宋体" w:cs="Times New Roman"/>
                <w:color w:val="auto"/>
                <w:kern w:val="2"/>
                <w:sz w:val="24"/>
                <w:szCs w:val="20"/>
                <w:highlight w:val="none"/>
                <w:lang w:val="en-US" w:eastAsia="zh-CN" w:bidi="ar-SA"/>
              </w:rPr>
              <w:t>百分位日平均浓度均满足《环境空气质量标准》（GB3095-2012）及其修改单中的二级标准要求；PM</w:t>
            </w:r>
            <w:r>
              <w:rPr>
                <w:rFonts w:hint="default" w:ascii="Times New Roman" w:hAnsi="Times New Roman" w:eastAsia="宋体" w:cs="Times New Roman"/>
                <w:color w:val="auto"/>
                <w:kern w:val="2"/>
                <w:sz w:val="24"/>
                <w:szCs w:val="20"/>
                <w:highlight w:val="none"/>
                <w:vertAlign w:val="subscript"/>
                <w:lang w:val="en-US" w:eastAsia="zh-CN" w:bidi="ar-SA"/>
              </w:rPr>
              <w:t>2.5</w:t>
            </w:r>
            <w:r>
              <w:rPr>
                <w:rFonts w:hint="default" w:ascii="Times New Roman" w:hAnsi="Times New Roman" w:eastAsia="宋体" w:cs="Times New Roman"/>
                <w:color w:val="auto"/>
                <w:kern w:val="2"/>
                <w:sz w:val="24"/>
                <w:szCs w:val="20"/>
                <w:highlight w:val="none"/>
                <w:lang w:val="en-US" w:eastAsia="zh-CN" w:bidi="ar-SA"/>
              </w:rPr>
              <w:t>的百分位日平均浓度均超过《环境空气质量标准》（GB3095-2012）及其修改单中的二级标准要求。因此区域为大气环境质量非达标区。</w:t>
            </w:r>
          </w:p>
          <w:p w14:paraId="223368F2">
            <w:pPr>
              <w:pStyle w:val="43"/>
              <w:rPr>
                <w:rFonts w:hint="default" w:ascii="Times New Roman" w:hAnsi="Times New Roman" w:cs="Times New Roman"/>
                <w:b/>
                <w:bCs/>
                <w:color w:val="auto"/>
                <w:sz w:val="24"/>
              </w:rPr>
            </w:pPr>
            <w:r>
              <w:rPr>
                <w:rFonts w:hint="default" w:ascii="Times New Roman" w:hAnsi="Times New Roman" w:cs="Times New Roman"/>
                <w:b/>
                <w:bCs/>
                <w:color w:val="auto"/>
                <w:szCs w:val="24"/>
                <w:lang w:val="en-US" w:eastAsia="zh-CN"/>
              </w:rPr>
              <w:t>3、</w:t>
            </w:r>
            <w:r>
              <w:rPr>
                <w:rFonts w:hint="default" w:ascii="Times New Roman" w:hAnsi="Times New Roman" w:cs="Times New Roman"/>
                <w:b/>
                <w:bCs/>
                <w:color w:val="auto"/>
                <w:sz w:val="24"/>
              </w:rPr>
              <w:t>地下水质量现状</w:t>
            </w:r>
          </w:p>
          <w:p w14:paraId="00BF25CC">
            <w:pPr>
              <w:pStyle w:val="30"/>
              <w:keepNext/>
              <w:keepLines/>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rPr>
              <w:t>根据《环境影响评价技术导则地下水环境》</w:t>
            </w:r>
            <w:r>
              <w:rPr>
                <w:rFonts w:hint="default" w:ascii="Times New Roman" w:hAnsi="Times New Roman" w:cs="Times New Roman"/>
                <w:b w:val="0"/>
                <w:bCs w:val="0"/>
                <w:color w:val="auto"/>
                <w:sz w:val="24"/>
                <w:lang w:eastAsia="zh-CN"/>
              </w:rPr>
              <w:t>（</w:t>
            </w:r>
            <w:r>
              <w:rPr>
                <w:rFonts w:hint="default" w:ascii="Times New Roman" w:hAnsi="Times New Roman" w:cs="Times New Roman"/>
                <w:b w:val="0"/>
                <w:bCs w:val="0"/>
                <w:color w:val="auto"/>
                <w:sz w:val="24"/>
              </w:rPr>
              <w:t>HJ610-2016</w:t>
            </w:r>
            <w:r>
              <w:rPr>
                <w:rFonts w:hint="default" w:ascii="Times New Roman" w:hAnsi="Times New Roman" w:cs="Times New Roman"/>
                <w:b w:val="0"/>
                <w:bCs w:val="0"/>
                <w:color w:val="auto"/>
                <w:sz w:val="24"/>
                <w:lang w:eastAsia="zh-CN"/>
              </w:rPr>
              <w:t>）</w:t>
            </w:r>
            <w:r>
              <w:rPr>
                <w:rFonts w:hint="default" w:ascii="Times New Roman" w:hAnsi="Times New Roman" w:cs="Times New Roman"/>
                <w:b w:val="0"/>
                <w:bCs w:val="0"/>
                <w:color w:val="auto"/>
                <w:sz w:val="24"/>
              </w:rPr>
              <w:t>，本项目属于“E电力，34其他能源</w:t>
            </w:r>
            <w:r>
              <w:rPr>
                <w:rFonts w:hint="default" w:ascii="Times New Roman" w:hAnsi="Times New Roman" w:cs="Times New Roman"/>
                <w:b w:val="0"/>
                <w:bCs w:val="0"/>
                <w:color w:val="auto"/>
                <w:sz w:val="24"/>
                <w:lang w:val="en-US" w:eastAsia="zh-CN"/>
              </w:rPr>
              <w:t>-其他风力发电</w:t>
            </w:r>
            <w:r>
              <w:rPr>
                <w:rFonts w:hint="default" w:ascii="Times New Roman" w:hAnsi="Times New Roman" w:cs="Times New Roman"/>
                <w:b w:val="0"/>
                <w:bCs w:val="0"/>
                <w:color w:val="auto"/>
                <w:sz w:val="24"/>
              </w:rPr>
              <w:t>”，本项目地下水环境影响评价项目类别为</w:t>
            </w:r>
            <w:r>
              <w:rPr>
                <w:rFonts w:hint="default" w:ascii="Times New Roman" w:hAnsi="Times New Roman" w:cs="Times New Roman"/>
                <w:b w:val="0"/>
                <w:bCs w:val="0"/>
                <w:color w:val="auto"/>
                <w:sz w:val="24"/>
                <w:lang w:eastAsia="zh-CN"/>
              </w:rPr>
              <w:t>Ⅳ类</w:t>
            </w:r>
            <w:r>
              <w:rPr>
                <w:rFonts w:hint="default" w:ascii="Times New Roman" w:hAnsi="Times New Roman" w:cs="Times New Roman"/>
                <w:b w:val="0"/>
                <w:bCs w:val="0"/>
                <w:color w:val="auto"/>
                <w:sz w:val="24"/>
              </w:rPr>
              <w:t>，无需进行地下水评价。</w:t>
            </w:r>
          </w:p>
          <w:p w14:paraId="304987A3">
            <w:pPr>
              <w:pStyle w:val="30"/>
              <w:keepNext/>
              <w:keepLines/>
              <w:pageBreakBefore w:val="0"/>
              <w:widowControl w:val="0"/>
              <w:kinsoku/>
              <w:wordWrap/>
              <w:overflowPunct/>
              <w:topLinePunct w:val="0"/>
              <w:autoSpaceDE/>
              <w:autoSpaceDN/>
              <w:bidi w:val="0"/>
              <w:adjustRightInd w:val="0"/>
              <w:snapToGrid/>
              <w:spacing w:line="360" w:lineRule="auto"/>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lang w:val="en-US" w:eastAsia="zh-CN"/>
              </w:rPr>
              <w:t>4、</w:t>
            </w:r>
            <w:r>
              <w:rPr>
                <w:rFonts w:hint="default" w:ascii="Times New Roman" w:hAnsi="Times New Roman" w:cs="Times New Roman"/>
                <w:b/>
                <w:bCs/>
                <w:color w:val="auto"/>
                <w:sz w:val="24"/>
              </w:rPr>
              <w:t>地表水环境现状</w:t>
            </w:r>
          </w:p>
          <w:p w14:paraId="4945094E">
            <w:pPr>
              <w:spacing w:line="360" w:lineRule="auto"/>
              <w:ind w:firstLine="480" w:firstLineChars="200"/>
              <w:rPr>
                <w:rFonts w:hint="default" w:ascii="Times New Roman" w:hAnsi="Times New Roman" w:cs="Times New Roman"/>
                <w:color w:val="auto"/>
                <w:sz w:val="24"/>
                <w:szCs w:val="22"/>
              </w:rPr>
            </w:pPr>
            <w:r>
              <w:rPr>
                <w:rFonts w:hint="default" w:ascii="Times New Roman" w:hAnsi="Times New Roman" w:cs="Times New Roman"/>
                <w:color w:val="auto"/>
                <w:sz w:val="24"/>
                <w:szCs w:val="22"/>
              </w:rPr>
              <w:t>根据项目特点以及《环境影响评价技术导则地表水环境》（HJ2.3-2018）项目评价范围内无地表水体，本工程与地表水体无水力联系，因此本项目不作地表水环境质量现状评价。</w:t>
            </w:r>
          </w:p>
          <w:p w14:paraId="38184B82">
            <w:pPr>
              <w:spacing w:line="360" w:lineRule="auto"/>
              <w:ind w:firstLine="482" w:firstLineChars="200"/>
              <w:rPr>
                <w:rFonts w:hint="default" w:ascii="Times New Roman" w:hAnsi="Times New Roman" w:cs="Times New Roman"/>
                <w:b/>
                <w:bCs/>
                <w:color w:val="auto"/>
                <w:sz w:val="24"/>
                <w:szCs w:val="22"/>
              </w:rPr>
            </w:pPr>
            <w:r>
              <w:rPr>
                <w:rFonts w:hint="default" w:ascii="Times New Roman" w:hAnsi="Times New Roman" w:cs="Times New Roman"/>
                <w:b/>
                <w:bCs/>
                <w:color w:val="auto"/>
                <w:sz w:val="24"/>
                <w:szCs w:val="22"/>
                <w:lang w:val="en-US" w:eastAsia="zh-CN"/>
              </w:rPr>
              <w:t>5、</w:t>
            </w:r>
            <w:r>
              <w:rPr>
                <w:rFonts w:hint="default" w:ascii="Times New Roman" w:hAnsi="Times New Roman" w:cs="Times New Roman"/>
                <w:b/>
                <w:bCs/>
                <w:color w:val="auto"/>
                <w:sz w:val="24"/>
                <w:szCs w:val="22"/>
              </w:rPr>
              <w:t>声环境质量现状</w:t>
            </w:r>
          </w:p>
          <w:p w14:paraId="13B52D8F">
            <w:pPr>
              <w:spacing w:line="360" w:lineRule="auto"/>
              <w:ind w:firstLine="480" w:firstLineChars="200"/>
              <w:rPr>
                <w:rFonts w:hint="default" w:ascii="Times New Roman" w:hAnsi="Times New Roman" w:cs="Times New Roman"/>
                <w:color w:val="auto"/>
                <w:sz w:val="24"/>
                <w:szCs w:val="22"/>
              </w:rPr>
            </w:pPr>
            <w:r>
              <w:rPr>
                <w:rFonts w:hint="default" w:ascii="Times New Roman" w:hAnsi="Times New Roman" w:cs="Times New Roman"/>
                <w:color w:val="auto"/>
                <w:sz w:val="24"/>
                <w:szCs w:val="22"/>
              </w:rPr>
              <w:t>本项目位于</w:t>
            </w:r>
            <w:r>
              <w:rPr>
                <w:rFonts w:hint="default" w:ascii="Times New Roman" w:hAnsi="Times New Roman" w:cs="Times New Roman"/>
                <w:color w:val="auto"/>
                <w:sz w:val="24"/>
                <w:szCs w:val="22"/>
                <w:lang w:eastAsia="zh-CN"/>
              </w:rPr>
              <w:t>新疆昌吉回族自治州木垒哈萨克自治县境内</w:t>
            </w:r>
            <w:r>
              <w:rPr>
                <w:rFonts w:hint="default" w:ascii="Times New Roman" w:hAnsi="Times New Roman" w:cs="Times New Roman"/>
                <w:color w:val="auto"/>
                <w:sz w:val="24"/>
              </w:rPr>
              <w:t>，</w:t>
            </w:r>
            <w:r>
              <w:rPr>
                <w:rFonts w:hint="default" w:ascii="Times New Roman" w:hAnsi="Times New Roman" w:cs="Times New Roman"/>
                <w:color w:val="auto"/>
                <w:sz w:val="24"/>
                <w:szCs w:val="22"/>
              </w:rPr>
              <w:t>因项目外50m范围内无声环境保护目标，故没有进行噪声现状监测。</w:t>
            </w:r>
          </w:p>
          <w:p w14:paraId="4E29ECA4">
            <w:pPr>
              <w:spacing w:line="360" w:lineRule="auto"/>
              <w:ind w:firstLine="482" w:firstLineChars="200"/>
              <w:rPr>
                <w:rFonts w:hint="default" w:ascii="Times New Roman" w:hAnsi="Times New Roman" w:cs="Times New Roman"/>
                <w:b/>
                <w:bCs/>
                <w:color w:val="auto"/>
                <w:sz w:val="24"/>
              </w:rPr>
            </w:pPr>
            <w:r>
              <w:rPr>
                <w:rFonts w:hint="default" w:ascii="Times New Roman" w:hAnsi="Times New Roman" w:cs="Times New Roman"/>
                <w:b/>
                <w:bCs/>
                <w:color w:val="auto"/>
                <w:sz w:val="24"/>
                <w:szCs w:val="22"/>
                <w:lang w:val="en-US" w:eastAsia="zh-CN"/>
              </w:rPr>
              <w:t>6、</w:t>
            </w:r>
            <w:r>
              <w:rPr>
                <w:rFonts w:hint="default" w:ascii="Times New Roman" w:hAnsi="Times New Roman" w:cs="Times New Roman"/>
                <w:b/>
                <w:bCs/>
                <w:color w:val="auto"/>
                <w:sz w:val="24"/>
              </w:rPr>
              <w:t>土壤质量现状</w:t>
            </w:r>
          </w:p>
          <w:p w14:paraId="0E742AFD">
            <w:pPr>
              <w:pStyle w:val="30"/>
              <w:spacing w:line="360" w:lineRule="auto"/>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rPr>
              <w:t>依据《环境影响评价技术导则土壤环境（试行）》（HJ964-2018）附录A土壤环境影响评价，本项目类别属于“电力热力燃气及水生产和供应业”中其它类，属于</w:t>
            </w:r>
            <w:r>
              <w:rPr>
                <w:rFonts w:hint="default" w:ascii="Times New Roman" w:hAnsi="Times New Roman" w:cs="Times New Roman"/>
                <w:b w:val="0"/>
                <w:bCs w:val="0"/>
                <w:color w:val="auto"/>
                <w:sz w:val="24"/>
                <w:lang w:eastAsia="zh-CN"/>
              </w:rPr>
              <w:t>Ⅳ类</w:t>
            </w:r>
            <w:r>
              <w:rPr>
                <w:rFonts w:hint="default" w:ascii="Times New Roman" w:hAnsi="Times New Roman" w:cs="Times New Roman"/>
                <w:b w:val="0"/>
                <w:bCs w:val="0"/>
                <w:color w:val="auto"/>
                <w:sz w:val="24"/>
              </w:rPr>
              <w:t>项目。根据导则要求可以不开展土壤环境影响评价。</w:t>
            </w:r>
          </w:p>
          <w:p w14:paraId="1CEBBEC3">
            <w:pPr>
              <w:pStyle w:val="30"/>
              <w:numPr>
                <w:ilvl w:val="0"/>
                <w:numId w:val="3"/>
              </w:numPr>
              <w:spacing w:line="360" w:lineRule="auto"/>
              <w:ind w:firstLine="482"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土地沙化现状</w:t>
            </w:r>
          </w:p>
          <w:p w14:paraId="504303F4">
            <w:pPr>
              <w:pStyle w:val="30"/>
              <w:numPr>
                <w:ilvl w:val="0"/>
                <w:numId w:val="0"/>
              </w:numPr>
              <w:spacing w:line="360" w:lineRule="auto"/>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根据《新疆第</w:t>
            </w:r>
            <w:r>
              <w:rPr>
                <w:rFonts w:hint="default" w:ascii="Times New Roman" w:hAnsi="Times New Roman" w:cs="Times New Roman"/>
                <w:b w:val="0"/>
                <w:bCs w:val="0"/>
                <w:color w:val="auto"/>
                <w:sz w:val="24"/>
                <w:szCs w:val="24"/>
                <w:lang w:val="en-US" w:eastAsia="zh-CN"/>
              </w:rPr>
              <w:t>六</w:t>
            </w:r>
            <w:r>
              <w:rPr>
                <w:rFonts w:hint="default" w:ascii="Times New Roman" w:hAnsi="Times New Roman" w:eastAsia="宋体" w:cs="Times New Roman"/>
                <w:b w:val="0"/>
                <w:bCs w:val="0"/>
                <w:color w:val="auto"/>
                <w:sz w:val="24"/>
                <w:szCs w:val="24"/>
              </w:rPr>
              <w:t>次沙化土地监测报告》，本项目所在区域为非沙化土地区。</w:t>
            </w:r>
          </w:p>
          <w:p w14:paraId="629E6BAD">
            <w:pPr>
              <w:pStyle w:val="30"/>
              <w:numPr>
                <w:ilvl w:val="0"/>
                <w:numId w:val="0"/>
              </w:numPr>
              <w:spacing w:line="360" w:lineRule="auto"/>
              <w:ind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8、</w:t>
            </w:r>
            <w:r>
              <w:rPr>
                <w:rFonts w:hint="default" w:ascii="Times New Roman" w:hAnsi="Times New Roman" w:eastAsia="宋体" w:cs="Times New Roman"/>
                <w:b/>
                <w:bCs/>
                <w:color w:val="auto"/>
                <w:sz w:val="24"/>
                <w:szCs w:val="24"/>
              </w:rPr>
              <w:t>水土流失现状</w:t>
            </w:r>
          </w:p>
          <w:p w14:paraId="33C9D486">
            <w:pPr>
              <w:pStyle w:val="30"/>
              <w:numPr>
                <w:ilvl w:val="0"/>
                <w:numId w:val="0"/>
              </w:numPr>
              <w:spacing w:line="360" w:lineRule="auto"/>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项目区地处</w:t>
            </w:r>
            <w:r>
              <w:rPr>
                <w:rFonts w:hint="default" w:ascii="Times New Roman" w:hAnsi="Times New Roman" w:cs="Times New Roman"/>
                <w:b w:val="0"/>
                <w:bCs w:val="0"/>
                <w:color w:val="auto"/>
                <w:sz w:val="24"/>
                <w:szCs w:val="24"/>
                <w:lang w:eastAsia="zh-CN"/>
              </w:rPr>
              <w:t>新疆昌吉回族自治州木垒哈萨克自治县境内</w:t>
            </w:r>
            <w:r>
              <w:rPr>
                <w:rFonts w:hint="default" w:ascii="Times New Roman" w:hAnsi="Times New Roman" w:eastAsia="宋体" w:cs="Times New Roman"/>
                <w:b w:val="0"/>
                <w:bCs w:val="0"/>
                <w:color w:val="auto"/>
                <w:sz w:val="24"/>
                <w:szCs w:val="24"/>
              </w:rPr>
              <w:t>，根据《全国水土保持规划国家级水土流失重点预防区和重点治理区复核划分成果》办水保〔2013〕188号，《新疆自治区级水土流失重点预防区和重点治理区复核划分成果》</w:t>
            </w:r>
            <w:r>
              <w:rPr>
                <w:rFonts w:hint="default" w:ascii="Times New Roman" w:hAnsi="Times New Roman" w:eastAsia="宋体" w:cs="Times New Roman"/>
                <w:b w:val="0"/>
                <w:bCs w:val="0"/>
                <w:color w:val="auto"/>
                <w:sz w:val="24"/>
                <w:szCs w:val="24"/>
                <w:lang w:eastAsia="zh-CN"/>
              </w:rPr>
              <w:t>（</w:t>
            </w:r>
            <w:r>
              <w:rPr>
                <w:rFonts w:hint="default" w:ascii="Times New Roman" w:hAnsi="Times New Roman" w:eastAsia="宋体" w:cs="Times New Roman"/>
                <w:b w:val="0"/>
                <w:bCs w:val="0"/>
                <w:color w:val="auto"/>
                <w:sz w:val="24"/>
                <w:szCs w:val="24"/>
              </w:rPr>
              <w:t>新水水保〔2019〕4号</w:t>
            </w:r>
            <w:r>
              <w:rPr>
                <w:rFonts w:hint="default" w:ascii="Times New Roman" w:hAnsi="Times New Roman" w:eastAsia="宋体" w:cs="Times New Roman"/>
                <w:b w:val="0"/>
                <w:bCs w:val="0"/>
                <w:color w:val="auto"/>
                <w:sz w:val="24"/>
                <w:szCs w:val="24"/>
                <w:lang w:eastAsia="zh-CN"/>
              </w:rPr>
              <w:t>）</w:t>
            </w:r>
            <w:r>
              <w:rPr>
                <w:rFonts w:hint="default" w:ascii="Times New Roman" w:hAnsi="Times New Roman" w:eastAsia="宋体" w:cs="Times New Roman"/>
                <w:b w:val="0"/>
                <w:bCs w:val="0"/>
                <w:color w:val="auto"/>
                <w:sz w:val="24"/>
                <w:szCs w:val="24"/>
              </w:rPr>
              <w:t>，本项目属于天山北坡国家级水土流失重点预防区和天山北坡渚小河流域重点治理区。</w:t>
            </w:r>
          </w:p>
          <w:p w14:paraId="50B80023">
            <w:pPr>
              <w:pStyle w:val="30"/>
              <w:numPr>
                <w:ilvl w:val="0"/>
                <w:numId w:val="0"/>
              </w:numPr>
              <w:spacing w:line="360" w:lineRule="auto"/>
              <w:ind w:firstLine="480" w:firstLineChars="200"/>
              <w:rPr>
                <w:rFonts w:hint="default" w:ascii="Times New Roman" w:hAnsi="Times New Roman" w:cs="Times New Roman"/>
                <w:color w:val="auto"/>
                <w:kern w:val="0"/>
                <w:sz w:val="24"/>
              </w:rPr>
            </w:pPr>
            <w:r>
              <w:rPr>
                <w:rFonts w:hint="default" w:ascii="Times New Roman" w:hAnsi="Times New Roman" w:eastAsia="宋体" w:cs="Times New Roman"/>
                <w:b w:val="0"/>
                <w:bCs w:val="0"/>
                <w:color w:val="auto"/>
                <w:sz w:val="24"/>
                <w:szCs w:val="24"/>
              </w:rPr>
              <w:t>项目区多年平均风速1.9m/s，最大风速21m/s，项目区原地貌植被覆盖度高，地表稳定性较好，在多风的季节</w:t>
            </w:r>
            <w:r>
              <w:rPr>
                <w:rFonts w:hint="default" w:ascii="Times New Roman" w:hAnsi="Times New Roman" w:cs="Times New Roman"/>
                <w:b w:val="0"/>
                <w:bCs w:val="0"/>
                <w:color w:val="auto"/>
                <w:sz w:val="24"/>
                <w:szCs w:val="24"/>
                <w:lang w:eastAsia="zh-CN"/>
              </w:rPr>
              <w:t>常</w:t>
            </w:r>
            <w:r>
              <w:rPr>
                <w:rFonts w:hint="default" w:ascii="Times New Roman" w:hAnsi="Times New Roman" w:eastAsia="宋体" w:cs="Times New Roman"/>
                <w:b w:val="0"/>
                <w:bCs w:val="0"/>
                <w:color w:val="auto"/>
                <w:sz w:val="24"/>
                <w:szCs w:val="24"/>
              </w:rPr>
              <w:t>形成轻度风蚀。项目区多年平均降水量276.1mm，水蚀集中于春夏季，水力侵蚀常以沟蚀形式表现，造成水土流失的自然原因主要是地形纵坡较大，水流冲刷作用强烈，项目区植被覆盖度高，地表无冲沟，水力侵蚀强度为轻度。</w:t>
            </w:r>
          </w:p>
        </w:tc>
      </w:tr>
      <w:tr w14:paraId="428FE0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1" w:type="dxa"/>
            <w:noWrap w:val="0"/>
            <w:vAlign w:val="center"/>
          </w:tcPr>
          <w:p w14:paraId="6D80B48B">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bCs/>
                <w:color w:val="auto"/>
                <w:sz w:val="24"/>
              </w:rPr>
              <w:t>与项目有关的原有环境污染和生态破坏问题</w:t>
            </w:r>
          </w:p>
        </w:tc>
        <w:tc>
          <w:tcPr>
            <w:tcW w:w="8436" w:type="dxa"/>
            <w:noWrap w:val="0"/>
            <w:vAlign w:val="center"/>
          </w:tcPr>
          <w:p w14:paraId="69F85C9F">
            <w:p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本项目属于新建项目，因此不</w:t>
            </w:r>
            <w:r>
              <w:rPr>
                <w:rFonts w:hint="default" w:ascii="Times New Roman" w:hAnsi="Times New Roman" w:cs="Times New Roman"/>
                <w:color w:val="auto"/>
                <w:sz w:val="24"/>
                <w:lang w:eastAsia="zh-CN"/>
              </w:rPr>
              <w:t>存在</w:t>
            </w:r>
            <w:r>
              <w:rPr>
                <w:rFonts w:hint="default" w:ascii="Times New Roman" w:hAnsi="Times New Roman" w:cs="Times New Roman"/>
                <w:color w:val="auto"/>
                <w:sz w:val="24"/>
              </w:rPr>
              <w:t>与本项目有关的原有环境污染和生态破坏问题。</w:t>
            </w:r>
          </w:p>
        </w:tc>
      </w:tr>
      <w:tr w14:paraId="682A2A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898" w:hRule="atLeast"/>
          <w:jc w:val="center"/>
        </w:trPr>
        <w:tc>
          <w:tcPr>
            <w:tcW w:w="721" w:type="dxa"/>
            <w:noWrap w:val="0"/>
            <w:vAlign w:val="center"/>
          </w:tcPr>
          <w:p w14:paraId="23370070">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生态环境保护目标</w:t>
            </w:r>
          </w:p>
        </w:tc>
        <w:tc>
          <w:tcPr>
            <w:tcW w:w="8436" w:type="dxa"/>
            <w:noWrap w:val="0"/>
            <w:vAlign w:val="center"/>
          </w:tcPr>
          <w:p w14:paraId="66648740">
            <w:p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（1）大气环境：本项目区</w:t>
            </w:r>
            <w:r>
              <w:rPr>
                <w:rFonts w:hint="default" w:ascii="Times New Roman" w:hAnsi="Times New Roman" w:cs="Times New Roman"/>
                <w:color w:val="auto"/>
                <w:kern w:val="21"/>
                <w:sz w:val="24"/>
              </w:rPr>
              <w:t>厂界外500</w:t>
            </w:r>
            <w:r>
              <w:rPr>
                <w:rFonts w:hint="default" w:ascii="Times New Roman" w:hAnsi="Times New Roman" w:cs="Times New Roman"/>
                <w:color w:val="auto"/>
                <w:kern w:val="21"/>
                <w:sz w:val="24"/>
                <w:lang w:val="en-US" w:eastAsia="zh-CN"/>
              </w:rPr>
              <w:t>m</w:t>
            </w:r>
            <w:r>
              <w:rPr>
                <w:rFonts w:hint="default" w:ascii="Times New Roman" w:hAnsi="Times New Roman" w:cs="Times New Roman"/>
                <w:color w:val="auto"/>
                <w:kern w:val="21"/>
                <w:sz w:val="24"/>
              </w:rPr>
              <w:t>范围内无自然保护区、风景名胜区、居住区、文化区等人群较集中的区域。</w:t>
            </w:r>
          </w:p>
          <w:p w14:paraId="0BE6900D">
            <w:pPr>
              <w:pStyle w:val="44"/>
              <w:spacing w:line="360" w:lineRule="auto"/>
              <w:ind w:firstLine="480"/>
              <w:rPr>
                <w:rFonts w:hint="default" w:ascii="Times New Roman" w:hAnsi="Times New Roman" w:cs="Times New Roman"/>
                <w:color w:val="auto"/>
                <w:kern w:val="2"/>
                <w:sz w:val="24"/>
                <w:szCs w:val="24"/>
              </w:rPr>
            </w:pPr>
            <w:r>
              <w:rPr>
                <w:rFonts w:hint="default" w:ascii="Times New Roman" w:hAnsi="Times New Roman" w:cs="Times New Roman"/>
                <w:color w:val="auto"/>
                <w:kern w:val="2"/>
                <w:sz w:val="24"/>
                <w:szCs w:val="24"/>
              </w:rPr>
              <w:t>（2）声环境：</w:t>
            </w:r>
            <w:r>
              <w:rPr>
                <w:rFonts w:hint="default" w:ascii="Times New Roman" w:hAnsi="Times New Roman" w:cs="Times New Roman"/>
                <w:color w:val="auto"/>
                <w:kern w:val="21"/>
                <w:sz w:val="24"/>
                <w:szCs w:val="24"/>
              </w:rPr>
              <w:t>本项目厂界外50</w:t>
            </w:r>
            <w:r>
              <w:rPr>
                <w:rFonts w:hint="default" w:ascii="Times New Roman" w:hAnsi="Times New Roman" w:cs="Times New Roman"/>
                <w:color w:val="auto"/>
                <w:kern w:val="21"/>
                <w:sz w:val="24"/>
                <w:szCs w:val="24"/>
                <w:lang w:val="en-US" w:eastAsia="zh-CN"/>
              </w:rPr>
              <w:t>m</w:t>
            </w:r>
            <w:r>
              <w:rPr>
                <w:rFonts w:hint="default" w:ascii="Times New Roman" w:hAnsi="Times New Roman" w:cs="Times New Roman"/>
                <w:color w:val="auto"/>
                <w:kern w:val="21"/>
                <w:sz w:val="24"/>
                <w:szCs w:val="24"/>
              </w:rPr>
              <w:t>范围内无声环境保护目标</w:t>
            </w:r>
            <w:r>
              <w:rPr>
                <w:rFonts w:hint="default" w:ascii="Times New Roman" w:hAnsi="Times New Roman" w:cs="Times New Roman"/>
                <w:color w:val="auto"/>
                <w:kern w:val="2"/>
                <w:sz w:val="24"/>
                <w:szCs w:val="24"/>
              </w:rPr>
              <w:t>。</w:t>
            </w:r>
          </w:p>
          <w:p w14:paraId="48B4A47F">
            <w:pPr>
              <w:pStyle w:val="44"/>
              <w:spacing w:line="360" w:lineRule="auto"/>
              <w:ind w:firstLine="480"/>
              <w:rPr>
                <w:rFonts w:hint="default" w:ascii="Times New Roman" w:hAnsi="Times New Roman" w:cs="Times New Roman"/>
                <w:color w:val="auto"/>
                <w:kern w:val="2"/>
                <w:sz w:val="24"/>
                <w:szCs w:val="24"/>
              </w:rPr>
            </w:pPr>
            <w:r>
              <w:rPr>
                <w:rFonts w:hint="default" w:ascii="Times New Roman" w:hAnsi="Times New Roman" w:cs="Times New Roman"/>
                <w:color w:val="auto"/>
                <w:kern w:val="2"/>
                <w:sz w:val="24"/>
                <w:szCs w:val="24"/>
              </w:rPr>
              <w:t>（3）地下水环境：</w:t>
            </w:r>
            <w:r>
              <w:rPr>
                <w:rFonts w:hint="default" w:ascii="Times New Roman" w:hAnsi="Times New Roman" w:cs="Times New Roman"/>
                <w:color w:val="auto"/>
                <w:kern w:val="21"/>
                <w:sz w:val="24"/>
                <w:szCs w:val="24"/>
              </w:rPr>
              <w:t>本项目厂界外500</w:t>
            </w:r>
            <w:r>
              <w:rPr>
                <w:rFonts w:hint="default" w:ascii="Times New Roman" w:hAnsi="Times New Roman" w:cs="Times New Roman"/>
                <w:color w:val="auto"/>
                <w:kern w:val="21"/>
                <w:sz w:val="24"/>
                <w:szCs w:val="24"/>
                <w:lang w:val="en-US" w:eastAsia="zh-CN"/>
              </w:rPr>
              <w:t>m</w:t>
            </w:r>
            <w:r>
              <w:rPr>
                <w:rFonts w:hint="default" w:ascii="Times New Roman" w:hAnsi="Times New Roman" w:cs="Times New Roman"/>
                <w:color w:val="auto"/>
                <w:kern w:val="21"/>
                <w:sz w:val="24"/>
                <w:szCs w:val="24"/>
              </w:rPr>
              <w:t>范围内无地下水集中式饮用水水源和热水、矿泉水、温泉等特殊地下水资源</w:t>
            </w:r>
            <w:r>
              <w:rPr>
                <w:rFonts w:hint="default" w:ascii="Times New Roman" w:hAnsi="Times New Roman" w:cs="Times New Roman"/>
                <w:color w:val="auto"/>
                <w:kern w:val="2"/>
                <w:sz w:val="24"/>
                <w:szCs w:val="24"/>
              </w:rPr>
              <w:t>。</w:t>
            </w:r>
          </w:p>
          <w:p w14:paraId="4E0A44E0">
            <w:p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（4）生态环境：根据对项目的现场踏勘，本项目主要为</w:t>
            </w:r>
            <w:r>
              <w:rPr>
                <w:rFonts w:hint="default" w:ascii="Times New Roman" w:hAnsi="Times New Roman" w:cs="Times New Roman"/>
                <w:snapToGrid w:val="0"/>
                <w:color w:val="auto"/>
                <w:kern w:val="0"/>
                <w:sz w:val="24"/>
                <w:lang w:val="en-US" w:eastAsia="zh-CN"/>
              </w:rPr>
              <w:t>天然牧草地</w:t>
            </w:r>
            <w:r>
              <w:rPr>
                <w:rFonts w:hint="default" w:ascii="Times New Roman" w:hAnsi="Times New Roman" w:cs="Times New Roman"/>
                <w:color w:val="auto"/>
                <w:sz w:val="24"/>
              </w:rPr>
              <w:t>。本项目生态环境保护目标见表3-</w:t>
            </w:r>
            <w:r>
              <w:rPr>
                <w:rFonts w:hint="default" w:ascii="Times New Roman" w:hAnsi="Times New Roman" w:cs="Times New Roman"/>
                <w:color w:val="auto"/>
                <w:sz w:val="24"/>
                <w:lang w:val="en-US" w:eastAsia="zh-CN"/>
              </w:rPr>
              <w:t>4</w:t>
            </w:r>
            <w:r>
              <w:rPr>
                <w:rFonts w:hint="default" w:ascii="Times New Roman" w:hAnsi="Times New Roman" w:cs="Times New Roman"/>
                <w:color w:val="auto"/>
                <w:sz w:val="24"/>
              </w:rPr>
              <w:t>。</w:t>
            </w:r>
          </w:p>
          <w:p w14:paraId="5481E2E0">
            <w:pPr>
              <w:pStyle w:val="38"/>
              <w:spacing w:line="440" w:lineRule="exact"/>
              <w:ind w:firstLine="0" w:firstLineChars="0"/>
              <w:jc w:val="center"/>
              <w:textAlignment w:val="baseline"/>
              <w:rPr>
                <w:rFonts w:hint="default" w:ascii="Times New Roman" w:hAnsi="Times New Roman" w:eastAsia="宋体" w:cs="Times New Roman"/>
                <w:b/>
                <w:bCs w:val="0"/>
                <w:snapToGrid w:val="0"/>
                <w:color w:val="auto"/>
                <w:sz w:val="21"/>
                <w:szCs w:val="22"/>
                <w:lang w:val="en-US" w:eastAsia="zh-CN"/>
              </w:rPr>
            </w:pPr>
            <w:r>
              <w:rPr>
                <w:rFonts w:hint="default" w:ascii="Times New Roman" w:hAnsi="Times New Roman" w:eastAsia="宋体" w:cs="Times New Roman"/>
                <w:b/>
                <w:bCs w:val="0"/>
                <w:snapToGrid w:val="0"/>
                <w:color w:val="auto"/>
                <w:sz w:val="21"/>
                <w:szCs w:val="22"/>
                <w:lang w:val="en-US" w:eastAsia="zh-CN"/>
              </w:rPr>
              <w:t>表3-</w:t>
            </w:r>
            <w:r>
              <w:rPr>
                <w:rFonts w:hint="default" w:ascii="Times New Roman" w:hAnsi="Times New Roman" w:eastAsia="宋体" w:cs="Times New Roman"/>
                <w:b/>
                <w:bCs w:val="0"/>
                <w:snapToGrid w:val="0"/>
                <w:color w:val="auto"/>
                <w:sz w:val="21"/>
                <w:szCs w:val="22"/>
                <w:lang w:val="en-US" w:eastAsia="zh-CN"/>
              </w:rPr>
              <w:t>4</w:t>
            </w:r>
            <w:r>
              <w:rPr>
                <w:rFonts w:hint="default" w:ascii="Times New Roman" w:hAnsi="Times New Roman" w:eastAsia="宋体" w:cs="Times New Roman"/>
                <w:b/>
                <w:bCs w:val="0"/>
                <w:snapToGrid w:val="0"/>
                <w:color w:val="auto"/>
                <w:sz w:val="21"/>
                <w:szCs w:val="22"/>
                <w:lang w:val="en-US" w:eastAsia="zh-CN"/>
              </w:rPr>
              <w:t>生态环境保护目标</w:t>
            </w:r>
          </w:p>
          <w:tbl>
            <w:tblPr>
              <w:tblStyle w:val="22"/>
              <w:tblW w:w="8178"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43"/>
              <w:gridCol w:w="1780"/>
              <w:gridCol w:w="1950"/>
              <w:gridCol w:w="3305"/>
            </w:tblGrid>
            <w:tr w14:paraId="2C95E2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143" w:type="dxa"/>
                  <w:noWrap w:val="0"/>
                  <w:vAlign w:val="center"/>
                </w:tcPr>
                <w:p w14:paraId="7F3FA834">
                  <w:pPr>
                    <w:jc w:val="center"/>
                    <w:rPr>
                      <w:rFonts w:hint="default" w:ascii="Times New Roman" w:hAnsi="Times New Roman" w:cs="Times New Roman"/>
                      <w:b/>
                      <w:bCs/>
                      <w:color w:val="auto"/>
                      <w:kern w:val="0"/>
                      <w:szCs w:val="21"/>
                    </w:rPr>
                  </w:pPr>
                  <w:r>
                    <w:rPr>
                      <w:rFonts w:hint="default" w:ascii="Times New Roman" w:hAnsi="Times New Roman" w:cs="Times New Roman"/>
                      <w:b/>
                      <w:bCs/>
                      <w:color w:val="auto"/>
                      <w:szCs w:val="21"/>
                    </w:rPr>
                    <w:t>环境要素</w:t>
                  </w:r>
                </w:p>
              </w:tc>
              <w:tc>
                <w:tcPr>
                  <w:tcW w:w="1780" w:type="dxa"/>
                  <w:noWrap w:val="0"/>
                  <w:vAlign w:val="center"/>
                </w:tcPr>
                <w:p w14:paraId="75EE9765">
                  <w:pPr>
                    <w:jc w:val="center"/>
                    <w:rPr>
                      <w:rFonts w:hint="default" w:ascii="Times New Roman" w:hAnsi="Times New Roman" w:cs="Times New Roman"/>
                      <w:b/>
                      <w:bCs/>
                      <w:color w:val="auto"/>
                      <w:kern w:val="0"/>
                      <w:szCs w:val="21"/>
                    </w:rPr>
                  </w:pPr>
                  <w:r>
                    <w:rPr>
                      <w:rFonts w:hint="default" w:ascii="Times New Roman" w:hAnsi="Times New Roman" w:cs="Times New Roman"/>
                      <w:b/>
                      <w:bCs/>
                      <w:color w:val="auto"/>
                      <w:szCs w:val="21"/>
                    </w:rPr>
                    <w:t>保护目标</w:t>
                  </w:r>
                </w:p>
              </w:tc>
              <w:tc>
                <w:tcPr>
                  <w:tcW w:w="1950" w:type="dxa"/>
                  <w:noWrap w:val="0"/>
                  <w:vAlign w:val="center"/>
                </w:tcPr>
                <w:p w14:paraId="107B8566">
                  <w:pPr>
                    <w:jc w:val="center"/>
                    <w:rPr>
                      <w:rFonts w:hint="default" w:ascii="Times New Roman" w:hAnsi="Times New Roman" w:cs="Times New Roman"/>
                      <w:b/>
                      <w:bCs/>
                      <w:color w:val="auto"/>
                      <w:kern w:val="0"/>
                      <w:szCs w:val="21"/>
                    </w:rPr>
                  </w:pPr>
                  <w:r>
                    <w:rPr>
                      <w:rFonts w:hint="default" w:ascii="Times New Roman" w:hAnsi="Times New Roman" w:cs="Times New Roman"/>
                      <w:b/>
                      <w:bCs/>
                      <w:color w:val="auto"/>
                      <w:szCs w:val="21"/>
                    </w:rPr>
                    <w:t>与项目区的距离及方位</w:t>
                  </w:r>
                </w:p>
              </w:tc>
              <w:tc>
                <w:tcPr>
                  <w:tcW w:w="3305" w:type="dxa"/>
                  <w:noWrap w:val="0"/>
                  <w:vAlign w:val="center"/>
                </w:tcPr>
                <w:p w14:paraId="11CF8A81">
                  <w:pPr>
                    <w:jc w:val="center"/>
                    <w:rPr>
                      <w:rFonts w:hint="default" w:ascii="Times New Roman" w:hAnsi="Times New Roman" w:cs="Times New Roman"/>
                      <w:b/>
                      <w:bCs/>
                      <w:color w:val="auto"/>
                      <w:kern w:val="0"/>
                      <w:szCs w:val="21"/>
                    </w:rPr>
                  </w:pPr>
                  <w:r>
                    <w:rPr>
                      <w:rFonts w:hint="default" w:ascii="Times New Roman" w:hAnsi="Times New Roman" w:cs="Times New Roman"/>
                      <w:b/>
                      <w:bCs/>
                      <w:color w:val="auto"/>
                      <w:szCs w:val="21"/>
                    </w:rPr>
                    <w:t>环境功能保护级别</w:t>
                  </w:r>
                </w:p>
              </w:tc>
            </w:tr>
            <w:tr w14:paraId="58712DB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143" w:type="dxa"/>
                  <w:vMerge w:val="restart"/>
                  <w:noWrap w:val="0"/>
                  <w:vAlign w:val="center"/>
                </w:tcPr>
                <w:p w14:paraId="77784F43">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生态环境</w:t>
                  </w:r>
                </w:p>
              </w:tc>
              <w:tc>
                <w:tcPr>
                  <w:tcW w:w="1780" w:type="dxa"/>
                  <w:noWrap w:val="0"/>
                  <w:vAlign w:val="center"/>
                </w:tcPr>
                <w:p w14:paraId="49769323">
                  <w:pPr>
                    <w:jc w:val="center"/>
                    <w:rPr>
                      <w:rFonts w:hint="default" w:ascii="Times New Roman" w:hAnsi="Times New Roman" w:cs="Times New Roman"/>
                      <w:color w:val="auto"/>
                      <w:kern w:val="0"/>
                      <w:szCs w:val="21"/>
                    </w:rPr>
                  </w:pPr>
                  <w:r>
                    <w:rPr>
                      <w:rFonts w:hint="default" w:ascii="Times New Roman" w:hAnsi="Times New Roman" w:cs="Times New Roman"/>
                      <w:color w:val="auto"/>
                      <w:szCs w:val="21"/>
                    </w:rPr>
                    <w:t>项目区占地四周边界范围内植被</w:t>
                  </w:r>
                </w:p>
              </w:tc>
              <w:tc>
                <w:tcPr>
                  <w:tcW w:w="1950" w:type="dxa"/>
                  <w:noWrap w:val="0"/>
                  <w:vAlign w:val="center"/>
                </w:tcPr>
                <w:p w14:paraId="1EEF3B51">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项目永久占地和临时占地范围内</w:t>
                  </w:r>
                </w:p>
              </w:tc>
              <w:tc>
                <w:tcPr>
                  <w:tcW w:w="3305" w:type="dxa"/>
                  <w:noWrap w:val="0"/>
                  <w:vAlign w:val="center"/>
                </w:tcPr>
                <w:p w14:paraId="7E587AD8">
                  <w:pPr>
                    <w:jc w:val="center"/>
                    <w:rPr>
                      <w:rFonts w:hint="default" w:ascii="Times New Roman" w:hAnsi="Times New Roman" w:cs="Times New Roman"/>
                      <w:color w:val="auto"/>
                      <w:kern w:val="0"/>
                      <w:szCs w:val="21"/>
                    </w:rPr>
                  </w:pPr>
                  <w:r>
                    <w:rPr>
                      <w:rFonts w:hint="default" w:ascii="Times New Roman" w:hAnsi="Times New Roman" w:cs="Times New Roman"/>
                      <w:color w:val="auto"/>
                      <w:szCs w:val="21"/>
                    </w:rPr>
                    <w:t>种类、数量变化小，不造成某个物种的灭绝，植被覆盖率相比之间不会下降，不改变原有生态系统</w:t>
                  </w:r>
                </w:p>
              </w:tc>
            </w:tr>
            <w:tr w14:paraId="341D52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143" w:type="dxa"/>
                  <w:vMerge w:val="continue"/>
                  <w:noWrap w:val="0"/>
                  <w:vAlign w:val="center"/>
                </w:tcPr>
                <w:p w14:paraId="1030FD3A">
                  <w:pPr>
                    <w:jc w:val="center"/>
                    <w:rPr>
                      <w:rFonts w:hint="default" w:ascii="Times New Roman" w:hAnsi="Times New Roman" w:cs="Times New Roman"/>
                      <w:color w:val="auto"/>
                      <w:kern w:val="0"/>
                      <w:szCs w:val="21"/>
                    </w:rPr>
                  </w:pPr>
                </w:p>
              </w:tc>
              <w:tc>
                <w:tcPr>
                  <w:tcW w:w="1780" w:type="dxa"/>
                  <w:noWrap w:val="0"/>
                  <w:vAlign w:val="center"/>
                </w:tcPr>
                <w:p w14:paraId="4915398F">
                  <w:pPr>
                    <w:jc w:val="center"/>
                    <w:rPr>
                      <w:rFonts w:hint="default" w:ascii="Times New Roman" w:hAnsi="Times New Roman" w:cs="Times New Roman"/>
                      <w:color w:val="auto"/>
                      <w:kern w:val="0"/>
                      <w:szCs w:val="21"/>
                    </w:rPr>
                  </w:pPr>
                  <w:r>
                    <w:rPr>
                      <w:rFonts w:hint="default" w:ascii="Times New Roman" w:hAnsi="Times New Roman" w:cs="Times New Roman"/>
                      <w:color w:val="auto"/>
                      <w:szCs w:val="21"/>
                    </w:rPr>
                    <w:t>项目区占地四周边界范围内土壤</w:t>
                  </w:r>
                </w:p>
              </w:tc>
              <w:tc>
                <w:tcPr>
                  <w:tcW w:w="1950" w:type="dxa"/>
                  <w:noWrap w:val="0"/>
                  <w:vAlign w:val="center"/>
                </w:tcPr>
                <w:p w14:paraId="5C6C3AAF">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项目永久占地和临时占地范围内</w:t>
                  </w:r>
                </w:p>
              </w:tc>
              <w:tc>
                <w:tcPr>
                  <w:tcW w:w="3305" w:type="dxa"/>
                  <w:noWrap w:val="0"/>
                  <w:vAlign w:val="center"/>
                </w:tcPr>
                <w:p w14:paraId="2534AD6E">
                  <w:pPr>
                    <w:jc w:val="center"/>
                    <w:rPr>
                      <w:rFonts w:hint="default" w:ascii="Times New Roman" w:hAnsi="Times New Roman" w:cs="Times New Roman"/>
                      <w:color w:val="auto"/>
                      <w:kern w:val="0"/>
                      <w:szCs w:val="21"/>
                    </w:rPr>
                  </w:pPr>
                  <w:r>
                    <w:rPr>
                      <w:rFonts w:hint="default" w:ascii="Times New Roman" w:hAnsi="Times New Roman" w:cs="Times New Roman"/>
                      <w:color w:val="auto"/>
                      <w:szCs w:val="21"/>
                    </w:rPr>
                    <w:t>水土流失得到治理</w:t>
                  </w:r>
                </w:p>
              </w:tc>
            </w:tr>
            <w:tr w14:paraId="649321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143" w:type="dxa"/>
                  <w:vMerge w:val="continue"/>
                  <w:noWrap w:val="0"/>
                  <w:vAlign w:val="center"/>
                </w:tcPr>
                <w:p w14:paraId="433EF9CA">
                  <w:pPr>
                    <w:jc w:val="center"/>
                    <w:rPr>
                      <w:rFonts w:hint="default" w:ascii="Times New Roman" w:hAnsi="Times New Roman" w:cs="Times New Roman"/>
                      <w:color w:val="auto"/>
                      <w:kern w:val="0"/>
                      <w:szCs w:val="21"/>
                    </w:rPr>
                  </w:pPr>
                </w:p>
              </w:tc>
              <w:tc>
                <w:tcPr>
                  <w:tcW w:w="1780" w:type="dxa"/>
                  <w:noWrap w:val="0"/>
                  <w:vAlign w:val="center"/>
                </w:tcPr>
                <w:p w14:paraId="131B302D">
                  <w:pPr>
                    <w:jc w:val="center"/>
                    <w:rPr>
                      <w:rFonts w:hint="default" w:ascii="Times New Roman" w:hAnsi="Times New Roman" w:cs="Times New Roman"/>
                      <w:color w:val="auto"/>
                      <w:kern w:val="0"/>
                      <w:szCs w:val="21"/>
                    </w:rPr>
                  </w:pPr>
                  <w:r>
                    <w:rPr>
                      <w:rFonts w:hint="default" w:ascii="Times New Roman" w:hAnsi="Times New Roman" w:cs="Times New Roman"/>
                      <w:color w:val="auto"/>
                      <w:szCs w:val="21"/>
                    </w:rPr>
                    <w:t>项目区占地四周边界范围内陆生动物</w:t>
                  </w:r>
                </w:p>
              </w:tc>
              <w:tc>
                <w:tcPr>
                  <w:tcW w:w="1950" w:type="dxa"/>
                  <w:noWrap w:val="0"/>
                  <w:vAlign w:val="center"/>
                </w:tcPr>
                <w:p w14:paraId="34245218">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项目永久占地和临时占地范围内</w:t>
                  </w:r>
                </w:p>
              </w:tc>
              <w:tc>
                <w:tcPr>
                  <w:tcW w:w="3305" w:type="dxa"/>
                  <w:noWrap w:val="0"/>
                  <w:vAlign w:val="center"/>
                </w:tcPr>
                <w:p w14:paraId="7AEFC8B5">
                  <w:pPr>
                    <w:jc w:val="center"/>
                    <w:rPr>
                      <w:rFonts w:hint="default" w:ascii="Times New Roman" w:hAnsi="Times New Roman" w:cs="Times New Roman"/>
                      <w:color w:val="auto"/>
                      <w:kern w:val="0"/>
                      <w:szCs w:val="21"/>
                    </w:rPr>
                  </w:pPr>
                  <w:r>
                    <w:rPr>
                      <w:rFonts w:hint="default" w:ascii="Times New Roman" w:hAnsi="Times New Roman" w:cs="Times New Roman"/>
                      <w:color w:val="auto"/>
                      <w:szCs w:val="21"/>
                    </w:rPr>
                    <w:t>使其种群数量不发生变化</w:t>
                  </w:r>
                </w:p>
              </w:tc>
            </w:tr>
          </w:tbl>
          <w:p w14:paraId="3D08233D">
            <w:pPr>
              <w:adjustRightInd w:val="0"/>
              <w:snapToGrid w:val="0"/>
              <w:spacing w:line="360" w:lineRule="auto"/>
              <w:rPr>
                <w:rFonts w:hint="default" w:ascii="Times New Roman" w:hAnsi="Times New Roman" w:cs="Times New Roman"/>
                <w:color w:val="auto"/>
                <w:sz w:val="24"/>
              </w:rPr>
            </w:pPr>
          </w:p>
        </w:tc>
      </w:tr>
      <w:tr w14:paraId="39E8C2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36" w:hRule="atLeast"/>
          <w:jc w:val="center"/>
        </w:trPr>
        <w:tc>
          <w:tcPr>
            <w:tcW w:w="721" w:type="dxa"/>
            <w:noWrap w:val="0"/>
            <w:vAlign w:val="center"/>
          </w:tcPr>
          <w:p w14:paraId="23BBCE16">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评价</w:t>
            </w:r>
          </w:p>
          <w:p w14:paraId="21B6FE3D">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标准</w:t>
            </w:r>
          </w:p>
        </w:tc>
        <w:tc>
          <w:tcPr>
            <w:tcW w:w="8436" w:type="dxa"/>
            <w:noWrap w:val="0"/>
            <w:vAlign w:val="center"/>
          </w:tcPr>
          <w:p w14:paraId="47AC729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lang w:val="en-US" w:eastAsia="zh-CN"/>
              </w:rPr>
              <w:t>1、</w:t>
            </w:r>
            <w:r>
              <w:rPr>
                <w:rFonts w:hint="default" w:ascii="Times New Roman" w:hAnsi="Times New Roman" w:cs="Times New Roman"/>
                <w:b/>
                <w:bCs/>
                <w:color w:val="auto"/>
                <w:sz w:val="24"/>
              </w:rPr>
              <w:t>环境质量标准</w:t>
            </w:r>
          </w:p>
          <w:p w14:paraId="6EDEB1F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（1）《环境空气质量标准》（GB3095-2012）二级标准；</w:t>
            </w:r>
          </w:p>
          <w:p w14:paraId="08FE7D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bCs/>
                <w:color w:val="auto"/>
                <w:sz w:val="24"/>
              </w:rPr>
            </w:pPr>
            <w:r>
              <w:rPr>
                <w:rFonts w:hint="default" w:ascii="Times New Roman" w:hAnsi="Times New Roman" w:cs="Times New Roman"/>
                <w:color w:val="auto"/>
                <w:sz w:val="24"/>
              </w:rPr>
              <w:t>（2）《声环境质量标准》（GB3096-2008）中2类标准；</w:t>
            </w:r>
          </w:p>
          <w:p w14:paraId="62097F47">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lang w:val="en-US" w:eastAsia="zh-CN"/>
              </w:rPr>
              <w:t>2、</w:t>
            </w:r>
            <w:r>
              <w:rPr>
                <w:rFonts w:hint="default" w:ascii="Times New Roman" w:hAnsi="Times New Roman" w:cs="Times New Roman"/>
                <w:b/>
                <w:bCs/>
                <w:color w:val="auto"/>
                <w:sz w:val="24"/>
              </w:rPr>
              <w:t>污染物排放标准</w:t>
            </w:r>
          </w:p>
          <w:p w14:paraId="71E4BAC7">
            <w:pPr>
              <w:pStyle w:val="31"/>
              <w:keepNext w:val="0"/>
              <w:keepLines w:val="0"/>
              <w:pageBreakBefore w:val="0"/>
              <w:widowControl w:val="0"/>
              <w:kinsoku/>
              <w:wordWrap/>
              <w:overflowPunct/>
              <w:topLinePunct w:val="0"/>
              <w:autoSpaceDE/>
              <w:autoSpaceDN/>
              <w:bidi w:val="0"/>
              <w:adjustRightInd w:val="0"/>
              <w:snapToGrid w:val="0"/>
              <w:spacing w:before="0" w:line="360" w:lineRule="auto"/>
              <w:ind w:firstLine="480" w:firstLineChars="200"/>
              <w:textAlignment w:val="auto"/>
              <w:rPr>
                <w:rFonts w:hint="default" w:ascii="Times New Roman" w:hAnsi="Times New Roman" w:cs="Times New Roman"/>
                <w:color w:val="auto"/>
                <w:szCs w:val="24"/>
              </w:rPr>
            </w:pPr>
            <w:r>
              <w:rPr>
                <w:rFonts w:hint="default" w:ascii="Times New Roman" w:hAnsi="Times New Roman" w:cs="Times New Roman"/>
                <w:color w:val="auto"/>
                <w:szCs w:val="24"/>
              </w:rPr>
              <w:t>（1）施工期施工场界噪声执行《建筑施工场界环境噪声排放标准》（GB12523-2011）标准（昼间70dB(A)，夜间55dB(A)）；</w:t>
            </w:r>
          </w:p>
          <w:p w14:paraId="47C6135D">
            <w:pPr>
              <w:pStyle w:val="31"/>
              <w:keepNext w:val="0"/>
              <w:keepLines w:val="0"/>
              <w:pageBreakBefore w:val="0"/>
              <w:widowControl w:val="0"/>
              <w:kinsoku/>
              <w:wordWrap/>
              <w:overflowPunct/>
              <w:topLinePunct w:val="0"/>
              <w:autoSpaceDE/>
              <w:autoSpaceDN/>
              <w:bidi w:val="0"/>
              <w:adjustRightInd w:val="0"/>
              <w:snapToGrid w:val="0"/>
              <w:spacing w:before="0" w:line="360" w:lineRule="auto"/>
              <w:ind w:firstLine="480" w:firstLineChars="200"/>
              <w:textAlignment w:val="auto"/>
              <w:rPr>
                <w:rFonts w:hint="default" w:ascii="Times New Roman" w:hAnsi="Times New Roman" w:cs="Times New Roman"/>
                <w:color w:val="auto"/>
                <w:szCs w:val="24"/>
              </w:rPr>
            </w:pPr>
            <w:r>
              <w:rPr>
                <w:rFonts w:hint="default" w:ascii="Times New Roman" w:hAnsi="Times New Roman" w:cs="Times New Roman"/>
                <w:color w:val="auto"/>
                <w:szCs w:val="24"/>
              </w:rPr>
              <w:t>（2）施工期粉尘执行《大气污染物综合排放标准》（GB16297-1996）无组织排放监控浓度限值；</w:t>
            </w:r>
          </w:p>
          <w:p w14:paraId="2BA2F8F4">
            <w:pPr>
              <w:pStyle w:val="31"/>
              <w:keepNext w:val="0"/>
              <w:keepLines w:val="0"/>
              <w:pageBreakBefore w:val="0"/>
              <w:widowControl w:val="0"/>
              <w:kinsoku/>
              <w:wordWrap/>
              <w:overflowPunct/>
              <w:topLinePunct w:val="0"/>
              <w:autoSpaceDE/>
              <w:autoSpaceDN/>
              <w:bidi w:val="0"/>
              <w:adjustRightInd w:val="0"/>
              <w:snapToGrid w:val="0"/>
              <w:spacing w:before="0" w:line="360" w:lineRule="auto"/>
              <w:ind w:firstLine="480" w:firstLineChars="200"/>
              <w:textAlignment w:val="auto"/>
              <w:rPr>
                <w:rFonts w:hint="default" w:ascii="Times New Roman" w:hAnsi="Times New Roman" w:eastAsia="宋体" w:cs="Times New Roman"/>
                <w:color w:val="auto"/>
                <w:szCs w:val="24"/>
                <w:lang w:eastAsia="zh-CN"/>
              </w:rPr>
            </w:pPr>
            <w:r>
              <w:rPr>
                <w:rFonts w:hint="default" w:ascii="Times New Roman" w:hAnsi="Times New Roman" w:cs="Times New Roman"/>
                <w:color w:val="auto"/>
                <w:szCs w:val="24"/>
                <w:lang w:eastAsia="zh-CN"/>
              </w:rPr>
              <w:t>（</w:t>
            </w:r>
            <w:r>
              <w:rPr>
                <w:rFonts w:hint="default" w:ascii="Times New Roman" w:hAnsi="Times New Roman" w:cs="Times New Roman"/>
                <w:color w:val="auto"/>
                <w:szCs w:val="24"/>
                <w:lang w:val="en-US" w:eastAsia="zh-CN"/>
              </w:rPr>
              <w:t>3</w:t>
            </w:r>
            <w:r>
              <w:rPr>
                <w:rFonts w:hint="default" w:ascii="Times New Roman" w:hAnsi="Times New Roman" w:cs="Times New Roman"/>
                <w:color w:val="auto"/>
                <w:szCs w:val="24"/>
                <w:lang w:eastAsia="zh-CN"/>
              </w:rPr>
              <w:t>）</w:t>
            </w:r>
            <w:r>
              <w:rPr>
                <w:rFonts w:hint="default" w:ascii="Times New Roman" w:hAnsi="Times New Roman" w:eastAsia="宋体" w:cs="Times New Roman"/>
                <w:color w:val="auto"/>
                <w:kern w:val="2"/>
                <w:szCs w:val="22"/>
                <w:lang w:val="en-US" w:eastAsia="zh-CN" w:bidi="ar-SA"/>
              </w:rPr>
              <w:t>生活污水执行</w:t>
            </w:r>
            <w:r>
              <w:rPr>
                <w:rFonts w:hint="default" w:ascii="Times New Roman" w:hAnsi="Times New Roman" w:eastAsia="宋体" w:cs="Times New Roman"/>
                <w:color w:val="auto"/>
                <w:kern w:val="2"/>
                <w:szCs w:val="22"/>
                <w:lang w:val="en-US" w:eastAsia="zh-CN" w:bidi="ar-SA"/>
              </w:rPr>
              <w:t>《污水综合排放标准》（GB8978-1996）中三级标准</w:t>
            </w:r>
            <w:r>
              <w:rPr>
                <w:rFonts w:hint="default" w:ascii="Times New Roman" w:hAnsi="Times New Roman" w:cs="Times New Roman"/>
                <w:color w:val="auto"/>
                <w:kern w:val="2"/>
                <w:szCs w:val="22"/>
                <w:lang w:val="en-US" w:eastAsia="zh-CN" w:bidi="ar-SA"/>
              </w:rPr>
              <w:t>。</w:t>
            </w:r>
          </w:p>
          <w:p w14:paraId="4C1F70DC">
            <w:pPr>
              <w:pStyle w:val="31"/>
              <w:keepNext w:val="0"/>
              <w:keepLines w:val="0"/>
              <w:pageBreakBefore w:val="0"/>
              <w:widowControl w:val="0"/>
              <w:kinsoku/>
              <w:wordWrap/>
              <w:overflowPunct/>
              <w:topLinePunct w:val="0"/>
              <w:autoSpaceDE/>
              <w:autoSpaceDN/>
              <w:bidi w:val="0"/>
              <w:adjustRightInd w:val="0"/>
              <w:snapToGrid w:val="0"/>
              <w:spacing w:before="0" w:line="360" w:lineRule="auto"/>
              <w:ind w:firstLine="480" w:firstLineChars="200"/>
              <w:textAlignment w:val="auto"/>
              <w:rPr>
                <w:rFonts w:hint="default" w:ascii="Times New Roman" w:hAnsi="Times New Roman" w:cs="Times New Roman"/>
                <w:color w:val="auto"/>
                <w:szCs w:val="24"/>
              </w:rPr>
            </w:pPr>
            <w:r>
              <w:rPr>
                <w:rFonts w:hint="default" w:ascii="Times New Roman" w:hAnsi="Times New Roman" w:cs="Times New Roman"/>
                <w:color w:val="auto"/>
                <w:szCs w:val="24"/>
              </w:rPr>
              <w:t>（</w:t>
            </w:r>
            <w:r>
              <w:rPr>
                <w:rFonts w:hint="default" w:ascii="Times New Roman" w:hAnsi="Times New Roman" w:cs="Times New Roman"/>
                <w:color w:val="auto"/>
                <w:szCs w:val="24"/>
                <w:lang w:val="en-US" w:eastAsia="zh-CN"/>
              </w:rPr>
              <w:t>4</w:t>
            </w:r>
            <w:r>
              <w:rPr>
                <w:rFonts w:hint="default" w:ascii="Times New Roman" w:hAnsi="Times New Roman" w:cs="Times New Roman"/>
                <w:color w:val="auto"/>
                <w:szCs w:val="24"/>
              </w:rPr>
              <w:t>）运营期噪声执行《声环境质量标准》（GB3096-2008）</w:t>
            </w:r>
            <w:r>
              <w:rPr>
                <w:rFonts w:hint="default" w:ascii="Times New Roman" w:hAnsi="Times New Roman" w:cs="Times New Roman"/>
                <w:color w:val="auto"/>
                <w:szCs w:val="24"/>
                <w:lang w:val="en-US" w:eastAsia="zh-CN"/>
              </w:rPr>
              <w:t>2类区域标准要求（昼间60dB（A），夜间50dB（A））</w:t>
            </w:r>
            <w:r>
              <w:rPr>
                <w:rFonts w:hint="default" w:ascii="Times New Roman" w:hAnsi="Times New Roman" w:cs="Times New Roman"/>
                <w:color w:val="auto"/>
                <w:szCs w:val="24"/>
              </w:rPr>
              <w:t>；</w:t>
            </w:r>
          </w:p>
          <w:p w14:paraId="3948C00C">
            <w:pPr>
              <w:pStyle w:val="31"/>
              <w:keepNext w:val="0"/>
              <w:keepLines w:val="0"/>
              <w:pageBreakBefore w:val="0"/>
              <w:widowControl w:val="0"/>
              <w:kinsoku/>
              <w:wordWrap/>
              <w:overflowPunct/>
              <w:topLinePunct w:val="0"/>
              <w:autoSpaceDE/>
              <w:autoSpaceDN/>
              <w:bidi w:val="0"/>
              <w:adjustRightInd w:val="0"/>
              <w:snapToGrid w:val="0"/>
              <w:spacing w:before="0" w:line="360" w:lineRule="auto"/>
              <w:ind w:firstLine="480" w:firstLineChars="200"/>
              <w:textAlignment w:val="auto"/>
              <w:rPr>
                <w:rFonts w:hint="default" w:ascii="Times New Roman" w:hAnsi="Times New Roman" w:cs="Times New Roman"/>
                <w:color w:val="auto"/>
                <w:szCs w:val="24"/>
              </w:rPr>
            </w:pP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5</w:t>
            </w:r>
            <w:r>
              <w:rPr>
                <w:rFonts w:hint="default" w:ascii="Times New Roman" w:hAnsi="Times New Roman" w:cs="Times New Roman"/>
                <w:color w:val="auto"/>
                <w:lang w:eastAsia="zh-CN"/>
              </w:rPr>
              <w:t>）</w:t>
            </w:r>
            <w:r>
              <w:rPr>
                <w:rFonts w:hint="default" w:ascii="Times New Roman" w:hAnsi="Times New Roman" w:cs="Times New Roman"/>
                <w:color w:val="auto"/>
                <w:szCs w:val="24"/>
              </w:rPr>
              <w:t>《一般工业固体废物贮存和填埋污染控制标准》（GB18599-2020）；</w:t>
            </w:r>
          </w:p>
          <w:p w14:paraId="43A54D4D">
            <w:pPr>
              <w:pStyle w:val="31"/>
              <w:keepNext w:val="0"/>
              <w:keepLines w:val="0"/>
              <w:pageBreakBefore w:val="0"/>
              <w:widowControl w:val="0"/>
              <w:kinsoku/>
              <w:wordWrap/>
              <w:overflowPunct/>
              <w:topLinePunct w:val="0"/>
              <w:autoSpaceDE/>
              <w:autoSpaceDN/>
              <w:bidi w:val="0"/>
              <w:adjustRightInd w:val="0"/>
              <w:snapToGrid w:val="0"/>
              <w:spacing w:before="0" w:line="360" w:lineRule="auto"/>
              <w:ind w:firstLine="480" w:firstLineChars="200"/>
              <w:textAlignment w:val="auto"/>
              <w:rPr>
                <w:rFonts w:hint="default" w:ascii="Times New Roman" w:hAnsi="Times New Roman" w:cs="Times New Roman"/>
                <w:color w:val="auto"/>
                <w:szCs w:val="24"/>
              </w:rPr>
            </w:pPr>
            <w:r>
              <w:rPr>
                <w:rFonts w:hint="default" w:ascii="Times New Roman" w:hAnsi="Times New Roman" w:cs="Times New Roman"/>
                <w:color w:val="auto"/>
                <w:szCs w:val="24"/>
              </w:rPr>
              <w:t>（</w:t>
            </w:r>
            <w:r>
              <w:rPr>
                <w:rFonts w:hint="default" w:ascii="Times New Roman" w:hAnsi="Times New Roman" w:cs="Times New Roman"/>
                <w:color w:val="auto"/>
                <w:szCs w:val="24"/>
                <w:lang w:val="en-US" w:eastAsia="zh-CN"/>
              </w:rPr>
              <w:t>6</w:t>
            </w:r>
            <w:r>
              <w:rPr>
                <w:rFonts w:hint="default" w:ascii="Times New Roman" w:hAnsi="Times New Roman" w:cs="Times New Roman"/>
                <w:color w:val="auto"/>
                <w:szCs w:val="24"/>
              </w:rPr>
              <w:t>）《危险废物贮存污染控制标准》（GB18597-20</w:t>
            </w:r>
            <w:r>
              <w:rPr>
                <w:rFonts w:hint="default" w:ascii="Times New Roman" w:hAnsi="Times New Roman" w:cs="Times New Roman"/>
                <w:color w:val="auto"/>
                <w:szCs w:val="24"/>
                <w:lang w:val="en-US" w:eastAsia="zh-CN"/>
              </w:rPr>
              <w:t>23</w:t>
            </w:r>
            <w:r>
              <w:rPr>
                <w:rFonts w:hint="default" w:ascii="Times New Roman" w:hAnsi="Times New Roman" w:cs="Times New Roman"/>
                <w:color w:val="auto"/>
                <w:szCs w:val="24"/>
              </w:rPr>
              <w:t>）；</w:t>
            </w:r>
          </w:p>
        </w:tc>
      </w:tr>
      <w:tr w14:paraId="6814BE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85" w:hRule="atLeast"/>
          <w:jc w:val="center"/>
        </w:trPr>
        <w:tc>
          <w:tcPr>
            <w:tcW w:w="721" w:type="dxa"/>
            <w:noWrap w:val="0"/>
            <w:vAlign w:val="center"/>
          </w:tcPr>
          <w:p w14:paraId="04CA66B8">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其他</w:t>
            </w:r>
          </w:p>
        </w:tc>
        <w:tc>
          <w:tcPr>
            <w:tcW w:w="8436" w:type="dxa"/>
            <w:noWrap w:val="0"/>
            <w:vAlign w:val="center"/>
          </w:tcPr>
          <w:p w14:paraId="7B68FD80">
            <w:pPr>
              <w:adjustRightInd w:val="0"/>
              <w:snapToGrid w:val="0"/>
              <w:spacing w:line="360" w:lineRule="auto"/>
              <w:ind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sz w:val="24"/>
              </w:rPr>
              <w:t>根据国家总量控制指标结合本项目所在区域的环境特征及本项目排污情况，本项目不设总量控制指标。</w:t>
            </w:r>
          </w:p>
        </w:tc>
      </w:tr>
    </w:tbl>
    <w:p w14:paraId="1BF28617">
      <w:pPr>
        <w:bidi w:val="0"/>
        <w:jc w:val="center"/>
        <w:rPr>
          <w:rFonts w:hint="default" w:ascii="Times New Roman" w:hAnsi="Times New Roman" w:eastAsia="黑体" w:cs="Times New Roman"/>
          <w:snapToGrid w:val="0"/>
          <w:color w:val="auto"/>
          <w:sz w:val="30"/>
          <w:szCs w:val="30"/>
          <w:lang w:eastAsia="zh-CN"/>
        </w:rPr>
      </w:pPr>
    </w:p>
    <w:p w14:paraId="4483F36F">
      <w:pPr>
        <w:bidi w:val="0"/>
        <w:jc w:val="center"/>
        <w:rPr>
          <w:rFonts w:hint="default" w:ascii="Times New Roman" w:hAnsi="Times New Roman" w:eastAsia="黑体" w:cs="Times New Roman"/>
          <w:snapToGrid w:val="0"/>
          <w:color w:val="auto"/>
          <w:sz w:val="30"/>
          <w:szCs w:val="30"/>
          <w:lang w:eastAsia="zh-CN"/>
        </w:rPr>
      </w:pPr>
    </w:p>
    <w:p w14:paraId="0167F58A">
      <w:pPr>
        <w:bidi w:val="0"/>
        <w:jc w:val="center"/>
        <w:rPr>
          <w:rFonts w:hint="default" w:ascii="Times New Roman" w:hAnsi="Times New Roman" w:eastAsia="黑体" w:cs="Times New Roman"/>
          <w:snapToGrid w:val="0"/>
          <w:color w:val="auto"/>
          <w:sz w:val="30"/>
          <w:szCs w:val="30"/>
          <w:lang w:eastAsia="zh-CN"/>
        </w:rPr>
      </w:pPr>
    </w:p>
    <w:p w14:paraId="4296228F">
      <w:pPr>
        <w:bidi w:val="0"/>
        <w:jc w:val="center"/>
        <w:rPr>
          <w:rFonts w:hint="default" w:ascii="Times New Roman" w:hAnsi="Times New Roman" w:eastAsia="黑体" w:cs="Times New Roman"/>
          <w:snapToGrid w:val="0"/>
          <w:color w:val="auto"/>
          <w:sz w:val="30"/>
          <w:szCs w:val="30"/>
          <w:lang w:eastAsia="zh-CN"/>
        </w:rPr>
      </w:pPr>
    </w:p>
    <w:p w14:paraId="4BBD16B6">
      <w:pPr>
        <w:bidi w:val="0"/>
        <w:jc w:val="center"/>
        <w:rPr>
          <w:rFonts w:hint="default" w:ascii="Times New Roman" w:hAnsi="Times New Roman" w:eastAsia="黑体" w:cs="Times New Roman"/>
          <w:snapToGrid w:val="0"/>
          <w:color w:val="auto"/>
          <w:sz w:val="30"/>
          <w:szCs w:val="30"/>
          <w:lang w:eastAsia="zh-CN"/>
        </w:rPr>
      </w:pPr>
    </w:p>
    <w:p w14:paraId="5917A1DB">
      <w:pPr>
        <w:bidi w:val="0"/>
        <w:jc w:val="center"/>
        <w:rPr>
          <w:rFonts w:hint="default" w:ascii="Times New Roman" w:hAnsi="Times New Roman" w:eastAsia="黑体" w:cs="Times New Roman"/>
          <w:snapToGrid w:val="0"/>
          <w:color w:val="auto"/>
          <w:sz w:val="30"/>
          <w:szCs w:val="30"/>
          <w:lang w:eastAsia="zh-CN"/>
        </w:rPr>
      </w:pPr>
    </w:p>
    <w:p w14:paraId="5E3C51C9">
      <w:pPr>
        <w:pStyle w:val="2"/>
        <w:numPr>
          <w:numId w:val="0"/>
        </w:numPr>
        <w:bidi w:val="0"/>
        <w:ind w:leftChars="0"/>
        <w:jc w:val="center"/>
        <w:rPr>
          <w:rFonts w:hint="default" w:ascii="Times New Roman" w:hAnsi="Times New Roman" w:cs="Times New Roman"/>
        </w:rPr>
      </w:pPr>
      <w:r>
        <w:rPr>
          <w:rFonts w:hint="default" w:ascii="Times New Roman" w:hAnsi="Times New Roman" w:cs="Times New Roman"/>
          <w:lang w:eastAsia="zh-CN"/>
        </w:rPr>
        <w:t>四、</w:t>
      </w:r>
      <w:r>
        <w:rPr>
          <w:rFonts w:hint="default" w:ascii="Times New Roman" w:hAnsi="Times New Roman" w:cs="Times New Roman"/>
        </w:rPr>
        <w:t>生态环境影响分析</w:t>
      </w:r>
    </w:p>
    <w:tbl>
      <w:tblPr>
        <w:tblStyle w:val="22"/>
        <w:tblW w:w="92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8595"/>
      </w:tblGrid>
      <w:tr w14:paraId="104608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9043" w:hRule="atLeast"/>
          <w:jc w:val="center"/>
        </w:trPr>
        <w:tc>
          <w:tcPr>
            <w:tcW w:w="647" w:type="dxa"/>
            <w:noWrap w:val="0"/>
            <w:tcMar>
              <w:left w:w="28" w:type="dxa"/>
              <w:right w:w="28" w:type="dxa"/>
            </w:tcMar>
            <w:vAlign w:val="center"/>
          </w:tcPr>
          <w:p w14:paraId="3D4991D2">
            <w:pPr>
              <w:pageBreakBefore w:val="0"/>
              <w:widowControl/>
              <w:kinsoku/>
              <w:wordWrap/>
              <w:overflowPunct/>
              <w:bidi w:val="0"/>
              <w:adjustRightInd w:val="0"/>
              <w:snapToGrid w:val="0"/>
              <w:spacing w:before="0" w:beforeLines="0" w:beforeAutospacing="0" w:after="0" w:afterLines="0" w:afterAutospacing="0"/>
              <w:ind w:left="0" w:leftChars="0" w:right="0" w:rightChars="0"/>
              <w:jc w:val="center"/>
              <w:rPr>
                <w:rFonts w:hint="default" w:ascii="Times New Roman" w:hAnsi="Times New Roman" w:eastAsia="宋体" w:cs="Times New Roman"/>
                <w:bCs/>
                <w:color w:val="auto"/>
                <w:kern w:val="2"/>
                <w:sz w:val="24"/>
                <w:szCs w:val="24"/>
                <w:lang w:val="en-US" w:eastAsia="zh-CN" w:bidi="ar-SA"/>
              </w:rPr>
            </w:pPr>
            <w:bookmarkStart w:id="6" w:name="_Hlk49796138"/>
            <w:r>
              <w:rPr>
                <w:rFonts w:hint="default" w:ascii="Times New Roman" w:hAnsi="Times New Roman" w:eastAsia="宋体" w:cs="Times New Roman"/>
                <w:bCs/>
                <w:color w:val="auto"/>
                <w:spacing w:val="10"/>
                <w:kern w:val="2"/>
                <w:sz w:val="24"/>
                <w:szCs w:val="24"/>
                <w:lang w:val="en-US" w:eastAsia="zh-CN" w:bidi="ar-SA"/>
              </w:rPr>
              <w:t>施工期生态环境影响分析</w:t>
            </w:r>
            <w:bookmarkEnd w:id="6"/>
          </w:p>
        </w:tc>
        <w:tc>
          <w:tcPr>
            <w:tcW w:w="8595" w:type="dxa"/>
            <w:noWrap w:val="0"/>
            <w:vAlign w:val="top"/>
          </w:tcPr>
          <w:p w14:paraId="04DC6857">
            <w:pPr>
              <w:pageBreakBefore w:val="0"/>
              <w:numPr>
                <w:ilvl w:val="0"/>
                <w:numId w:val="0"/>
              </w:numPr>
              <w:kinsoku/>
              <w:wordWrap/>
              <w:overflowPunct/>
              <w:bidi w:val="0"/>
              <w:spacing w:line="360" w:lineRule="auto"/>
              <w:ind w:right="0" w:rightChars="0"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1、</w:t>
            </w:r>
            <w:r>
              <w:rPr>
                <w:rFonts w:hint="default" w:ascii="Times New Roman" w:hAnsi="Times New Roman" w:eastAsia="宋体" w:cs="Times New Roman"/>
                <w:b/>
                <w:color w:val="auto"/>
                <w:sz w:val="24"/>
              </w:rPr>
              <w:t>生态环境影响分析</w:t>
            </w:r>
          </w:p>
          <w:p w14:paraId="717C9316">
            <w:pPr>
              <w:pageBreakBefore w:val="0"/>
              <w:kinsoku/>
              <w:wordWrap/>
              <w:overflowPunct/>
              <w:bidi w:val="0"/>
              <w:spacing w:line="360" w:lineRule="auto"/>
              <w:ind w:left="0" w:leftChars="0" w:right="0" w:rightChars="0"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本项目施工期生态影响因素主要表现为：工程施工期间的挖方、土石方临时堆放等临时占地，对建设区生态环境产生的影响。</w:t>
            </w:r>
          </w:p>
          <w:p w14:paraId="1368CB5C">
            <w:pPr>
              <w:pageBreakBefore w:val="0"/>
              <w:kinsoku/>
              <w:wordWrap/>
              <w:overflowPunct/>
              <w:bidi w:val="0"/>
              <w:spacing w:line="360" w:lineRule="auto"/>
              <w:ind w:left="0" w:leftChars="0" w:right="0" w:rightChars="0" w:firstLine="482" w:firstLineChars="200"/>
              <w:rPr>
                <w:rFonts w:hint="default" w:ascii="Times New Roman" w:hAnsi="Times New Roman" w:eastAsia="宋体" w:cs="Times New Roman"/>
                <w:b/>
                <w:bCs w:val="0"/>
                <w:color w:val="auto"/>
                <w:sz w:val="24"/>
              </w:rPr>
            </w:pPr>
            <w:r>
              <w:rPr>
                <w:rFonts w:hint="default" w:ascii="Times New Roman" w:hAnsi="Times New Roman" w:eastAsia="宋体" w:cs="Times New Roman"/>
                <w:b/>
                <w:bCs w:val="0"/>
                <w:color w:val="auto"/>
                <w:sz w:val="24"/>
                <w:lang w:val="en-US" w:eastAsia="zh-CN"/>
              </w:rPr>
              <w:t>1.1</w:t>
            </w:r>
            <w:r>
              <w:rPr>
                <w:rFonts w:hint="default" w:ascii="Times New Roman" w:hAnsi="Times New Roman" w:eastAsia="宋体" w:cs="Times New Roman"/>
                <w:b/>
                <w:bCs w:val="0"/>
                <w:color w:val="auto"/>
                <w:sz w:val="24"/>
              </w:rPr>
              <w:t>占地生态影响</w:t>
            </w:r>
          </w:p>
          <w:p w14:paraId="00E7EC6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本项目所在区域土地现状利用类型为</w:t>
            </w:r>
            <w:r>
              <w:rPr>
                <w:rFonts w:hint="default" w:ascii="Times New Roman" w:hAnsi="Times New Roman" w:eastAsia="宋体" w:cs="Times New Roman"/>
                <w:color w:val="auto"/>
                <w:kern w:val="0"/>
                <w:sz w:val="24"/>
                <w:szCs w:val="24"/>
                <w:lang w:eastAsia="zh-CN"/>
              </w:rPr>
              <w:t>草地（</w:t>
            </w:r>
            <w:r>
              <w:rPr>
                <w:rFonts w:hint="default" w:ascii="Times New Roman" w:hAnsi="Times New Roman" w:cs="Times New Roman"/>
                <w:color w:val="auto"/>
                <w:kern w:val="0"/>
                <w:sz w:val="24"/>
                <w:szCs w:val="24"/>
                <w:lang w:eastAsia="zh-CN"/>
              </w:rPr>
              <w:t>天然牧草地</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lang w:eastAsia="zh-CN"/>
              </w:rPr>
              <w:t>。</w:t>
            </w:r>
          </w:p>
          <w:p w14:paraId="5B40B09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Cs/>
                <w:color w:val="auto"/>
                <w:sz w:val="24"/>
              </w:rPr>
              <w:t>本项目属</w:t>
            </w:r>
            <w:r>
              <w:rPr>
                <w:rFonts w:hint="default" w:ascii="Times New Roman" w:hAnsi="Times New Roman" w:eastAsia="宋体" w:cs="Times New Roman"/>
                <w:bCs/>
                <w:color w:val="auto"/>
                <w:sz w:val="24"/>
                <w:lang w:val="en-US" w:eastAsia="zh-CN"/>
              </w:rPr>
              <w:t>风电场</w:t>
            </w:r>
            <w:r>
              <w:rPr>
                <w:rFonts w:hint="default" w:ascii="Times New Roman" w:hAnsi="Times New Roman" w:eastAsia="宋体" w:cs="Times New Roman"/>
                <w:bCs/>
                <w:color w:val="auto"/>
                <w:sz w:val="24"/>
              </w:rPr>
              <w:t>建设</w:t>
            </w:r>
            <w:r>
              <w:rPr>
                <w:rFonts w:hint="default" w:ascii="Times New Roman" w:hAnsi="Times New Roman" w:eastAsia="宋体" w:cs="Times New Roman"/>
                <w:bCs/>
                <w:color w:val="auto"/>
                <w:sz w:val="24"/>
                <w:lang w:eastAsia="zh-CN"/>
              </w:rPr>
              <w:t>项目</w:t>
            </w:r>
            <w:r>
              <w:rPr>
                <w:rFonts w:hint="default" w:ascii="Times New Roman" w:hAnsi="Times New Roman" w:eastAsia="宋体" w:cs="Times New Roman"/>
                <w:bCs/>
                <w:color w:val="auto"/>
                <w:sz w:val="24"/>
              </w:rPr>
              <w:t>，</w:t>
            </w:r>
            <w:r>
              <w:rPr>
                <w:rFonts w:hint="default" w:ascii="Times New Roman" w:hAnsi="Times New Roman" w:eastAsia="宋体" w:cs="Times New Roman"/>
                <w:b w:val="0"/>
                <w:bCs/>
                <w:color w:val="auto"/>
                <w:sz w:val="24"/>
                <w:lang w:val="en-US" w:eastAsia="zh-CN"/>
              </w:rPr>
              <w:t>风电场工程永久性征地面积为</w:t>
            </w:r>
            <w:r>
              <w:rPr>
                <w:rFonts w:hint="default" w:ascii="Times New Roman" w:hAnsi="Times New Roman" w:cs="Times New Roman"/>
                <w:b w:val="0"/>
                <w:bCs/>
                <w:color w:val="auto"/>
                <w:sz w:val="24"/>
                <w:lang w:val="en-US" w:eastAsia="zh-CN"/>
              </w:rPr>
              <w:t>40352.516</w:t>
            </w:r>
            <w:r>
              <w:rPr>
                <w:rFonts w:hint="default" w:ascii="Times New Roman" w:hAnsi="Times New Roman" w:eastAsia="宋体" w:cs="Times New Roman"/>
                <w:b w:val="0"/>
                <w:bCs/>
                <w:color w:val="auto"/>
                <w:sz w:val="24"/>
                <w:lang w:val="en-US" w:eastAsia="zh-CN"/>
              </w:rPr>
              <w:t>m</w:t>
            </w:r>
            <w:r>
              <w:rPr>
                <w:rFonts w:hint="default" w:ascii="Times New Roman" w:hAnsi="Times New Roman" w:eastAsia="宋体" w:cs="Times New Roman"/>
                <w:b w:val="0"/>
                <w:bCs/>
                <w:color w:val="auto"/>
                <w:sz w:val="24"/>
                <w:vertAlign w:val="superscript"/>
                <w:lang w:val="en-US" w:eastAsia="zh-CN"/>
              </w:rPr>
              <w:t>2</w:t>
            </w:r>
            <w:r>
              <w:rPr>
                <w:rFonts w:hint="default" w:ascii="Times New Roman" w:hAnsi="Times New Roman" w:eastAsia="宋体" w:cs="Times New Roman"/>
                <w:b w:val="0"/>
                <w:bCs/>
                <w:color w:val="auto"/>
                <w:sz w:val="24"/>
                <w:lang w:val="en-US" w:eastAsia="zh-CN"/>
              </w:rPr>
              <w:t>，临时性用地面积</w:t>
            </w:r>
            <w:r>
              <w:rPr>
                <w:rFonts w:hint="default" w:ascii="Times New Roman" w:hAnsi="Times New Roman" w:cs="Times New Roman"/>
                <w:b w:val="0"/>
                <w:bCs/>
                <w:color w:val="auto"/>
                <w:sz w:val="24"/>
                <w:lang w:val="en-US" w:eastAsia="zh-CN"/>
              </w:rPr>
              <w:t>557859</w:t>
            </w:r>
            <w:r>
              <w:rPr>
                <w:rFonts w:hint="default" w:ascii="Times New Roman" w:hAnsi="Times New Roman" w:eastAsia="宋体" w:cs="Times New Roman"/>
                <w:b w:val="0"/>
                <w:bCs/>
                <w:color w:val="auto"/>
                <w:sz w:val="24"/>
                <w:lang w:val="en-US" w:eastAsia="zh-CN"/>
              </w:rPr>
              <w:t>m</w:t>
            </w:r>
            <w:r>
              <w:rPr>
                <w:rFonts w:hint="default" w:ascii="Times New Roman" w:hAnsi="Times New Roman" w:eastAsia="宋体" w:cs="Times New Roman"/>
                <w:b w:val="0"/>
                <w:bCs/>
                <w:color w:val="auto"/>
                <w:sz w:val="24"/>
                <w:vertAlign w:val="superscript"/>
                <w:lang w:val="en-US" w:eastAsia="zh-CN"/>
              </w:rPr>
              <w:t>2</w:t>
            </w:r>
            <w:r>
              <w:rPr>
                <w:rFonts w:hint="default" w:ascii="Times New Roman" w:hAnsi="Times New Roman" w:eastAsia="宋体" w:cs="Times New Roman"/>
                <w:b w:val="0"/>
                <w:bCs/>
                <w:color w:val="auto"/>
                <w:sz w:val="24"/>
                <w:lang w:val="en-US" w:eastAsia="zh-CN"/>
              </w:rPr>
              <w:t>，占地类型为草地（</w:t>
            </w:r>
            <w:r>
              <w:rPr>
                <w:rFonts w:hint="default" w:ascii="Times New Roman" w:hAnsi="Times New Roman" w:cs="Times New Roman"/>
                <w:b w:val="0"/>
                <w:bCs/>
                <w:color w:val="auto"/>
                <w:sz w:val="24"/>
                <w:lang w:val="en-US" w:eastAsia="zh-CN"/>
              </w:rPr>
              <w:t>天然牧草地</w:t>
            </w:r>
            <w:r>
              <w:rPr>
                <w:rFonts w:hint="default" w:ascii="Times New Roman" w:hAnsi="Times New Roman" w:eastAsia="宋体" w:cs="Times New Roman"/>
                <w:b w:val="0"/>
                <w:bCs/>
                <w:color w:val="auto"/>
                <w:sz w:val="24"/>
                <w:lang w:val="en-US" w:eastAsia="zh-CN"/>
              </w:rPr>
              <w:t>）。</w:t>
            </w:r>
          </w:p>
          <w:p w14:paraId="7C3F819C">
            <w:pPr>
              <w:pageBreakBefore w:val="0"/>
              <w:numPr>
                <w:ilvl w:val="0"/>
                <w:numId w:val="0"/>
              </w:numPr>
              <w:kinsoku/>
              <w:wordWrap/>
              <w:overflowPunct/>
              <w:bidi w:val="0"/>
              <w:spacing w:line="360" w:lineRule="auto"/>
              <w:ind w:left="480" w:leftChars="0" w:right="0" w:rightChars="0"/>
              <w:rPr>
                <w:rFonts w:hint="default" w:ascii="Times New Roman" w:hAnsi="Times New Roman" w:eastAsia="宋体" w:cs="Times New Roman"/>
                <w:bCs/>
                <w:color w:val="auto"/>
                <w:sz w:val="24"/>
                <w:lang w:eastAsia="zh-CN"/>
              </w:rPr>
            </w:pP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lang w:val="en-US" w:eastAsia="zh-CN"/>
              </w:rPr>
              <w:t>1</w:t>
            </w:r>
            <w:r>
              <w:rPr>
                <w:rFonts w:hint="default" w:ascii="Times New Roman" w:hAnsi="Times New Roman" w:eastAsia="宋体" w:cs="Times New Roman"/>
                <w:bCs/>
                <w:color w:val="auto"/>
                <w:sz w:val="24"/>
                <w:lang w:eastAsia="zh-CN"/>
              </w:rPr>
              <w:t>）永久占地</w:t>
            </w:r>
          </w:p>
          <w:p w14:paraId="68D4092A">
            <w:pPr>
              <w:pageBreakBefore w:val="0"/>
              <w:numPr>
                <w:ilvl w:val="0"/>
                <w:numId w:val="0"/>
              </w:numPr>
              <w:kinsoku/>
              <w:wordWrap/>
              <w:overflowPunct/>
              <w:bidi w:val="0"/>
              <w:spacing w:line="360" w:lineRule="auto"/>
              <w:ind w:right="0" w:rightChars="0" w:firstLine="480" w:firstLineChars="200"/>
              <w:rPr>
                <w:rFonts w:hint="default" w:ascii="Times New Roman" w:hAnsi="Times New Roman" w:eastAsia="宋体" w:cs="Times New Roman"/>
                <w:bCs/>
                <w:color w:val="auto"/>
                <w:sz w:val="24"/>
                <w:lang w:eastAsia="zh-CN"/>
              </w:rPr>
            </w:pPr>
            <w:r>
              <w:rPr>
                <w:rFonts w:hint="default" w:ascii="Times New Roman" w:hAnsi="Times New Roman" w:eastAsia="宋体" w:cs="Times New Roman"/>
                <w:bCs/>
                <w:color w:val="auto"/>
                <w:sz w:val="24"/>
                <w:lang w:eastAsia="zh-CN"/>
              </w:rPr>
              <w:t>建设项目拟建风电站</w:t>
            </w:r>
            <w:r>
              <w:rPr>
                <w:rFonts w:hint="default" w:ascii="Times New Roman" w:hAnsi="Times New Roman" w:eastAsia="宋体" w:cs="Times New Roman"/>
                <w:bCs/>
                <w:color w:val="auto"/>
                <w:sz w:val="24"/>
                <w:lang w:val="en-US" w:eastAsia="zh-CN"/>
              </w:rPr>
              <w:t>进站道路</w:t>
            </w:r>
            <w:r>
              <w:rPr>
                <w:rFonts w:hint="default" w:ascii="Times New Roman" w:hAnsi="Times New Roman" w:eastAsia="宋体" w:cs="Times New Roman"/>
                <w:bCs/>
                <w:color w:val="auto"/>
                <w:sz w:val="24"/>
                <w:lang w:eastAsia="zh-CN"/>
              </w:rPr>
              <w:t>征地面积约</w:t>
            </w:r>
            <w:r>
              <w:rPr>
                <w:rFonts w:hint="default" w:ascii="Times New Roman" w:hAnsi="Times New Roman" w:cs="Times New Roman"/>
                <w:bCs/>
                <w:color w:val="auto"/>
                <w:sz w:val="24"/>
                <w:lang w:val="en-US" w:eastAsia="zh-CN"/>
              </w:rPr>
              <w:t>40352.516</w:t>
            </w:r>
            <w:r>
              <w:rPr>
                <w:rFonts w:hint="default" w:ascii="Times New Roman" w:hAnsi="Times New Roman" w:eastAsia="宋体" w:cs="Times New Roman"/>
                <w:bCs/>
                <w:color w:val="auto"/>
                <w:sz w:val="24"/>
                <w:lang w:eastAsia="zh-CN"/>
              </w:rPr>
              <w:t>m</w:t>
            </w:r>
            <w:r>
              <w:rPr>
                <w:rFonts w:hint="default" w:ascii="Times New Roman" w:hAnsi="Times New Roman" w:eastAsia="宋体" w:cs="Times New Roman"/>
                <w:bCs/>
                <w:color w:val="auto"/>
                <w:sz w:val="24"/>
                <w:vertAlign w:val="superscript"/>
                <w:lang w:eastAsia="zh-CN"/>
              </w:rPr>
              <w:t>2</w:t>
            </w:r>
            <w:r>
              <w:rPr>
                <w:rFonts w:hint="default" w:ascii="Times New Roman" w:hAnsi="Times New Roman" w:eastAsia="宋体" w:cs="Times New Roman"/>
                <w:bCs/>
                <w:color w:val="auto"/>
                <w:sz w:val="24"/>
                <w:lang w:eastAsia="zh-CN"/>
              </w:rPr>
              <w:t>，占地类型为草地（</w:t>
            </w:r>
            <w:r>
              <w:rPr>
                <w:rFonts w:hint="default" w:ascii="Times New Roman" w:hAnsi="Times New Roman" w:cs="Times New Roman"/>
                <w:bCs/>
                <w:color w:val="auto"/>
                <w:sz w:val="24"/>
                <w:lang w:eastAsia="zh-CN"/>
              </w:rPr>
              <w:t>天然牧草地</w:t>
            </w:r>
            <w:r>
              <w:rPr>
                <w:rFonts w:hint="default" w:ascii="Times New Roman" w:hAnsi="Times New Roman" w:eastAsia="宋体" w:cs="Times New Roman"/>
                <w:bCs/>
                <w:color w:val="auto"/>
                <w:sz w:val="24"/>
                <w:lang w:eastAsia="zh-CN"/>
              </w:rPr>
              <w:t>），为永久占地。永久占地将使地表全部破坏，原地表土壤生态系统发生不可逆转变。占地将减少相应面积的牧草产量。</w:t>
            </w:r>
          </w:p>
          <w:p w14:paraId="6C269EB8">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lang w:val="en-US" w:eastAsia="zh-CN"/>
              </w:rPr>
              <w:t>2</w:t>
            </w: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临时占地</w:t>
            </w:r>
          </w:p>
          <w:p w14:paraId="3BC92B02">
            <w:pPr>
              <w:pageBreakBefore w:val="0"/>
              <w:kinsoku/>
              <w:wordWrap/>
              <w:overflowPunct/>
              <w:bidi w:val="0"/>
              <w:spacing w:line="360" w:lineRule="auto"/>
              <w:ind w:left="0" w:leftChars="0" w:right="0" w:rightChars="0" w:firstLine="480"/>
              <w:rPr>
                <w:rFonts w:hint="default" w:ascii="Times New Roman" w:hAnsi="Times New Roman" w:cs="Times New Roman"/>
                <w:color w:val="auto"/>
                <w:sz w:val="24"/>
                <w:szCs w:val="24"/>
                <w:lang w:val="en-US" w:eastAsia="zh-CN"/>
              </w:rPr>
            </w:pPr>
            <w:r>
              <w:rPr>
                <w:rFonts w:hint="default" w:ascii="Times New Roman" w:hAnsi="Times New Roman" w:eastAsia="宋体" w:cs="Times New Roman"/>
                <w:bCs/>
                <w:color w:val="auto"/>
                <w:sz w:val="24"/>
                <w:lang w:eastAsia="zh-CN"/>
              </w:rPr>
              <w:t>风</w:t>
            </w:r>
            <w:r>
              <w:rPr>
                <w:rFonts w:hint="default" w:ascii="Times New Roman" w:hAnsi="Times New Roman" w:eastAsia="宋体" w:cs="Times New Roman"/>
                <w:color w:val="auto"/>
                <w:sz w:val="24"/>
                <w:szCs w:val="24"/>
                <w:lang w:val="en-US" w:eastAsia="zh-CN"/>
              </w:rPr>
              <w:t>电站场区内施工临时分区主要有施工生活区、综合加工场、综合仓库等工程</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临时设施总占地</w:t>
            </w:r>
            <w:r>
              <w:rPr>
                <w:rFonts w:hint="default" w:ascii="Times New Roman" w:hAnsi="Times New Roman" w:cs="Times New Roman"/>
                <w:color w:val="auto"/>
                <w:sz w:val="24"/>
                <w:szCs w:val="24"/>
                <w:lang w:val="en-US" w:eastAsia="zh-CN"/>
              </w:rPr>
              <w:t>557859</w:t>
            </w:r>
            <w:r>
              <w:rPr>
                <w:rFonts w:hint="default" w:ascii="Times New Roman" w:hAnsi="Times New Roman" w:cs="Times New Roman"/>
                <w:color w:val="auto"/>
                <w:sz w:val="24"/>
                <w:szCs w:val="24"/>
                <w:lang w:val="en-US" w:eastAsia="zh-CN"/>
              </w:rPr>
              <w:t>m</w:t>
            </w:r>
            <w:r>
              <w:rPr>
                <w:rFonts w:hint="default" w:ascii="Times New Roman" w:hAnsi="Times New Roman" w:cs="Times New Roman"/>
                <w:color w:val="auto"/>
                <w:sz w:val="24"/>
                <w:szCs w:val="24"/>
                <w:vertAlign w:val="superscript"/>
                <w:lang w:val="en-US" w:eastAsia="zh-CN"/>
              </w:rPr>
              <w:t>2</w:t>
            </w:r>
            <w:r>
              <w:rPr>
                <w:rFonts w:hint="default" w:ascii="Times New Roman" w:hAnsi="Times New Roman" w:cs="Times New Roman"/>
                <w:color w:val="auto"/>
                <w:sz w:val="24"/>
                <w:szCs w:val="24"/>
                <w:lang w:val="en-US" w:eastAsia="zh-CN"/>
              </w:rPr>
              <w:t>。</w:t>
            </w:r>
          </w:p>
          <w:p w14:paraId="393954BD">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color w:val="auto"/>
                <w:sz w:val="24"/>
                <w:szCs w:val="24"/>
              </w:rPr>
              <w:t>临时占地在施工结束后会及时进行表土回覆和土地整治，对土地利用的影响主要表现在施工期会造成少量生物损失，随着施工活动结束，施工临时建筑及施工期环保设施全部拆除，经采取恢复保护措施使其恢复至原有土地利用功能。因此，本项目施工期对土地利用功能影响不大。施工活动严格控制在征地范围内，尽可能减少对周围土地的破坏，考虑对进场道路与施工道路进行一次性规划，施工道路不再单独临时征用土地；施工道路应有固定路线，不要随意向两边拓展或</w:t>
            </w:r>
            <w:r>
              <w:rPr>
                <w:rFonts w:hint="default" w:ascii="Times New Roman" w:hAnsi="Times New Roman" w:cs="Times New Roman"/>
                <w:color w:val="auto"/>
                <w:sz w:val="24"/>
                <w:szCs w:val="24"/>
                <w:lang w:eastAsia="zh-CN"/>
              </w:rPr>
              <w:t>单独</w:t>
            </w:r>
            <w:r>
              <w:rPr>
                <w:rFonts w:hint="default" w:ascii="Times New Roman" w:hAnsi="Times New Roman" w:eastAsia="宋体" w:cs="Times New Roman"/>
                <w:color w:val="auto"/>
                <w:sz w:val="24"/>
                <w:szCs w:val="24"/>
              </w:rPr>
              <w:t>开道，减少对土地的破坏、占用；</w:t>
            </w:r>
            <w:r>
              <w:rPr>
                <w:rFonts w:hint="default" w:ascii="Times New Roman" w:hAnsi="Times New Roman" w:cs="Times New Roman"/>
                <w:color w:val="auto"/>
                <w:sz w:val="24"/>
                <w:szCs w:val="24"/>
                <w:lang w:val="en-US" w:eastAsia="zh-CN"/>
              </w:rPr>
              <w:t>风电</w:t>
            </w:r>
            <w:r>
              <w:rPr>
                <w:rFonts w:hint="default" w:ascii="Times New Roman" w:hAnsi="Times New Roman" w:eastAsia="宋体" w:cs="Times New Roman"/>
                <w:color w:val="auto"/>
                <w:sz w:val="24"/>
                <w:szCs w:val="24"/>
              </w:rPr>
              <w:t>组件及电气设备必须严格</w:t>
            </w:r>
            <w:r>
              <w:rPr>
                <w:rFonts w:hint="default" w:ascii="Times New Roman" w:hAnsi="Times New Roman" w:cs="Times New Roman"/>
                <w:color w:val="auto"/>
                <w:sz w:val="24"/>
                <w:szCs w:val="24"/>
                <w:lang w:eastAsia="zh-CN"/>
              </w:rPr>
              <w:t>按照</w:t>
            </w:r>
            <w:r>
              <w:rPr>
                <w:rFonts w:hint="default" w:ascii="Times New Roman" w:hAnsi="Times New Roman" w:eastAsia="宋体" w:cs="Times New Roman"/>
                <w:color w:val="auto"/>
                <w:sz w:val="24"/>
                <w:szCs w:val="24"/>
              </w:rPr>
              <w:t>设计规划指定位置来放置，各施工机械和设备不得随意堆放，以便能有效</w:t>
            </w:r>
            <w:r>
              <w:rPr>
                <w:rFonts w:hint="default" w:ascii="Times New Roman" w:hAnsi="Times New Roman" w:cs="Times New Roman"/>
                <w:color w:val="auto"/>
                <w:sz w:val="24"/>
                <w:szCs w:val="24"/>
                <w:lang w:eastAsia="zh-CN"/>
              </w:rPr>
              <w:t>地</w:t>
            </w:r>
            <w:r>
              <w:rPr>
                <w:rFonts w:hint="default" w:ascii="Times New Roman" w:hAnsi="Times New Roman" w:eastAsia="宋体" w:cs="Times New Roman"/>
                <w:color w:val="auto"/>
                <w:sz w:val="24"/>
                <w:szCs w:val="24"/>
              </w:rPr>
              <w:t>控制占地面积，更好</w:t>
            </w:r>
            <w:r>
              <w:rPr>
                <w:rFonts w:hint="default" w:ascii="Times New Roman" w:hAnsi="Times New Roman" w:cs="Times New Roman"/>
                <w:color w:val="auto"/>
                <w:sz w:val="24"/>
                <w:szCs w:val="24"/>
                <w:lang w:eastAsia="zh-CN"/>
              </w:rPr>
              <w:t>地</w:t>
            </w:r>
            <w:r>
              <w:rPr>
                <w:rFonts w:hint="default" w:ascii="Times New Roman" w:hAnsi="Times New Roman" w:eastAsia="宋体" w:cs="Times New Roman"/>
                <w:color w:val="auto"/>
                <w:sz w:val="24"/>
                <w:szCs w:val="24"/>
              </w:rPr>
              <w:t>保护原地貌。</w:t>
            </w:r>
          </w:p>
          <w:p w14:paraId="4EF203C2">
            <w:pPr>
              <w:pageBreakBefore w:val="0"/>
              <w:kinsoku/>
              <w:wordWrap/>
              <w:overflowPunct/>
              <w:bidi w:val="0"/>
              <w:spacing w:line="360" w:lineRule="auto"/>
              <w:ind w:left="0" w:leftChars="0" w:right="0" w:rightChars="0" w:firstLine="480"/>
              <w:rPr>
                <w:rFonts w:hint="default" w:ascii="Times New Roman" w:hAnsi="Times New Roman" w:eastAsia="宋体" w:cs="Times New Roman"/>
                <w:b/>
                <w:bCs w:val="0"/>
                <w:color w:val="auto"/>
                <w:sz w:val="24"/>
                <w:lang w:eastAsia="zh-CN"/>
              </w:rPr>
            </w:pPr>
            <w:r>
              <w:rPr>
                <w:rFonts w:hint="default" w:ascii="Times New Roman" w:hAnsi="Times New Roman" w:eastAsia="宋体" w:cs="Times New Roman"/>
                <w:b/>
                <w:bCs w:val="0"/>
                <w:color w:val="auto"/>
                <w:sz w:val="24"/>
                <w:lang w:val="en-US" w:eastAsia="zh-CN"/>
              </w:rPr>
              <w:t>1.2</w:t>
            </w:r>
            <w:r>
              <w:rPr>
                <w:rFonts w:hint="default" w:ascii="Times New Roman" w:hAnsi="Times New Roman" w:eastAsia="宋体" w:cs="Times New Roman"/>
                <w:b/>
                <w:bCs w:val="0"/>
                <w:color w:val="auto"/>
                <w:sz w:val="24"/>
              </w:rPr>
              <w:t>植被影响分析</w:t>
            </w:r>
          </w:p>
          <w:p w14:paraId="7D8F870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snapToGrid w:val="0"/>
                <w:color w:val="auto"/>
                <w:kern w:val="0"/>
                <w:sz w:val="24"/>
                <w:szCs w:val="22"/>
                <w:lang w:eastAsia="zh-CN"/>
              </w:rPr>
            </w:pPr>
            <w:r>
              <w:rPr>
                <w:rFonts w:hint="default" w:ascii="Times New Roman" w:hAnsi="Times New Roman" w:eastAsia="宋体" w:cs="Times New Roman"/>
                <w:bCs/>
                <w:color w:val="auto"/>
                <w:sz w:val="24"/>
              </w:rPr>
              <w:t>本工程</w:t>
            </w:r>
            <w:r>
              <w:rPr>
                <w:rFonts w:hint="default" w:ascii="Times New Roman" w:hAnsi="Times New Roman" w:eastAsia="宋体" w:cs="Times New Roman"/>
                <w:b w:val="0"/>
                <w:bCs/>
                <w:color w:val="auto"/>
                <w:sz w:val="24"/>
                <w:lang w:val="en-US" w:eastAsia="zh-CN"/>
              </w:rPr>
              <w:t>风电场工程永久性征地面积为</w:t>
            </w:r>
            <w:r>
              <w:rPr>
                <w:rFonts w:hint="default" w:ascii="Times New Roman" w:hAnsi="Times New Roman" w:cs="Times New Roman"/>
                <w:b w:val="0"/>
                <w:bCs/>
                <w:color w:val="auto"/>
                <w:sz w:val="24"/>
                <w:lang w:val="en-US" w:eastAsia="zh-CN"/>
              </w:rPr>
              <w:t>40352.516</w:t>
            </w:r>
            <w:r>
              <w:rPr>
                <w:rFonts w:hint="default" w:ascii="Times New Roman" w:hAnsi="Times New Roman" w:eastAsia="宋体" w:cs="Times New Roman"/>
                <w:b w:val="0"/>
                <w:bCs/>
                <w:color w:val="auto"/>
                <w:sz w:val="24"/>
                <w:lang w:val="en-US" w:eastAsia="zh-CN"/>
              </w:rPr>
              <w:t>m</w:t>
            </w:r>
            <w:r>
              <w:rPr>
                <w:rFonts w:hint="default" w:ascii="Times New Roman" w:hAnsi="Times New Roman" w:eastAsia="宋体" w:cs="Times New Roman"/>
                <w:b w:val="0"/>
                <w:bCs/>
                <w:color w:val="auto"/>
                <w:sz w:val="24"/>
                <w:vertAlign w:val="superscript"/>
                <w:lang w:val="en-US" w:eastAsia="zh-CN"/>
              </w:rPr>
              <w:t>2</w:t>
            </w:r>
            <w:r>
              <w:rPr>
                <w:rFonts w:hint="default" w:ascii="Times New Roman" w:hAnsi="Times New Roman" w:eastAsia="宋体" w:cs="Times New Roman"/>
                <w:b w:val="0"/>
                <w:bCs/>
                <w:color w:val="auto"/>
                <w:sz w:val="24"/>
                <w:lang w:val="en-US" w:eastAsia="zh-CN"/>
              </w:rPr>
              <w:t>，临时性用地面积</w:t>
            </w:r>
            <w:r>
              <w:rPr>
                <w:rFonts w:hint="default" w:ascii="Times New Roman" w:hAnsi="Times New Roman" w:cs="Times New Roman"/>
                <w:b w:val="0"/>
                <w:bCs/>
                <w:color w:val="auto"/>
                <w:sz w:val="24"/>
                <w:lang w:val="en-US" w:eastAsia="zh-CN"/>
              </w:rPr>
              <w:t>557859</w:t>
            </w:r>
            <w:r>
              <w:rPr>
                <w:rFonts w:hint="default" w:ascii="Times New Roman" w:hAnsi="Times New Roman" w:eastAsia="宋体" w:cs="Times New Roman"/>
                <w:b w:val="0"/>
                <w:bCs/>
                <w:color w:val="auto"/>
                <w:sz w:val="24"/>
                <w:lang w:val="en-US" w:eastAsia="zh-CN"/>
              </w:rPr>
              <w:t>m</w:t>
            </w:r>
            <w:r>
              <w:rPr>
                <w:rFonts w:hint="default" w:ascii="Times New Roman" w:hAnsi="Times New Roman" w:eastAsia="宋体" w:cs="Times New Roman"/>
                <w:b w:val="0"/>
                <w:bCs/>
                <w:color w:val="auto"/>
                <w:sz w:val="24"/>
                <w:vertAlign w:val="superscript"/>
                <w:lang w:val="en-US" w:eastAsia="zh-CN"/>
              </w:rPr>
              <w:t>2</w:t>
            </w:r>
            <w:r>
              <w:rPr>
                <w:rFonts w:hint="default" w:ascii="Times New Roman" w:hAnsi="Times New Roman" w:eastAsia="宋体" w:cs="Times New Roman"/>
                <w:bCs/>
                <w:color w:val="auto"/>
                <w:sz w:val="24"/>
              </w:rPr>
              <w:t>，土壤类型主要为</w:t>
            </w:r>
            <w:r>
              <w:rPr>
                <w:rFonts w:hint="default" w:ascii="Times New Roman" w:hAnsi="Times New Roman" w:cs="Times New Roman"/>
                <w:color w:val="auto"/>
                <w:kern w:val="0"/>
                <w:sz w:val="24"/>
                <w:szCs w:val="24"/>
                <w:lang w:val="en-US" w:eastAsia="zh-CN"/>
              </w:rPr>
              <w:t>淡棕钙土</w:t>
            </w:r>
            <w:r>
              <w:rPr>
                <w:rFonts w:hint="default" w:ascii="Times New Roman" w:hAnsi="Times New Roman" w:eastAsia="宋体" w:cs="Times New Roman"/>
                <w:color w:val="auto"/>
                <w:kern w:val="0"/>
                <w:sz w:val="24"/>
                <w:szCs w:val="24"/>
                <w:lang w:eastAsia="zh-CN"/>
              </w:rPr>
              <w:t>、</w:t>
            </w:r>
            <w:r>
              <w:rPr>
                <w:rFonts w:hint="default" w:ascii="Times New Roman" w:hAnsi="Times New Roman" w:cs="Times New Roman"/>
                <w:color w:val="auto"/>
                <w:kern w:val="0"/>
                <w:sz w:val="24"/>
                <w:szCs w:val="24"/>
                <w:lang w:val="en-US" w:eastAsia="zh-CN"/>
              </w:rPr>
              <w:t>粗骨</w:t>
            </w:r>
            <w:r>
              <w:rPr>
                <w:rFonts w:hint="default" w:ascii="Times New Roman" w:hAnsi="Times New Roman" w:eastAsia="宋体" w:cs="Times New Roman"/>
                <w:color w:val="auto"/>
                <w:kern w:val="0"/>
                <w:sz w:val="24"/>
                <w:szCs w:val="24"/>
                <w:lang w:val="en-US" w:eastAsia="zh-CN"/>
              </w:rPr>
              <w:t>土</w:t>
            </w: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bCs/>
                <w:color w:val="auto"/>
                <w:sz w:val="24"/>
              </w:rPr>
              <w:t>地表</w:t>
            </w:r>
            <w:r>
              <w:rPr>
                <w:rFonts w:hint="default" w:ascii="Times New Roman" w:hAnsi="Times New Roman" w:cs="Times New Roman"/>
                <w:color w:val="auto"/>
                <w:kern w:val="0"/>
                <w:sz w:val="24"/>
                <w:szCs w:val="24"/>
                <w:lang w:val="en-US" w:eastAsia="zh-CN"/>
              </w:rPr>
              <w:t>常见的植物有针茅（Stipaglareosa）、芨芨草（Achnatherumsplendens）以及其他杂草类，</w:t>
            </w:r>
            <w:r>
              <w:rPr>
                <w:rFonts w:hint="default" w:ascii="Times New Roman" w:hAnsi="Times New Roman" w:eastAsia="宋体" w:cs="Times New Roman"/>
                <w:snapToGrid w:val="0"/>
                <w:color w:val="auto"/>
                <w:kern w:val="0"/>
                <w:sz w:val="24"/>
                <w:szCs w:val="22"/>
                <w:lang w:eastAsia="zh-CN"/>
              </w:rPr>
              <w:t>评价区所占草地属于温带荒漠草场，植被主要由小半灌木组成。据调查，该区域草场为春秋放牧场。草高20-30cm，覆盖度</w:t>
            </w:r>
            <w:r>
              <w:rPr>
                <w:rFonts w:hint="default" w:ascii="Times New Roman" w:hAnsi="Times New Roman" w:eastAsia="宋体" w:cs="Times New Roman"/>
                <w:snapToGrid w:val="0"/>
                <w:color w:val="auto"/>
                <w:kern w:val="0"/>
                <w:sz w:val="24"/>
                <w:szCs w:val="22"/>
                <w:lang w:val="en-US" w:eastAsia="zh-CN"/>
              </w:rPr>
              <w:t>60</w:t>
            </w:r>
            <w:r>
              <w:rPr>
                <w:rFonts w:hint="default" w:ascii="Times New Roman" w:hAnsi="Times New Roman" w:eastAsia="宋体" w:cs="Times New Roman"/>
                <w:snapToGrid w:val="0"/>
                <w:color w:val="auto"/>
                <w:kern w:val="0"/>
                <w:sz w:val="24"/>
                <w:szCs w:val="22"/>
                <w:lang w:eastAsia="zh-CN"/>
              </w:rPr>
              <w:t>%左右。</w:t>
            </w:r>
          </w:p>
          <w:p w14:paraId="51C9212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依据《新疆草地资源及其利用》，牧草产生量约为</w:t>
            </w:r>
            <w:r>
              <w:rPr>
                <w:rFonts w:hint="default" w:ascii="Times New Roman" w:hAnsi="Times New Roman" w:eastAsia="宋体" w:cs="Times New Roman"/>
                <w:bCs/>
                <w:color w:val="auto"/>
                <w:sz w:val="24"/>
                <w:lang w:val="en-US" w:eastAsia="zh-CN"/>
              </w:rPr>
              <w:t>5000</w:t>
            </w:r>
            <w:r>
              <w:rPr>
                <w:rFonts w:hint="default" w:ascii="Times New Roman" w:hAnsi="Times New Roman" w:eastAsia="宋体" w:cs="Times New Roman"/>
                <w:bCs/>
                <w:color w:val="auto"/>
                <w:sz w:val="24"/>
              </w:rPr>
              <w:t>kg/hm</w:t>
            </w:r>
            <w:r>
              <w:rPr>
                <w:rFonts w:hint="default" w:ascii="Times New Roman" w:hAnsi="Times New Roman" w:eastAsia="宋体" w:cs="Times New Roman"/>
                <w:bCs/>
                <w:color w:val="auto"/>
                <w:sz w:val="24"/>
                <w:vertAlign w:val="superscript"/>
              </w:rPr>
              <w:t>2</w:t>
            </w:r>
            <w:r>
              <w:rPr>
                <w:rFonts w:hint="default" w:ascii="Times New Roman" w:hAnsi="Times New Roman" w:eastAsia="宋体" w:cs="Times New Roman"/>
                <w:bCs/>
                <w:color w:val="auto"/>
                <w:sz w:val="24"/>
              </w:rPr>
              <w:t>，施工过程中由于场区构筑物地基开挖、场地平整、车辆碾压等活动，破坏了地表植被，使表层土壤松散，暴雨天气容易引起水土流失，经计算，本期工程施工期生物损失量约为</w:t>
            </w:r>
            <w:r>
              <w:rPr>
                <w:rFonts w:hint="default" w:ascii="Times New Roman" w:hAnsi="Times New Roman" w:cs="Times New Roman"/>
                <w:bCs/>
                <w:color w:val="auto"/>
                <w:sz w:val="24"/>
                <w:lang w:val="en-US" w:eastAsia="zh-CN"/>
              </w:rPr>
              <w:t>299.106</w:t>
            </w:r>
            <w:r>
              <w:rPr>
                <w:rFonts w:hint="default" w:ascii="Times New Roman" w:hAnsi="Times New Roman" w:eastAsia="宋体" w:cs="Times New Roman"/>
                <w:bCs/>
                <w:color w:val="auto"/>
                <w:sz w:val="24"/>
              </w:rPr>
              <w:t>t。对施工区附近的生态环境有一定影响。</w:t>
            </w:r>
          </w:p>
          <w:p w14:paraId="4F0D31B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因此，施工单位应根据本期工程特点，确定最佳施工工序和施工方法，基坑开挖后，及时回填，</w:t>
            </w:r>
            <w:r>
              <w:rPr>
                <w:rFonts w:hint="default" w:ascii="Times New Roman" w:hAnsi="Times New Roman" w:cs="Times New Roman"/>
                <w:bCs/>
                <w:color w:val="auto"/>
                <w:sz w:val="24"/>
                <w:lang w:eastAsia="zh-CN"/>
              </w:rPr>
              <w:t>对</w:t>
            </w:r>
            <w:r>
              <w:rPr>
                <w:rFonts w:hint="default" w:ascii="Times New Roman" w:hAnsi="Times New Roman" w:eastAsia="宋体" w:cs="Times New Roman"/>
                <w:bCs/>
                <w:color w:val="auto"/>
                <w:sz w:val="24"/>
              </w:rPr>
              <w:t>表层进行碾压，缩短裸露时间，严格控制施工及人员活动范围，施工过程中应尽量减少对地表植被的破坏，施工临时用地可选择植被相对较少的区域，施工车辆按规定线路行驶，施工道路应洒水碾压，对临时堆场，应采取覆盖围护措施，防止大风和大雨时造成水土流失，临时占地使用完毕后，及时清理并恢复原貌，或植树种草进行绿化，以减少其对生态的不利影响。</w:t>
            </w:r>
          </w:p>
          <w:p w14:paraId="54C5A7D3">
            <w:pPr>
              <w:pageBreakBefore w:val="0"/>
              <w:kinsoku/>
              <w:wordWrap/>
              <w:overflowPunct/>
              <w:bidi w:val="0"/>
              <w:spacing w:line="360" w:lineRule="auto"/>
              <w:ind w:left="0" w:leftChars="0" w:right="0" w:rightChars="0" w:firstLine="480"/>
              <w:rPr>
                <w:rFonts w:hint="default" w:ascii="Times New Roman" w:hAnsi="Times New Roman" w:eastAsia="宋体" w:cs="Times New Roman"/>
                <w:b/>
                <w:bCs w:val="0"/>
                <w:color w:val="auto"/>
                <w:sz w:val="24"/>
              </w:rPr>
            </w:pPr>
            <w:r>
              <w:rPr>
                <w:rFonts w:hint="default" w:ascii="Times New Roman" w:hAnsi="Times New Roman" w:eastAsia="宋体" w:cs="Times New Roman"/>
                <w:b/>
                <w:bCs w:val="0"/>
                <w:color w:val="auto"/>
                <w:sz w:val="24"/>
                <w:lang w:val="en-US" w:eastAsia="zh-CN"/>
              </w:rPr>
              <w:t>1.3</w:t>
            </w:r>
            <w:r>
              <w:rPr>
                <w:rFonts w:hint="default" w:ascii="Times New Roman" w:hAnsi="Times New Roman" w:eastAsia="宋体" w:cs="Times New Roman"/>
                <w:b/>
                <w:bCs w:val="0"/>
                <w:color w:val="auto"/>
                <w:sz w:val="24"/>
              </w:rPr>
              <w:t>野生动物影响分析</w:t>
            </w:r>
          </w:p>
          <w:p w14:paraId="59B9F828">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施工机械噪声和人类活动噪声是影响野生动物的主要因素，各种施工机械如运输车辆、推土机、振捣棒等均可能产生较强的噪声。虽然这些施工机械属非连续性间歇排放，但由于噪声源相对集中，且多为裸露声源，故其有一定辐射范围。预计在施工期，本区的野生动物都将产生规避反应，迁往附近同类环境，动物迁徙能力强，且同类生境易于在附近找寻，故物种种群与数量不会受到明显影响。根据当地居民反映，本区无大型野生动物，哺乳动物主要是鼠、兔等小型动物；同时根据调查，该区没有珍贵动物，也不是候鸟的栖息地和迁徙通道。因此，施工期对野生动物的影响很小。</w:t>
            </w:r>
          </w:p>
          <w:p w14:paraId="50CEB7BE">
            <w:pPr>
              <w:pageBreakBefore w:val="0"/>
              <w:kinsoku/>
              <w:wordWrap/>
              <w:overflowPunct/>
              <w:bidi w:val="0"/>
              <w:spacing w:line="360" w:lineRule="auto"/>
              <w:ind w:left="0" w:leftChars="0" w:right="0" w:rightChars="0" w:firstLine="480"/>
              <w:rPr>
                <w:rFonts w:hint="default" w:ascii="Times New Roman" w:hAnsi="Times New Roman" w:eastAsia="宋体" w:cs="Times New Roman"/>
                <w:b/>
                <w:bCs w:val="0"/>
                <w:color w:val="auto"/>
                <w:sz w:val="24"/>
              </w:rPr>
            </w:pPr>
            <w:r>
              <w:rPr>
                <w:rFonts w:hint="default" w:ascii="Times New Roman" w:hAnsi="Times New Roman" w:eastAsia="宋体" w:cs="Times New Roman"/>
                <w:b/>
                <w:bCs w:val="0"/>
                <w:color w:val="auto"/>
                <w:sz w:val="24"/>
                <w:lang w:val="en-US" w:eastAsia="zh-CN"/>
              </w:rPr>
              <w:t>1.4</w:t>
            </w:r>
            <w:r>
              <w:rPr>
                <w:rFonts w:hint="default" w:ascii="Times New Roman" w:hAnsi="Times New Roman" w:eastAsia="宋体" w:cs="Times New Roman"/>
                <w:b/>
                <w:bCs w:val="0"/>
                <w:color w:val="auto"/>
                <w:sz w:val="24"/>
              </w:rPr>
              <w:t>施工景观影响分析</w:t>
            </w:r>
          </w:p>
          <w:p w14:paraId="69F272FD">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施工期由于基础开挖、土方临时堆存、施工道路、物料运输造成的扬尘、施工人员生活垃圾等，如果管理不当将会对局部景观造成一定的不良影响。通过采取围挡作业、分段施工、及时清运弃方、采取防尘抑尘措施、集中收集施工人员生活垃圾并及时清运处理等措施，可以使施工区域及时恢复原有自然面貌，将施工期造成的景观影响降至最小。</w:t>
            </w:r>
          </w:p>
          <w:p w14:paraId="26678EB4">
            <w:pPr>
              <w:pageBreakBefore w:val="0"/>
              <w:kinsoku/>
              <w:wordWrap/>
              <w:overflowPunct/>
              <w:bidi w:val="0"/>
              <w:spacing w:line="360" w:lineRule="auto"/>
              <w:ind w:left="0" w:leftChars="0" w:right="0" w:rightChars="0" w:firstLine="480"/>
              <w:rPr>
                <w:rFonts w:hint="default" w:ascii="Times New Roman" w:hAnsi="Times New Roman" w:eastAsia="宋体" w:cs="Times New Roman"/>
                <w:b/>
                <w:bCs w:val="0"/>
                <w:color w:val="auto"/>
                <w:sz w:val="24"/>
              </w:rPr>
            </w:pPr>
            <w:r>
              <w:rPr>
                <w:rFonts w:hint="default" w:ascii="Times New Roman" w:hAnsi="Times New Roman" w:eastAsia="宋体" w:cs="Times New Roman"/>
                <w:b/>
                <w:bCs w:val="0"/>
                <w:color w:val="auto"/>
                <w:sz w:val="24"/>
                <w:lang w:val="en-US" w:eastAsia="zh-CN"/>
              </w:rPr>
              <w:t>1.5</w:t>
            </w:r>
            <w:r>
              <w:rPr>
                <w:rFonts w:hint="default" w:ascii="Times New Roman" w:hAnsi="Times New Roman" w:eastAsia="宋体" w:cs="Times New Roman"/>
                <w:b/>
                <w:bCs w:val="0"/>
                <w:color w:val="auto"/>
                <w:sz w:val="24"/>
              </w:rPr>
              <w:t>水土流失影响分析</w:t>
            </w:r>
          </w:p>
          <w:p w14:paraId="1CC1F2A4">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施工期间，直接影响区内原始地表将会受到一定程度的扰动，但扰动程度较轻，扰动频次较少，植被、土壤结构基本能够维持原有水平。项目建设完工后，经过一年时间的自然恢复期，各直接影响区内地表均能恢复到自然状态，因此，本项目建设不会改变区域内地表植被类型，不影响区域内野生动物的生存环境，不会影响区域生态系统的完整性。</w:t>
            </w:r>
          </w:p>
          <w:p w14:paraId="0BE10A89">
            <w:pPr>
              <w:pageBreakBefore w:val="0"/>
              <w:kinsoku/>
              <w:wordWrap/>
              <w:overflowPunct/>
              <w:bidi w:val="0"/>
              <w:adjustRightInd w:val="0"/>
              <w:snapToGrid w:val="0"/>
              <w:spacing w:line="360" w:lineRule="auto"/>
              <w:ind w:left="0" w:leftChars="0" w:right="0" w:rightChars="0"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2、</w:t>
            </w:r>
            <w:r>
              <w:rPr>
                <w:rFonts w:hint="default" w:ascii="Times New Roman" w:hAnsi="Times New Roman" w:eastAsia="宋体" w:cs="Times New Roman"/>
                <w:b/>
                <w:bCs/>
                <w:color w:val="auto"/>
                <w:sz w:val="24"/>
              </w:rPr>
              <w:t>大气环境影响分析</w:t>
            </w:r>
          </w:p>
          <w:p w14:paraId="77D90145">
            <w:pPr>
              <w:pageBreakBefore w:val="0"/>
              <w:kinsoku/>
              <w:wordWrap/>
              <w:overflowPunct/>
              <w:bidi w:val="0"/>
              <w:spacing w:line="360" w:lineRule="auto"/>
              <w:ind w:left="0" w:leftChars="0"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（1）扬尘</w:t>
            </w:r>
          </w:p>
          <w:p w14:paraId="01136F2D">
            <w:pPr>
              <w:pageBreakBefore w:val="0"/>
              <w:kinsoku/>
              <w:wordWrap/>
              <w:overflowPunct/>
              <w:bidi w:val="0"/>
              <w:spacing w:line="360" w:lineRule="auto"/>
              <w:ind w:left="0" w:leftChars="0"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在整个施工期间，产生扬尘的作业主要有土方的开挖、回填及建筑材料的装卸、施工垃圾的清理等；车辆经过裸露路面亦容易引起路面积尘飞扬。这类风力扬尘的主要特点是与风速等气象条件有关，也与尘粒本身的沉降速度有关，主要影响范围在扬尘点下风向近距离范围内。施工现场扬尘其对环境的影响状况见表4-</w:t>
            </w:r>
            <w:r>
              <w:rPr>
                <w:rFonts w:hint="default" w:ascii="Times New Roman" w:hAnsi="Times New Roman" w:cs="Times New Roman"/>
                <w:color w:val="auto"/>
                <w:sz w:val="24"/>
                <w:lang w:val="en-US" w:eastAsia="zh-CN"/>
              </w:rPr>
              <w:t>1</w:t>
            </w:r>
            <w:r>
              <w:rPr>
                <w:rFonts w:hint="default" w:ascii="Times New Roman" w:hAnsi="Times New Roman" w:eastAsia="宋体" w:cs="Times New Roman"/>
                <w:color w:val="auto"/>
                <w:sz w:val="24"/>
              </w:rPr>
              <w:t>。</w:t>
            </w:r>
          </w:p>
          <w:p w14:paraId="20791923">
            <w:pPr>
              <w:pStyle w:val="38"/>
              <w:spacing w:line="440" w:lineRule="exact"/>
              <w:ind w:firstLine="0" w:firstLineChars="0"/>
              <w:jc w:val="center"/>
              <w:textAlignment w:val="baseline"/>
              <w:rPr>
                <w:rFonts w:hint="default" w:ascii="Times New Roman" w:hAnsi="Times New Roman" w:eastAsia="宋体" w:cs="Times New Roman"/>
                <w:b/>
                <w:bCs w:val="0"/>
                <w:snapToGrid w:val="0"/>
                <w:color w:val="auto"/>
                <w:sz w:val="21"/>
                <w:szCs w:val="22"/>
              </w:rPr>
            </w:pPr>
            <w:r>
              <w:rPr>
                <w:rFonts w:hint="default" w:ascii="Times New Roman" w:hAnsi="Times New Roman" w:eastAsia="宋体" w:cs="Times New Roman"/>
                <w:b/>
                <w:bCs w:val="0"/>
                <w:snapToGrid w:val="0"/>
                <w:color w:val="auto"/>
                <w:sz w:val="21"/>
                <w:szCs w:val="22"/>
              </w:rPr>
              <w:t>表4-</w:t>
            </w:r>
            <w:r>
              <w:rPr>
                <w:rFonts w:hint="default" w:ascii="Times New Roman" w:hAnsi="Times New Roman" w:eastAsia="宋体" w:cs="Times New Roman"/>
                <w:b/>
                <w:bCs w:val="0"/>
                <w:snapToGrid w:val="0"/>
                <w:color w:val="auto"/>
                <w:sz w:val="21"/>
                <w:szCs w:val="22"/>
                <w:lang w:val="en-US" w:eastAsia="zh-CN"/>
              </w:rPr>
              <w:t>1</w:t>
            </w:r>
            <w:r>
              <w:rPr>
                <w:rFonts w:hint="default" w:ascii="Times New Roman" w:hAnsi="Times New Roman" w:eastAsia="宋体" w:cs="Times New Roman"/>
                <w:b/>
                <w:bCs w:val="0"/>
                <w:snapToGrid w:val="0"/>
                <w:color w:val="auto"/>
                <w:sz w:val="21"/>
                <w:szCs w:val="22"/>
              </w:rPr>
              <w:t>施工现场扬尘TSP对环境的污染状况单位：mg/m</w:t>
            </w:r>
            <w:r>
              <w:rPr>
                <w:rFonts w:hint="default" w:ascii="Times New Roman" w:hAnsi="Times New Roman" w:eastAsia="宋体" w:cs="Times New Roman"/>
                <w:b/>
                <w:bCs w:val="0"/>
                <w:snapToGrid w:val="0"/>
                <w:color w:val="auto"/>
                <w:sz w:val="21"/>
                <w:szCs w:val="22"/>
                <w:vertAlign w:val="superscript"/>
              </w:rPr>
              <w:t>3</w:t>
            </w:r>
          </w:p>
          <w:tbl>
            <w:tblPr>
              <w:tblStyle w:val="22"/>
              <w:tblW w:w="8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Layout w:type="autofit"/>
              <w:tblCellMar>
                <w:top w:w="0" w:type="dxa"/>
                <w:left w:w="108" w:type="dxa"/>
                <w:bottom w:w="0" w:type="dxa"/>
                <w:right w:w="108" w:type="dxa"/>
              </w:tblCellMar>
            </w:tblPr>
            <w:tblGrid>
              <w:gridCol w:w="2144"/>
              <w:gridCol w:w="875"/>
              <w:gridCol w:w="1067"/>
              <w:gridCol w:w="1104"/>
              <w:gridCol w:w="1069"/>
              <w:gridCol w:w="1087"/>
              <w:gridCol w:w="953"/>
            </w:tblGrid>
            <w:tr w14:paraId="5E9F5D83">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62" w:hRule="atLeast"/>
                <w:jc w:val="center"/>
              </w:trPr>
              <w:tc>
                <w:tcPr>
                  <w:tcW w:w="2144" w:type="dxa"/>
                  <w:vMerge w:val="restart"/>
                  <w:noWrap w:val="0"/>
                  <w:vAlign w:val="center"/>
                </w:tcPr>
                <w:p w14:paraId="2B984B9F">
                  <w:pPr>
                    <w:pageBreakBefore w:val="0"/>
                    <w:kinsoku/>
                    <w:wordWrap/>
                    <w:overflowPunct/>
                    <w:bidi w:val="0"/>
                    <w:ind w:left="0" w:leftChars="0" w:right="0" w:right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降尘措施</w:t>
                  </w:r>
                </w:p>
              </w:tc>
              <w:tc>
                <w:tcPr>
                  <w:tcW w:w="6155" w:type="dxa"/>
                  <w:gridSpan w:val="6"/>
                  <w:noWrap w:val="0"/>
                  <w:vAlign w:val="center"/>
                </w:tcPr>
                <w:p w14:paraId="0BEE4E12">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工地下风向距离</w:t>
                  </w:r>
                </w:p>
              </w:tc>
            </w:tr>
            <w:tr w14:paraId="31D2D984">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144" w:type="dxa"/>
                  <w:vMerge w:val="continue"/>
                  <w:noWrap w:val="0"/>
                  <w:vAlign w:val="center"/>
                </w:tcPr>
                <w:p w14:paraId="526D980C">
                  <w:pPr>
                    <w:pageBreakBefore w:val="0"/>
                    <w:widowControl/>
                    <w:kinsoku/>
                    <w:wordWrap/>
                    <w:overflowPunct/>
                    <w:bidi w:val="0"/>
                    <w:ind w:left="0" w:leftChars="0" w:right="0" w:rightChars="0"/>
                    <w:jc w:val="left"/>
                    <w:rPr>
                      <w:rFonts w:hint="default" w:ascii="Times New Roman" w:hAnsi="Times New Roman" w:eastAsia="宋体" w:cs="Times New Roman"/>
                      <w:b/>
                      <w:bCs/>
                      <w:color w:val="auto"/>
                      <w:szCs w:val="21"/>
                    </w:rPr>
                  </w:pPr>
                </w:p>
              </w:tc>
              <w:tc>
                <w:tcPr>
                  <w:tcW w:w="875" w:type="dxa"/>
                  <w:noWrap w:val="0"/>
                  <w:vAlign w:val="center"/>
                </w:tcPr>
                <w:p w14:paraId="2946C084">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20m</w:t>
                  </w:r>
                </w:p>
              </w:tc>
              <w:tc>
                <w:tcPr>
                  <w:tcW w:w="1067" w:type="dxa"/>
                  <w:noWrap w:val="0"/>
                  <w:vAlign w:val="center"/>
                </w:tcPr>
                <w:p w14:paraId="55A2E264">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50m</w:t>
                  </w:r>
                </w:p>
              </w:tc>
              <w:tc>
                <w:tcPr>
                  <w:tcW w:w="1104" w:type="dxa"/>
                  <w:noWrap w:val="0"/>
                  <w:vAlign w:val="center"/>
                </w:tcPr>
                <w:p w14:paraId="77AD0A28">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100m</w:t>
                  </w:r>
                </w:p>
              </w:tc>
              <w:tc>
                <w:tcPr>
                  <w:tcW w:w="1069" w:type="dxa"/>
                  <w:noWrap w:val="0"/>
                  <w:vAlign w:val="center"/>
                </w:tcPr>
                <w:p w14:paraId="7658C949">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150m</w:t>
                  </w:r>
                </w:p>
              </w:tc>
              <w:tc>
                <w:tcPr>
                  <w:tcW w:w="1087" w:type="dxa"/>
                  <w:noWrap w:val="0"/>
                  <w:vAlign w:val="center"/>
                </w:tcPr>
                <w:p w14:paraId="469632BF">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200m</w:t>
                  </w:r>
                </w:p>
              </w:tc>
              <w:tc>
                <w:tcPr>
                  <w:tcW w:w="953" w:type="dxa"/>
                  <w:noWrap w:val="0"/>
                  <w:vAlign w:val="center"/>
                </w:tcPr>
                <w:p w14:paraId="49542693">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250m</w:t>
                  </w:r>
                </w:p>
              </w:tc>
            </w:tr>
            <w:tr w14:paraId="1FF5FAAE">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71" w:hRule="atLeast"/>
                <w:jc w:val="center"/>
              </w:trPr>
              <w:tc>
                <w:tcPr>
                  <w:tcW w:w="2144" w:type="dxa"/>
                  <w:noWrap w:val="0"/>
                  <w:vAlign w:val="center"/>
                </w:tcPr>
                <w:p w14:paraId="42DFB7F8">
                  <w:pPr>
                    <w:pageBreakBefore w:val="0"/>
                    <w:kinsoku/>
                    <w:wordWrap/>
                    <w:overflowPunct/>
                    <w:bidi w:val="0"/>
                    <w:ind w:left="0" w:leftChars="0" w:right="0" w:right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无</w:t>
                  </w:r>
                </w:p>
              </w:tc>
              <w:tc>
                <w:tcPr>
                  <w:tcW w:w="875" w:type="dxa"/>
                  <w:noWrap w:val="0"/>
                  <w:vAlign w:val="center"/>
                </w:tcPr>
                <w:p w14:paraId="2E8E9C24">
                  <w:pPr>
                    <w:pageBreakBefore w:val="0"/>
                    <w:kinsoku/>
                    <w:wordWrap/>
                    <w:overflowPunct/>
                    <w:bidi w:val="0"/>
                    <w:ind w:left="0" w:leftChars="0" w:right="0" w:rightChars="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1.</w:t>
                  </w:r>
                  <w:r>
                    <w:rPr>
                      <w:rFonts w:hint="default" w:ascii="Times New Roman" w:hAnsi="Times New Roman" w:cs="Times New Roman"/>
                      <w:color w:val="auto"/>
                      <w:szCs w:val="21"/>
                      <w:lang w:eastAsia="zh-CN"/>
                    </w:rPr>
                    <w:t>30</w:t>
                  </w:r>
                </w:p>
              </w:tc>
              <w:tc>
                <w:tcPr>
                  <w:tcW w:w="1067" w:type="dxa"/>
                  <w:noWrap w:val="0"/>
                  <w:vAlign w:val="center"/>
                </w:tcPr>
                <w:p w14:paraId="20C88D9F">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0.722</w:t>
                  </w:r>
                </w:p>
              </w:tc>
              <w:tc>
                <w:tcPr>
                  <w:tcW w:w="1104" w:type="dxa"/>
                  <w:noWrap w:val="0"/>
                  <w:vAlign w:val="center"/>
                </w:tcPr>
                <w:p w14:paraId="2547AA6A">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0.402</w:t>
                  </w:r>
                </w:p>
              </w:tc>
              <w:tc>
                <w:tcPr>
                  <w:tcW w:w="1069" w:type="dxa"/>
                  <w:noWrap w:val="0"/>
                  <w:vAlign w:val="center"/>
                </w:tcPr>
                <w:p w14:paraId="39CA7E88">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0.311</w:t>
                  </w:r>
                </w:p>
              </w:tc>
              <w:tc>
                <w:tcPr>
                  <w:tcW w:w="1087" w:type="dxa"/>
                  <w:noWrap w:val="0"/>
                  <w:vAlign w:val="center"/>
                </w:tcPr>
                <w:p w14:paraId="503DE47A">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0.270</w:t>
                  </w:r>
                </w:p>
              </w:tc>
              <w:tc>
                <w:tcPr>
                  <w:tcW w:w="953" w:type="dxa"/>
                  <w:noWrap w:val="0"/>
                  <w:vAlign w:val="center"/>
                </w:tcPr>
                <w:p w14:paraId="30E576B3">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0.210</w:t>
                  </w:r>
                </w:p>
              </w:tc>
            </w:tr>
            <w:tr w14:paraId="0B2169F7">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89" w:hRule="atLeast"/>
                <w:jc w:val="center"/>
              </w:trPr>
              <w:tc>
                <w:tcPr>
                  <w:tcW w:w="2144" w:type="dxa"/>
                  <w:noWrap w:val="0"/>
                  <w:vAlign w:val="center"/>
                </w:tcPr>
                <w:p w14:paraId="1AA5651A">
                  <w:pPr>
                    <w:pageBreakBefore w:val="0"/>
                    <w:kinsoku/>
                    <w:wordWrap/>
                    <w:overflowPunct/>
                    <w:bidi w:val="0"/>
                    <w:ind w:left="0" w:leftChars="0" w:right="0" w:right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有（围金属板）</w:t>
                  </w:r>
                </w:p>
              </w:tc>
              <w:tc>
                <w:tcPr>
                  <w:tcW w:w="875" w:type="dxa"/>
                  <w:noWrap w:val="0"/>
                  <w:vAlign w:val="center"/>
                </w:tcPr>
                <w:p w14:paraId="49EC4C2B">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0.824</w:t>
                  </w:r>
                </w:p>
              </w:tc>
              <w:tc>
                <w:tcPr>
                  <w:tcW w:w="1067" w:type="dxa"/>
                  <w:noWrap w:val="0"/>
                  <w:vAlign w:val="center"/>
                </w:tcPr>
                <w:p w14:paraId="2A89B334">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0.426</w:t>
                  </w:r>
                </w:p>
              </w:tc>
              <w:tc>
                <w:tcPr>
                  <w:tcW w:w="1104" w:type="dxa"/>
                  <w:noWrap w:val="0"/>
                  <w:vAlign w:val="center"/>
                </w:tcPr>
                <w:p w14:paraId="7C6B5E47">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0.235</w:t>
                  </w:r>
                </w:p>
              </w:tc>
              <w:tc>
                <w:tcPr>
                  <w:tcW w:w="1069" w:type="dxa"/>
                  <w:noWrap w:val="0"/>
                  <w:vAlign w:val="center"/>
                </w:tcPr>
                <w:p w14:paraId="15814A17">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0.221</w:t>
                  </w:r>
                </w:p>
              </w:tc>
              <w:tc>
                <w:tcPr>
                  <w:tcW w:w="1087" w:type="dxa"/>
                  <w:noWrap w:val="0"/>
                  <w:vAlign w:val="center"/>
                </w:tcPr>
                <w:p w14:paraId="09B60310">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0.215</w:t>
                  </w:r>
                </w:p>
              </w:tc>
              <w:tc>
                <w:tcPr>
                  <w:tcW w:w="953" w:type="dxa"/>
                  <w:noWrap w:val="0"/>
                  <w:vAlign w:val="center"/>
                </w:tcPr>
                <w:p w14:paraId="69788670">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0.206</w:t>
                  </w:r>
                </w:p>
              </w:tc>
            </w:tr>
          </w:tbl>
          <w:p w14:paraId="42F88DBA">
            <w:pPr>
              <w:pageBreakBefore w:val="0"/>
              <w:kinsoku/>
              <w:wordWrap/>
              <w:overflowPunct/>
              <w:topLinePunct/>
              <w:bidi w:val="0"/>
              <w:spacing w:line="360" w:lineRule="auto"/>
              <w:ind w:left="0" w:leftChars="0"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由表4-1可知，在无任何防尘措施的情况下，施工现场对周围环境的影响较严重，200m外TSP浓度才可达到《环境空气质量标准》（GB3095-2012）二级标准；而在有防尘措施的情况下，影响范围降至100m范围内。抑制扬尘最简洁有效的措施是洒水。土方开挖、土方回填及建筑材料的装卸、施工垃圾的清理等产生扬尘较大的污染工序之前均采取洒水降尘后进行，施工期间对车辆行驶的路面每天洒水4-5次，可使扬尘减少70%以上，并可将TSP污染距离缩小到50m的范围内。因此项目施工期间建设单位应重视施工扬尘治理，注意落实建设围栏、洒水抑尘等相应的降尘措施，</w:t>
            </w:r>
            <w:r>
              <w:rPr>
                <w:rFonts w:hint="default" w:ascii="Times New Roman" w:hAnsi="Times New Roman" w:cs="Times New Roman"/>
                <w:color w:val="auto"/>
                <w:kern w:val="0"/>
                <w:sz w:val="24"/>
                <w:lang w:bidi="ar"/>
              </w:rPr>
              <w:t>采用商品混凝土，现场不设混凝土搅拌站，严禁现场搅拌混凝土、砂浆。</w:t>
            </w:r>
            <w:r>
              <w:rPr>
                <w:rFonts w:hint="default" w:ascii="Times New Roman" w:hAnsi="Times New Roman" w:eastAsia="宋体" w:cs="Times New Roman"/>
                <w:color w:val="auto"/>
                <w:sz w:val="24"/>
              </w:rPr>
              <w:t>尽可能将施工扬尘影响控制在施工场地范围内，以减小施工扬尘对周边的环境影响。</w:t>
            </w:r>
          </w:p>
          <w:p w14:paraId="09FADF5C">
            <w:pPr>
              <w:pageBreakBefore w:val="0"/>
              <w:kinsoku/>
              <w:wordWrap/>
              <w:overflowPunct/>
              <w:bidi w:val="0"/>
              <w:spacing w:line="360" w:lineRule="auto"/>
              <w:ind w:left="0" w:leftChars="0"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default" w:ascii="Times New Roman" w:hAnsi="Times New Roman" w:eastAsia="宋体" w:cs="Times New Roman"/>
                <w:b w:val="0"/>
                <w:bCs/>
                <w:color w:val="auto"/>
                <w:sz w:val="24"/>
                <w:szCs w:val="24"/>
                <w:lang w:val="en-US" w:eastAsia="zh-CN"/>
              </w:rPr>
              <w:t>临时堆土场扬尘</w:t>
            </w:r>
            <w:r>
              <w:rPr>
                <w:rFonts w:hint="default" w:ascii="Times New Roman" w:hAnsi="Times New Roman" w:eastAsia="宋体" w:cs="Times New Roman"/>
                <w:color w:val="auto"/>
                <w:sz w:val="24"/>
              </w:rPr>
              <w:t>环境影响分析</w:t>
            </w:r>
          </w:p>
          <w:p w14:paraId="47244B67">
            <w:pPr>
              <w:keepNext w:val="0"/>
              <w:keepLines w:val="0"/>
              <w:pageBreakBefore w:val="0"/>
              <w:widowControl w:val="0"/>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color w:val="auto"/>
                <w:sz w:val="24"/>
                <w:szCs w:val="24"/>
                <w:u w:val="none"/>
                <w:lang w:val="zh-CN"/>
              </w:rPr>
            </w:pPr>
            <w:r>
              <w:rPr>
                <w:rFonts w:hint="default" w:ascii="Times New Roman" w:hAnsi="Times New Roman" w:eastAsia="宋体" w:cs="Times New Roman"/>
                <w:color w:val="auto"/>
                <w:sz w:val="24"/>
                <w:szCs w:val="24"/>
                <w:lang w:val="en-US" w:eastAsia="zh-CN"/>
              </w:rPr>
              <w:t>临时堆土场</w:t>
            </w:r>
            <w:r>
              <w:rPr>
                <w:rFonts w:hint="default" w:ascii="Times New Roman" w:hAnsi="Times New Roman" w:eastAsia="宋体" w:cs="Times New Roman"/>
                <w:color w:val="auto"/>
                <w:sz w:val="24"/>
                <w:szCs w:val="24"/>
              </w:rPr>
              <w:t>物料的种类、性质及风速与起尘量有很大关系，比重小的物料容易受扰动而起尘，物料中小颗粒比例大时起尘量相应也大。</w:t>
            </w:r>
            <w:r>
              <w:rPr>
                <w:rFonts w:hint="default" w:ascii="Times New Roman" w:hAnsi="Times New Roman" w:eastAsia="宋体" w:cs="Times New Roman"/>
                <w:color w:val="auto"/>
                <w:sz w:val="24"/>
                <w:szCs w:val="24"/>
                <w:lang w:val="en-US" w:eastAsia="zh-CN"/>
              </w:rPr>
              <w:t>临时堆土场</w:t>
            </w:r>
            <w:r>
              <w:rPr>
                <w:rFonts w:hint="default" w:ascii="Times New Roman" w:hAnsi="Times New Roman" w:eastAsia="宋体" w:cs="Times New Roman"/>
                <w:color w:val="auto"/>
                <w:sz w:val="24"/>
                <w:szCs w:val="24"/>
              </w:rPr>
              <w:t>的扬尘包括料堆的风吹扬尘、装卸扬尘和过往车辆引起路面积尘二次扬尘等，这将产生较大的扬尘污染，会对周围环境带来一定的影响。但通过洒水可有效地抑制扬尘量，可使扬尘量减少约70％。此外，对一些粉状材料及砂石料等采取覆盖或进仓防风措施也将有效减少扬尘污染。</w:t>
            </w:r>
            <w:r>
              <w:rPr>
                <w:rFonts w:hint="default" w:ascii="Times New Roman" w:hAnsi="Times New Roman" w:eastAsia="宋体" w:cs="Times New Roman"/>
                <w:color w:val="auto"/>
                <w:sz w:val="24"/>
                <w:szCs w:val="24"/>
                <w:lang w:eastAsia="zh-CN"/>
              </w:rPr>
              <w:t>因此</w:t>
            </w:r>
            <w:r>
              <w:rPr>
                <w:rFonts w:hint="default" w:ascii="Times New Roman" w:hAnsi="Times New Roman" w:eastAsia="宋体" w:cs="Times New Roman"/>
                <w:color w:val="auto"/>
                <w:sz w:val="24"/>
                <w:szCs w:val="24"/>
                <w:u w:val="none"/>
                <w:lang w:val="zh-CN"/>
              </w:rPr>
              <w:t>施工单位必须使用废气排放符合国家标准的机械设备和运输车辆，并加强设备、车辆的维护保养，使其始终处于良好的工作状态，严禁使用报废车辆，以确保施工场地周围区域环境空气质量达到《环境空气质量标准》（GB3095-2012）二级标准要求。</w:t>
            </w:r>
          </w:p>
          <w:p w14:paraId="484BB530">
            <w:pPr>
              <w:pageBreakBefore w:val="0"/>
              <w:kinsoku/>
              <w:wordWrap/>
              <w:overflowPunct/>
              <w:bidi w:val="0"/>
              <w:spacing w:line="360" w:lineRule="auto"/>
              <w:ind w:left="0" w:leftChars="0"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rPr>
              <w:t>）施工车辆尾气环境影响分析</w:t>
            </w:r>
          </w:p>
          <w:p w14:paraId="3BCFC3A0">
            <w:pPr>
              <w:pageBreakBefore w:val="0"/>
              <w:kinsoku/>
              <w:wordWrap/>
              <w:overflowPunct/>
              <w:bidi w:val="0"/>
              <w:spacing w:line="360" w:lineRule="auto"/>
              <w:ind w:left="0" w:leftChars="0"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汽车尾气中所含的有害物质主要有CO、THC、NO</w:t>
            </w:r>
            <w:r>
              <w:rPr>
                <w:rFonts w:hint="default" w:ascii="Times New Roman" w:hAnsi="Times New Roman" w:eastAsia="宋体" w:cs="Times New Roman"/>
                <w:color w:val="auto"/>
                <w:sz w:val="24"/>
                <w:vertAlign w:val="subscript"/>
              </w:rPr>
              <w:t>X</w:t>
            </w:r>
            <w:r>
              <w:rPr>
                <w:rFonts w:hint="default" w:ascii="Times New Roman" w:hAnsi="Times New Roman" w:eastAsia="宋体" w:cs="Times New Roman"/>
                <w:color w:val="auto"/>
                <w:sz w:val="24"/>
              </w:rPr>
              <w:t>等，但这些污染源较分散且为流动性，污染物排放量不大，表现为间歇性特征，影响是短期和局部的，施工结束影响也随之消失，这类废气对大气环境的影响比较小。要求施工单位必须使用污染物排放符合国家标准的运输车辆，加强车辆的保养，使车辆处于良好的工作状态，严禁使用报废车辆，以减少施工车辆尾气对周围环境的影响。</w:t>
            </w:r>
          </w:p>
          <w:p w14:paraId="2E019B87">
            <w:pPr>
              <w:pageBreakBefore w:val="0"/>
              <w:kinsoku/>
              <w:wordWrap/>
              <w:overflowPunct/>
              <w:bidi w:val="0"/>
              <w:spacing w:line="360" w:lineRule="auto"/>
              <w:ind w:left="0" w:leftChars="0"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lang w:eastAsia="zh-CN"/>
              </w:rPr>
              <w:t>）施工机械废气</w:t>
            </w:r>
            <w:r>
              <w:rPr>
                <w:rFonts w:hint="default" w:ascii="Times New Roman" w:hAnsi="Times New Roman" w:eastAsia="宋体" w:cs="Times New Roman"/>
                <w:color w:val="auto"/>
                <w:sz w:val="24"/>
              </w:rPr>
              <w:t>环境影响分析</w:t>
            </w:r>
          </w:p>
          <w:p w14:paraId="1249A905">
            <w:pPr>
              <w:pageBreakBefore w:val="0"/>
              <w:kinsoku/>
              <w:wordWrap/>
              <w:overflowPunct/>
              <w:bidi w:val="0"/>
              <w:spacing w:line="360" w:lineRule="auto"/>
              <w:ind w:left="0" w:leftChars="0" w:right="0" w:rightChars="0" w:firstLine="480" w:firstLineChars="200"/>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lang w:eastAsia="zh-CN"/>
              </w:rPr>
              <w:t>本项目</w:t>
            </w:r>
            <w:r>
              <w:rPr>
                <w:rFonts w:hint="default" w:ascii="Times New Roman" w:hAnsi="Times New Roman" w:eastAsia="宋体" w:cs="Times New Roman"/>
                <w:color w:val="auto"/>
                <w:sz w:val="24"/>
                <w:lang w:val="en-US" w:eastAsia="zh-CN"/>
              </w:rPr>
              <w:t>临时电源采用两台柴油发电机，施工现场设置油罐。柴油发电机</w:t>
            </w:r>
            <w:r>
              <w:rPr>
                <w:rFonts w:hint="default" w:ascii="Times New Roman" w:hAnsi="Times New Roman" w:eastAsia="宋体" w:cs="Times New Roman"/>
                <w:color w:val="auto"/>
                <w:sz w:val="24"/>
                <w:lang w:eastAsia="zh-CN"/>
              </w:rPr>
              <w:t>燃烧</w:t>
            </w:r>
            <w:r>
              <w:rPr>
                <w:rFonts w:hint="default" w:ascii="Times New Roman" w:hAnsi="Times New Roman" w:eastAsia="宋体" w:cs="Times New Roman"/>
                <w:color w:val="auto"/>
                <w:sz w:val="24"/>
                <w:lang w:val="en-US" w:eastAsia="zh-CN"/>
              </w:rPr>
              <w:t>柴油</w:t>
            </w:r>
            <w:r>
              <w:rPr>
                <w:rFonts w:hint="default" w:ascii="Times New Roman" w:hAnsi="Times New Roman" w:eastAsia="宋体" w:cs="Times New Roman"/>
                <w:color w:val="auto"/>
                <w:sz w:val="24"/>
                <w:lang w:eastAsia="zh-CN"/>
              </w:rPr>
              <w:t>过程中将产生CO、NOx、SO</w:t>
            </w:r>
            <w:r>
              <w:rPr>
                <w:rFonts w:hint="default" w:ascii="Times New Roman" w:hAnsi="Times New Roman" w:eastAsia="宋体" w:cs="Times New Roman"/>
                <w:color w:val="auto"/>
                <w:sz w:val="24"/>
                <w:vertAlign w:val="subscript"/>
                <w:lang w:eastAsia="zh-CN"/>
              </w:rPr>
              <w:t>2</w:t>
            </w:r>
            <w:r>
              <w:rPr>
                <w:rFonts w:hint="default" w:ascii="Times New Roman" w:hAnsi="Times New Roman" w:eastAsia="宋体" w:cs="Times New Roman"/>
                <w:color w:val="auto"/>
                <w:sz w:val="24"/>
                <w:lang w:eastAsia="zh-CN"/>
              </w:rPr>
              <w:t>、碳氢化合物污染物。根据有关资料介绍，每吨柴油燃烧排放有害气体量详见下表。</w:t>
            </w:r>
          </w:p>
          <w:p w14:paraId="1B190DB1">
            <w:pPr>
              <w:pStyle w:val="38"/>
              <w:spacing w:line="440" w:lineRule="exact"/>
              <w:ind w:firstLine="0" w:firstLineChars="0"/>
              <w:jc w:val="center"/>
              <w:textAlignment w:val="baseline"/>
              <w:rPr>
                <w:rFonts w:hint="default" w:ascii="Times New Roman" w:hAnsi="Times New Roman" w:eastAsia="宋体" w:cs="Times New Roman"/>
                <w:b/>
                <w:bCs w:val="0"/>
                <w:snapToGrid w:val="0"/>
                <w:color w:val="auto"/>
                <w:sz w:val="21"/>
                <w:szCs w:val="22"/>
                <w:lang w:eastAsia="zh-CN"/>
              </w:rPr>
            </w:pPr>
            <w:r>
              <w:rPr>
                <w:rFonts w:hint="default" w:ascii="Times New Roman" w:hAnsi="Times New Roman" w:eastAsia="宋体" w:cs="Times New Roman"/>
                <w:b/>
                <w:bCs w:val="0"/>
                <w:snapToGrid w:val="0"/>
                <w:color w:val="auto"/>
                <w:sz w:val="21"/>
                <w:szCs w:val="22"/>
                <w:lang w:eastAsia="zh-CN"/>
              </w:rPr>
              <w:t>表4-</w:t>
            </w:r>
            <w:r>
              <w:rPr>
                <w:rFonts w:hint="default" w:ascii="Times New Roman" w:hAnsi="Times New Roman" w:eastAsia="宋体" w:cs="Times New Roman"/>
                <w:b/>
                <w:bCs w:val="0"/>
                <w:snapToGrid w:val="0"/>
                <w:color w:val="auto"/>
                <w:sz w:val="21"/>
                <w:szCs w:val="22"/>
                <w:lang w:val="en-US" w:eastAsia="zh-CN"/>
              </w:rPr>
              <w:t>2</w:t>
            </w:r>
            <w:r>
              <w:rPr>
                <w:rFonts w:hint="default" w:ascii="Times New Roman" w:hAnsi="Times New Roman" w:eastAsia="宋体" w:cs="Times New Roman"/>
                <w:b/>
                <w:bCs w:val="0"/>
                <w:snapToGrid w:val="0"/>
                <w:color w:val="auto"/>
                <w:sz w:val="21"/>
                <w:szCs w:val="22"/>
                <w:lang w:eastAsia="zh-CN"/>
              </w:rPr>
              <w:t>燃烧lt柴油排放的有害物质表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3"/>
              <w:gridCol w:w="1674"/>
              <w:gridCol w:w="1674"/>
              <w:gridCol w:w="1674"/>
              <w:gridCol w:w="1674"/>
            </w:tblGrid>
            <w:tr w14:paraId="0D346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pct"/>
                  <w:noWrap w:val="0"/>
                  <w:vAlign w:val="top"/>
                </w:tcPr>
                <w:p w14:paraId="1163A11F">
                  <w:pPr>
                    <w:pStyle w:val="20"/>
                    <w:keepNext w:val="0"/>
                    <w:keepLines w:val="0"/>
                    <w:pageBreakBefore w:val="0"/>
                    <w:widowControl w:val="0"/>
                    <w:kinsoku/>
                    <w:wordWrap/>
                    <w:overflowPunct/>
                    <w:topLinePunct w:val="0"/>
                    <w:autoSpaceDE/>
                    <w:autoSpaceDN/>
                    <w:bidi w:val="0"/>
                    <w:adjustRightInd/>
                    <w:snapToGrid/>
                    <w:spacing w:after="0" w:line="30" w:lineRule="atLeast"/>
                    <w:jc w:val="center"/>
                    <w:textAlignment w:val="auto"/>
                    <w:rPr>
                      <w:rFonts w:hint="default" w:ascii="Times New Roman" w:hAnsi="Times New Roman" w:cs="Times New Roman"/>
                      <w:color w:val="auto"/>
                      <w:vertAlign w:val="baseline"/>
                      <w:lang w:eastAsia="zh-CN"/>
                    </w:rPr>
                  </w:pPr>
                  <w:r>
                    <w:rPr>
                      <w:rFonts w:hint="default" w:ascii="Times New Roman" w:hAnsi="Times New Roman" w:cs="Times New Roman"/>
                      <w:color w:val="auto"/>
                      <w:vertAlign w:val="baseline"/>
                      <w:lang w:eastAsia="zh-CN"/>
                    </w:rPr>
                    <w:t>有害物质</w:t>
                  </w:r>
                </w:p>
              </w:tc>
              <w:tc>
                <w:tcPr>
                  <w:tcW w:w="1000" w:type="pct"/>
                  <w:noWrap w:val="0"/>
                  <w:vAlign w:val="top"/>
                </w:tcPr>
                <w:p w14:paraId="11E0FC14">
                  <w:pPr>
                    <w:pStyle w:val="20"/>
                    <w:keepNext w:val="0"/>
                    <w:keepLines w:val="0"/>
                    <w:pageBreakBefore w:val="0"/>
                    <w:widowControl w:val="0"/>
                    <w:kinsoku/>
                    <w:wordWrap/>
                    <w:overflowPunct/>
                    <w:topLinePunct w:val="0"/>
                    <w:autoSpaceDE/>
                    <w:autoSpaceDN/>
                    <w:bidi w:val="0"/>
                    <w:adjustRightInd/>
                    <w:snapToGrid/>
                    <w:spacing w:line="30" w:lineRule="atLeast"/>
                    <w:jc w:val="center"/>
                    <w:textAlignment w:val="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SO</w:t>
                  </w:r>
                  <w:r>
                    <w:rPr>
                      <w:rFonts w:hint="default" w:ascii="Times New Roman" w:hAnsi="Times New Roman" w:cs="Times New Roman"/>
                      <w:color w:val="auto"/>
                      <w:vertAlign w:val="subscript"/>
                      <w:lang w:val="en-US" w:eastAsia="zh-CN"/>
                    </w:rPr>
                    <w:t>2</w:t>
                  </w:r>
                </w:p>
              </w:tc>
              <w:tc>
                <w:tcPr>
                  <w:tcW w:w="1000" w:type="pct"/>
                  <w:noWrap w:val="0"/>
                  <w:vAlign w:val="top"/>
                </w:tcPr>
                <w:p w14:paraId="20F00972">
                  <w:pPr>
                    <w:pStyle w:val="20"/>
                    <w:keepNext w:val="0"/>
                    <w:keepLines w:val="0"/>
                    <w:pageBreakBefore w:val="0"/>
                    <w:widowControl w:val="0"/>
                    <w:kinsoku/>
                    <w:wordWrap/>
                    <w:overflowPunct/>
                    <w:topLinePunct w:val="0"/>
                    <w:autoSpaceDE/>
                    <w:autoSpaceDN/>
                    <w:bidi w:val="0"/>
                    <w:adjustRightInd/>
                    <w:snapToGrid/>
                    <w:spacing w:line="30" w:lineRule="atLeast"/>
                    <w:jc w:val="center"/>
                    <w:textAlignment w:val="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CO</w:t>
                  </w:r>
                </w:p>
              </w:tc>
              <w:tc>
                <w:tcPr>
                  <w:tcW w:w="1000" w:type="pct"/>
                  <w:noWrap w:val="0"/>
                  <w:vAlign w:val="top"/>
                </w:tcPr>
                <w:p w14:paraId="760F6250">
                  <w:pPr>
                    <w:pStyle w:val="20"/>
                    <w:keepNext w:val="0"/>
                    <w:keepLines w:val="0"/>
                    <w:pageBreakBefore w:val="0"/>
                    <w:widowControl w:val="0"/>
                    <w:kinsoku/>
                    <w:wordWrap/>
                    <w:overflowPunct/>
                    <w:topLinePunct w:val="0"/>
                    <w:autoSpaceDE/>
                    <w:autoSpaceDN/>
                    <w:bidi w:val="0"/>
                    <w:adjustRightInd/>
                    <w:snapToGrid/>
                    <w:spacing w:line="30" w:lineRule="atLeast"/>
                    <w:jc w:val="center"/>
                    <w:textAlignment w:val="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NOx</w:t>
                  </w:r>
                </w:p>
              </w:tc>
              <w:tc>
                <w:tcPr>
                  <w:tcW w:w="1000" w:type="pct"/>
                  <w:noWrap w:val="0"/>
                  <w:vAlign w:val="top"/>
                </w:tcPr>
                <w:p w14:paraId="3EED7D02">
                  <w:pPr>
                    <w:pStyle w:val="20"/>
                    <w:keepNext w:val="0"/>
                    <w:keepLines w:val="0"/>
                    <w:pageBreakBefore w:val="0"/>
                    <w:widowControl w:val="0"/>
                    <w:kinsoku/>
                    <w:wordWrap/>
                    <w:overflowPunct/>
                    <w:topLinePunct w:val="0"/>
                    <w:autoSpaceDE/>
                    <w:autoSpaceDN/>
                    <w:bidi w:val="0"/>
                    <w:adjustRightInd/>
                    <w:snapToGrid/>
                    <w:spacing w:line="30" w:lineRule="atLeast"/>
                    <w:jc w:val="center"/>
                    <w:textAlignment w:val="auto"/>
                    <w:rPr>
                      <w:rFonts w:hint="default" w:ascii="Times New Roman" w:hAnsi="Times New Roman" w:cs="Times New Roman"/>
                      <w:color w:val="auto"/>
                      <w:vertAlign w:val="baseline"/>
                      <w:lang w:eastAsia="zh-CN"/>
                    </w:rPr>
                  </w:pPr>
                  <w:r>
                    <w:rPr>
                      <w:rFonts w:hint="default" w:ascii="Times New Roman" w:hAnsi="Times New Roman" w:cs="Times New Roman"/>
                      <w:color w:val="auto"/>
                      <w:vertAlign w:val="baseline"/>
                      <w:lang w:eastAsia="zh-CN"/>
                    </w:rPr>
                    <w:t>碳氢化合物</w:t>
                  </w:r>
                </w:p>
              </w:tc>
            </w:tr>
            <w:tr w14:paraId="02FE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pct"/>
                  <w:noWrap w:val="0"/>
                  <w:vAlign w:val="top"/>
                </w:tcPr>
                <w:p w14:paraId="62977C70">
                  <w:pPr>
                    <w:pStyle w:val="20"/>
                    <w:keepNext w:val="0"/>
                    <w:keepLines w:val="0"/>
                    <w:pageBreakBefore w:val="0"/>
                    <w:widowControl w:val="0"/>
                    <w:kinsoku/>
                    <w:wordWrap/>
                    <w:overflowPunct/>
                    <w:topLinePunct w:val="0"/>
                    <w:autoSpaceDE/>
                    <w:autoSpaceDN/>
                    <w:bidi w:val="0"/>
                    <w:adjustRightInd/>
                    <w:snapToGrid/>
                    <w:spacing w:line="30" w:lineRule="atLeast"/>
                    <w:jc w:val="center"/>
                    <w:textAlignment w:val="auto"/>
                    <w:rPr>
                      <w:rFonts w:hint="default" w:ascii="Times New Roman" w:hAnsi="Times New Roman" w:cs="Times New Roman"/>
                      <w:color w:val="auto"/>
                      <w:vertAlign w:val="baseline"/>
                      <w:lang w:eastAsia="zh-CN"/>
                    </w:rPr>
                  </w:pPr>
                  <w:r>
                    <w:rPr>
                      <w:rFonts w:hint="default" w:ascii="Times New Roman" w:hAnsi="Times New Roman" w:cs="Times New Roman"/>
                      <w:color w:val="auto"/>
                      <w:vertAlign w:val="baseline"/>
                      <w:lang w:eastAsia="zh-CN"/>
                    </w:rPr>
                    <w:t>排放量</w:t>
                  </w:r>
                  <w:r>
                    <w:rPr>
                      <w:rFonts w:hint="default" w:ascii="Times New Roman" w:hAnsi="Times New Roman" w:cs="Times New Roman"/>
                      <w:color w:val="auto"/>
                      <w:vertAlign w:val="baseline"/>
                      <w:lang w:eastAsia="zh-CN"/>
                    </w:rPr>
                    <w:t>（</w:t>
                  </w:r>
                  <w:r>
                    <w:rPr>
                      <w:rFonts w:hint="default" w:ascii="Times New Roman" w:hAnsi="Times New Roman" w:cs="Times New Roman"/>
                      <w:color w:val="auto"/>
                      <w:vertAlign w:val="baseline"/>
                      <w:lang w:eastAsia="zh-CN"/>
                    </w:rPr>
                    <w:t>kg</w:t>
                  </w:r>
                  <w:r>
                    <w:rPr>
                      <w:rFonts w:hint="default" w:ascii="Times New Roman" w:hAnsi="Times New Roman" w:cs="Times New Roman"/>
                      <w:color w:val="auto"/>
                      <w:vertAlign w:val="baseline"/>
                      <w:lang w:eastAsia="zh-CN"/>
                    </w:rPr>
                    <w:t>）</w:t>
                  </w:r>
                </w:p>
              </w:tc>
              <w:tc>
                <w:tcPr>
                  <w:tcW w:w="1000" w:type="pct"/>
                  <w:noWrap w:val="0"/>
                  <w:vAlign w:val="top"/>
                </w:tcPr>
                <w:p w14:paraId="009D6199">
                  <w:pPr>
                    <w:pStyle w:val="20"/>
                    <w:keepNext w:val="0"/>
                    <w:keepLines w:val="0"/>
                    <w:pageBreakBefore w:val="0"/>
                    <w:widowControl w:val="0"/>
                    <w:kinsoku/>
                    <w:wordWrap/>
                    <w:overflowPunct/>
                    <w:topLinePunct w:val="0"/>
                    <w:autoSpaceDE/>
                    <w:autoSpaceDN/>
                    <w:bidi w:val="0"/>
                    <w:adjustRightInd/>
                    <w:snapToGrid/>
                    <w:spacing w:line="30" w:lineRule="atLeast"/>
                    <w:jc w:val="center"/>
                    <w:textAlignment w:val="auto"/>
                    <w:rPr>
                      <w:rFonts w:hint="default" w:ascii="Times New Roman" w:hAnsi="Times New Roman" w:cs="Times New Roman"/>
                      <w:color w:val="auto"/>
                      <w:vertAlign w:val="baseline"/>
                      <w:lang w:eastAsia="zh-CN"/>
                    </w:rPr>
                  </w:pPr>
                  <w:r>
                    <w:rPr>
                      <w:rFonts w:hint="default" w:ascii="Times New Roman" w:hAnsi="Times New Roman" w:cs="Times New Roman"/>
                      <w:color w:val="auto"/>
                      <w:vertAlign w:val="baseline"/>
                      <w:lang w:eastAsia="zh-CN"/>
                    </w:rPr>
                    <w:t>3.522</w:t>
                  </w:r>
                </w:p>
              </w:tc>
              <w:tc>
                <w:tcPr>
                  <w:tcW w:w="1000" w:type="pct"/>
                  <w:noWrap w:val="0"/>
                  <w:vAlign w:val="top"/>
                </w:tcPr>
                <w:p w14:paraId="19E01794">
                  <w:pPr>
                    <w:pStyle w:val="20"/>
                    <w:keepNext w:val="0"/>
                    <w:keepLines w:val="0"/>
                    <w:pageBreakBefore w:val="0"/>
                    <w:widowControl w:val="0"/>
                    <w:kinsoku/>
                    <w:wordWrap/>
                    <w:overflowPunct/>
                    <w:topLinePunct w:val="0"/>
                    <w:autoSpaceDE/>
                    <w:autoSpaceDN/>
                    <w:bidi w:val="0"/>
                    <w:adjustRightInd/>
                    <w:snapToGrid/>
                    <w:spacing w:line="30" w:lineRule="atLeast"/>
                    <w:jc w:val="center"/>
                    <w:textAlignment w:val="auto"/>
                    <w:rPr>
                      <w:rFonts w:hint="default" w:ascii="Times New Roman" w:hAnsi="Times New Roman" w:cs="Times New Roman"/>
                      <w:color w:val="auto"/>
                      <w:vertAlign w:val="baseline"/>
                      <w:lang w:eastAsia="zh-CN"/>
                    </w:rPr>
                  </w:pPr>
                  <w:r>
                    <w:rPr>
                      <w:rFonts w:hint="default" w:ascii="Times New Roman" w:hAnsi="Times New Roman" w:cs="Times New Roman"/>
                      <w:color w:val="auto"/>
                      <w:vertAlign w:val="baseline"/>
                      <w:lang w:eastAsia="zh-CN"/>
                    </w:rPr>
                    <w:t>29.349</w:t>
                  </w:r>
                </w:p>
              </w:tc>
              <w:tc>
                <w:tcPr>
                  <w:tcW w:w="1000" w:type="pct"/>
                  <w:noWrap w:val="0"/>
                  <w:vAlign w:val="top"/>
                </w:tcPr>
                <w:p w14:paraId="7F3D663A">
                  <w:pPr>
                    <w:pStyle w:val="20"/>
                    <w:keepNext w:val="0"/>
                    <w:keepLines w:val="0"/>
                    <w:pageBreakBefore w:val="0"/>
                    <w:widowControl w:val="0"/>
                    <w:kinsoku/>
                    <w:wordWrap/>
                    <w:overflowPunct/>
                    <w:topLinePunct w:val="0"/>
                    <w:autoSpaceDE/>
                    <w:autoSpaceDN/>
                    <w:bidi w:val="0"/>
                    <w:adjustRightInd/>
                    <w:snapToGrid/>
                    <w:spacing w:line="30" w:lineRule="atLeast"/>
                    <w:jc w:val="center"/>
                    <w:textAlignment w:val="auto"/>
                    <w:rPr>
                      <w:rFonts w:hint="default" w:ascii="Times New Roman" w:hAnsi="Times New Roman" w:cs="Times New Roman"/>
                      <w:color w:val="auto"/>
                      <w:vertAlign w:val="baseline"/>
                      <w:lang w:eastAsia="zh-CN"/>
                    </w:rPr>
                  </w:pPr>
                  <w:r>
                    <w:rPr>
                      <w:rFonts w:hint="default" w:ascii="Times New Roman" w:hAnsi="Times New Roman" w:cs="Times New Roman"/>
                      <w:color w:val="auto"/>
                      <w:vertAlign w:val="baseline"/>
                      <w:lang w:eastAsia="zh-CN"/>
                    </w:rPr>
                    <w:t>48.263</w:t>
                  </w:r>
                </w:p>
              </w:tc>
              <w:tc>
                <w:tcPr>
                  <w:tcW w:w="1000" w:type="pct"/>
                  <w:noWrap w:val="0"/>
                  <w:vAlign w:val="top"/>
                </w:tcPr>
                <w:p w14:paraId="550812BC">
                  <w:pPr>
                    <w:pStyle w:val="20"/>
                    <w:keepNext w:val="0"/>
                    <w:keepLines w:val="0"/>
                    <w:pageBreakBefore w:val="0"/>
                    <w:widowControl w:val="0"/>
                    <w:kinsoku/>
                    <w:wordWrap/>
                    <w:overflowPunct/>
                    <w:topLinePunct w:val="0"/>
                    <w:autoSpaceDE/>
                    <w:autoSpaceDN/>
                    <w:bidi w:val="0"/>
                    <w:adjustRightInd/>
                    <w:snapToGrid/>
                    <w:spacing w:line="30" w:lineRule="atLeast"/>
                    <w:jc w:val="center"/>
                    <w:textAlignment w:val="auto"/>
                    <w:rPr>
                      <w:rFonts w:hint="default" w:ascii="Times New Roman" w:hAnsi="Times New Roman" w:cs="Times New Roman"/>
                      <w:color w:val="auto"/>
                      <w:vertAlign w:val="baseline"/>
                      <w:lang w:eastAsia="zh-CN"/>
                    </w:rPr>
                  </w:pPr>
                  <w:r>
                    <w:rPr>
                      <w:rFonts w:hint="default" w:ascii="Times New Roman" w:hAnsi="Times New Roman" w:cs="Times New Roman"/>
                      <w:color w:val="auto"/>
                      <w:vertAlign w:val="baseline"/>
                      <w:lang w:eastAsia="zh-CN"/>
                    </w:rPr>
                    <w:t>4.826</w:t>
                  </w:r>
                </w:p>
              </w:tc>
            </w:tr>
          </w:tbl>
          <w:p w14:paraId="1BE93DFC">
            <w:pPr>
              <w:pStyle w:val="20"/>
              <w:spacing w:line="360" w:lineRule="auto"/>
              <w:ind w:firstLine="480" w:firstLineChars="200"/>
              <w:rPr>
                <w:rFonts w:hint="default" w:ascii="Times New Roman" w:hAnsi="Times New Roman" w:cs="Times New Roman"/>
                <w:color w:val="auto"/>
                <w:sz w:val="24"/>
                <w:szCs w:val="32"/>
                <w:lang w:eastAsia="zh-CN"/>
              </w:rPr>
            </w:pPr>
            <w:r>
              <w:rPr>
                <w:rFonts w:hint="default" w:ascii="Times New Roman" w:hAnsi="Times New Roman" w:cs="Times New Roman"/>
                <w:color w:val="auto"/>
                <w:sz w:val="24"/>
                <w:szCs w:val="32"/>
                <w:lang w:eastAsia="zh-CN"/>
              </w:rPr>
              <w:t>由于此类污染源多为无组织排放，较为分散，受自然条件的影响容易扩散，空气环境本底现状优良，具有较大的环境容量，不存在短时间集中排放的情况，废气排放量较小，对周边环境影响较小。</w:t>
            </w:r>
          </w:p>
          <w:p w14:paraId="2D7C81F2">
            <w:pPr>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0" w:leftChars="0" w:firstLine="480"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焊接烟尘</w:t>
            </w:r>
          </w:p>
          <w:p w14:paraId="7508A9BA">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拟建项目需对塔基、基础进行焊接。焊接烟气中发现的元素多达20种以上，其中含量最多的是Fe、Ca、Na等，其次是Si、Al、Mn、Ti、Cu等。</w:t>
            </w:r>
          </w:p>
          <w:p w14:paraId="19B7E8F7">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焊接烟尘中的主要有害物质为Fe</w:t>
            </w:r>
            <w:r>
              <w:rPr>
                <w:rFonts w:hint="default" w:ascii="Times New Roman" w:hAnsi="Times New Roman" w:eastAsia="宋体" w:cs="Times New Roman"/>
                <w:color w:val="auto"/>
                <w:kern w:val="2"/>
                <w:sz w:val="24"/>
                <w:szCs w:val="24"/>
                <w:vertAlign w:val="subscript"/>
                <w:lang w:val="en-US" w:eastAsia="zh-CN" w:bidi="ar-SA"/>
              </w:rPr>
              <w:t>2</w:t>
            </w:r>
            <w:r>
              <w:rPr>
                <w:rFonts w:hint="default" w:ascii="Times New Roman" w:hAnsi="Times New Roman" w:eastAsia="宋体" w:cs="Times New Roman"/>
                <w:color w:val="auto"/>
                <w:kern w:val="2"/>
                <w:sz w:val="24"/>
                <w:szCs w:val="24"/>
                <w:lang w:val="en-US" w:eastAsia="zh-CN" w:bidi="ar-SA"/>
              </w:rPr>
              <w:t>O</w:t>
            </w:r>
            <w:r>
              <w:rPr>
                <w:rFonts w:hint="default" w:ascii="Times New Roman" w:hAnsi="Times New Roman" w:eastAsia="宋体" w:cs="Times New Roman"/>
                <w:color w:val="auto"/>
                <w:kern w:val="2"/>
                <w:sz w:val="24"/>
                <w:szCs w:val="24"/>
                <w:vertAlign w:val="subscript"/>
                <w:lang w:val="en-US" w:eastAsia="zh-CN" w:bidi="ar-SA"/>
              </w:rPr>
              <w:t>3</w:t>
            </w:r>
            <w:r>
              <w:rPr>
                <w:rFonts w:hint="default" w:ascii="Times New Roman" w:hAnsi="Times New Roman" w:eastAsia="宋体" w:cs="Times New Roman"/>
                <w:color w:val="auto"/>
                <w:kern w:val="2"/>
                <w:sz w:val="24"/>
                <w:szCs w:val="24"/>
                <w:lang w:val="en-US" w:eastAsia="zh-CN" w:bidi="ar-SA"/>
              </w:rPr>
              <w:t>、SiO</w:t>
            </w:r>
            <w:r>
              <w:rPr>
                <w:rFonts w:hint="default" w:ascii="Times New Roman" w:hAnsi="Times New Roman" w:eastAsia="宋体" w:cs="Times New Roman"/>
                <w:color w:val="auto"/>
                <w:kern w:val="2"/>
                <w:sz w:val="24"/>
                <w:szCs w:val="24"/>
                <w:vertAlign w:val="subscript"/>
                <w:lang w:val="en-US" w:eastAsia="zh-CN" w:bidi="ar-SA"/>
              </w:rPr>
              <w:t>2</w:t>
            </w:r>
            <w:r>
              <w:rPr>
                <w:rFonts w:hint="default" w:ascii="Times New Roman" w:hAnsi="Times New Roman" w:eastAsia="宋体" w:cs="Times New Roman"/>
                <w:color w:val="auto"/>
                <w:kern w:val="2"/>
                <w:sz w:val="24"/>
                <w:szCs w:val="24"/>
                <w:lang w:val="en-US" w:eastAsia="zh-CN" w:bidi="ar-SA"/>
              </w:rPr>
              <w:t>、MnO、HF等，其中含量最多的为Fe</w:t>
            </w:r>
            <w:r>
              <w:rPr>
                <w:rFonts w:hint="default" w:ascii="Times New Roman" w:hAnsi="Times New Roman" w:eastAsia="宋体" w:cs="Times New Roman"/>
                <w:color w:val="auto"/>
                <w:kern w:val="2"/>
                <w:sz w:val="24"/>
                <w:szCs w:val="24"/>
                <w:vertAlign w:val="subscript"/>
                <w:lang w:val="en-US" w:eastAsia="zh-CN" w:bidi="ar-SA"/>
              </w:rPr>
              <w:t>2</w:t>
            </w:r>
            <w:r>
              <w:rPr>
                <w:rFonts w:hint="default" w:ascii="Times New Roman" w:hAnsi="Times New Roman" w:eastAsia="宋体" w:cs="Times New Roman"/>
                <w:color w:val="auto"/>
                <w:kern w:val="2"/>
                <w:sz w:val="24"/>
                <w:szCs w:val="24"/>
                <w:lang w:val="en-US" w:eastAsia="zh-CN" w:bidi="ar-SA"/>
              </w:rPr>
              <w:t>O</w:t>
            </w:r>
            <w:r>
              <w:rPr>
                <w:rFonts w:hint="default" w:ascii="Times New Roman" w:hAnsi="Times New Roman" w:eastAsia="宋体" w:cs="Times New Roman"/>
                <w:color w:val="auto"/>
                <w:kern w:val="2"/>
                <w:sz w:val="24"/>
                <w:szCs w:val="24"/>
                <w:vertAlign w:val="subscript"/>
                <w:lang w:val="en-US" w:eastAsia="zh-CN" w:bidi="ar-SA"/>
              </w:rPr>
              <w:t>3</w:t>
            </w:r>
            <w:r>
              <w:rPr>
                <w:rFonts w:hint="default" w:ascii="Times New Roman" w:hAnsi="Times New Roman" w:eastAsia="宋体" w:cs="Times New Roman"/>
                <w:color w:val="auto"/>
                <w:kern w:val="2"/>
                <w:sz w:val="24"/>
                <w:szCs w:val="24"/>
                <w:lang w:val="en-US" w:eastAsia="zh-CN" w:bidi="ar-SA"/>
              </w:rPr>
              <w:t>，一般占烟尘总量的35.56%，其次是SiO</w:t>
            </w:r>
            <w:r>
              <w:rPr>
                <w:rFonts w:hint="default" w:ascii="Times New Roman" w:hAnsi="Times New Roman" w:eastAsia="宋体" w:cs="Times New Roman"/>
                <w:color w:val="auto"/>
                <w:kern w:val="2"/>
                <w:sz w:val="24"/>
                <w:szCs w:val="24"/>
                <w:vertAlign w:val="subscript"/>
                <w:lang w:val="en-US" w:eastAsia="zh-CN" w:bidi="ar-SA"/>
              </w:rPr>
              <w:t>2</w:t>
            </w:r>
            <w:r>
              <w:rPr>
                <w:rFonts w:hint="default" w:ascii="Times New Roman" w:hAnsi="Times New Roman" w:eastAsia="宋体" w:cs="Times New Roman"/>
                <w:color w:val="auto"/>
                <w:kern w:val="2"/>
                <w:sz w:val="24"/>
                <w:szCs w:val="24"/>
                <w:lang w:val="en-US" w:eastAsia="zh-CN" w:bidi="ar-SA"/>
              </w:rPr>
              <w:t>，其含量占10-</w:t>
            </w:r>
            <w:r>
              <w:rPr>
                <w:rFonts w:hint="default" w:ascii="Times New Roman" w:hAnsi="Times New Roman" w:cs="Times New Roman"/>
                <w:color w:val="auto"/>
                <w:kern w:val="2"/>
                <w:sz w:val="24"/>
                <w:szCs w:val="24"/>
                <w:lang w:val="en-US" w:eastAsia="zh-CN" w:bidi="ar-SA"/>
              </w:rPr>
              <w:t>60%</w:t>
            </w:r>
            <w:r>
              <w:rPr>
                <w:rFonts w:hint="default" w:ascii="Times New Roman" w:hAnsi="Times New Roman" w:eastAsia="宋体" w:cs="Times New Roman"/>
                <w:color w:val="auto"/>
                <w:kern w:val="2"/>
                <w:sz w:val="24"/>
                <w:szCs w:val="24"/>
                <w:lang w:val="en-US" w:eastAsia="zh-CN" w:bidi="ar-SA"/>
              </w:rPr>
              <w:t>，MnO占5-20％左右。焊接烟气中有毒有害气体</w:t>
            </w:r>
            <w:r>
              <w:rPr>
                <w:rFonts w:hint="default" w:ascii="Times New Roman" w:hAnsi="Times New Roman" w:cs="Times New Roman"/>
                <w:color w:val="auto"/>
                <w:kern w:val="2"/>
                <w:sz w:val="24"/>
                <w:szCs w:val="24"/>
                <w:lang w:val="en-US" w:eastAsia="zh-CN" w:bidi="ar-SA"/>
              </w:rPr>
              <w:t>的成分</w:t>
            </w:r>
            <w:r>
              <w:rPr>
                <w:rFonts w:hint="default" w:ascii="Times New Roman" w:hAnsi="Times New Roman" w:eastAsia="宋体" w:cs="Times New Roman"/>
                <w:color w:val="auto"/>
                <w:kern w:val="2"/>
                <w:sz w:val="24"/>
                <w:szCs w:val="24"/>
                <w:lang w:val="en-US" w:eastAsia="zh-CN" w:bidi="ar-SA"/>
              </w:rPr>
              <w:t>主要为CO、CO2、O3、NOx等，其中以CO所占的比例最大，有毒有害气体</w:t>
            </w:r>
            <w:r>
              <w:rPr>
                <w:rFonts w:hint="default" w:ascii="Times New Roman" w:hAnsi="Times New Roman" w:cs="Times New Roman"/>
                <w:color w:val="auto"/>
                <w:kern w:val="2"/>
                <w:sz w:val="24"/>
                <w:szCs w:val="24"/>
                <w:lang w:val="en-US" w:eastAsia="zh-CN" w:bidi="ar-SA"/>
              </w:rPr>
              <w:t>成分复杂</w:t>
            </w:r>
            <w:r>
              <w:rPr>
                <w:rFonts w:hint="default" w:ascii="Times New Roman" w:hAnsi="Times New Roman" w:eastAsia="宋体" w:cs="Times New Roman"/>
                <w:color w:val="auto"/>
                <w:kern w:val="2"/>
                <w:sz w:val="24"/>
                <w:szCs w:val="24"/>
                <w:lang w:val="en-US" w:eastAsia="zh-CN" w:bidi="ar-SA"/>
              </w:rPr>
              <w:t>，产生量较小。焊接烟气主要含金属氧化</w:t>
            </w:r>
            <w:r>
              <w:rPr>
                <w:rFonts w:hint="default" w:ascii="Times New Roman" w:hAnsi="Times New Roman" w:cs="Times New Roman"/>
                <w:color w:val="auto"/>
                <w:kern w:val="2"/>
                <w:sz w:val="24"/>
                <w:szCs w:val="24"/>
                <w:lang w:val="en-US" w:eastAsia="zh-CN" w:bidi="ar-SA"/>
              </w:rPr>
              <w:t>物和</w:t>
            </w:r>
            <w:r>
              <w:rPr>
                <w:rFonts w:hint="default" w:ascii="Times New Roman" w:hAnsi="Times New Roman" w:eastAsia="宋体" w:cs="Times New Roman"/>
                <w:color w:val="auto"/>
                <w:kern w:val="2"/>
                <w:sz w:val="24"/>
                <w:szCs w:val="24"/>
                <w:lang w:val="en-US" w:eastAsia="zh-CN" w:bidi="ar-SA"/>
              </w:rPr>
              <w:t>粉尘等有害物质，均为无组织排放，属间歇无组织排放。为了尽可能降低这一过程的影响程度，焊接作业时采用CO</w:t>
            </w:r>
            <w:r>
              <w:rPr>
                <w:rFonts w:hint="default" w:ascii="Times New Roman" w:hAnsi="Times New Roman" w:eastAsia="宋体" w:cs="Times New Roman"/>
                <w:color w:val="auto"/>
                <w:kern w:val="2"/>
                <w:sz w:val="24"/>
                <w:szCs w:val="24"/>
                <w:vertAlign w:val="subscript"/>
                <w:lang w:val="en-US" w:eastAsia="zh-CN" w:bidi="ar-SA"/>
              </w:rPr>
              <w:t>2</w:t>
            </w:r>
            <w:r>
              <w:rPr>
                <w:rFonts w:hint="default" w:ascii="Times New Roman" w:hAnsi="Times New Roman" w:eastAsia="宋体" w:cs="Times New Roman"/>
                <w:color w:val="auto"/>
                <w:kern w:val="2"/>
                <w:sz w:val="24"/>
                <w:szCs w:val="24"/>
                <w:lang w:val="en-US" w:eastAsia="zh-CN" w:bidi="ar-SA"/>
              </w:rPr>
              <w:t>保护焊。</w:t>
            </w:r>
          </w:p>
          <w:p w14:paraId="4E7C56B9">
            <w:pPr>
              <w:pStyle w:val="20"/>
              <w:keepNext w:val="0"/>
              <w:keepLines w:val="0"/>
              <w:pageBreakBefore w:val="0"/>
              <w:widowControl w:val="0"/>
              <w:kinsoku/>
              <w:wordWrap/>
              <w:overflowPunct/>
              <w:topLinePunct w:val="0"/>
              <w:bidi w:val="0"/>
              <w:adjustRightInd/>
              <w:snapToGrid/>
              <w:spacing w:after="0" w:line="360" w:lineRule="auto"/>
              <w:ind w:firstLine="482" w:firstLineChars="200"/>
              <w:rPr>
                <w:rFonts w:hint="default" w:ascii="Times New Roman" w:hAnsi="Times New Roman" w:eastAsia="宋体" w:cs="Times New Roman"/>
                <w:b/>
                <w:bCs/>
                <w:color w:val="auto"/>
                <w:sz w:val="24"/>
              </w:rPr>
            </w:pPr>
            <w:r>
              <w:rPr>
                <w:rFonts w:hint="default" w:ascii="Times New Roman" w:hAnsi="Times New Roman" w:cs="Times New Roman"/>
                <w:b/>
                <w:bCs/>
                <w:color w:val="auto"/>
                <w:sz w:val="24"/>
                <w:szCs w:val="32"/>
                <w:lang w:val="en-US" w:eastAsia="zh-CN"/>
              </w:rPr>
              <w:t>3、</w:t>
            </w:r>
            <w:r>
              <w:rPr>
                <w:rFonts w:hint="default" w:ascii="Times New Roman" w:hAnsi="Times New Roman" w:eastAsia="宋体" w:cs="Times New Roman"/>
                <w:b/>
                <w:bCs/>
                <w:color w:val="auto"/>
                <w:sz w:val="24"/>
              </w:rPr>
              <w:t>废水影响分析</w:t>
            </w:r>
          </w:p>
          <w:p w14:paraId="4828023F">
            <w:pPr>
              <w:keepNext w:val="0"/>
              <w:keepLines w:val="0"/>
              <w:pageBreakBefore w:val="0"/>
              <w:widowControl w:val="0"/>
              <w:kinsoku/>
              <w:wordWrap/>
              <w:overflowPunct/>
              <w:topLinePunct w:val="0"/>
              <w:bidi w:val="0"/>
              <w:adjustRightInd/>
              <w:snapToGrid/>
              <w:spacing w:line="360" w:lineRule="auto"/>
              <w:ind w:left="0" w:leftChars="0"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（1）施工废水</w:t>
            </w:r>
          </w:p>
          <w:p w14:paraId="37E71F66">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本项目施工作业废水主要为机械设备冲洗废水。机械设备冲洗废水主要以悬浮物和石油类污染为主。</w:t>
            </w:r>
            <w:r>
              <w:rPr>
                <w:rFonts w:hint="default" w:ascii="Times New Roman" w:hAnsi="Times New Roman" w:eastAsia="宋体" w:cs="Times New Roman"/>
                <w:snapToGrid w:val="0"/>
                <w:color w:val="auto"/>
                <w:kern w:val="0"/>
                <w:sz w:val="24"/>
              </w:rPr>
              <w:t>一般情况下，</w:t>
            </w:r>
            <w:r>
              <w:rPr>
                <w:rFonts w:hint="default" w:ascii="Times New Roman" w:hAnsi="Times New Roman" w:eastAsia="宋体" w:cs="Times New Roman"/>
                <w:color w:val="auto"/>
                <w:sz w:val="24"/>
              </w:rPr>
              <w:t>机械设备冲洗废水其SS浓度约为2000mg/L，石油类浓度约为100mg/L，油污消解时间长，具有一定的渗透能力，必须严加管理，严禁直接泼洒地面。本项目施工废水排入场地设置的隔油沉淀池，收集沉淀处理后用于洒水抑尘。</w:t>
            </w:r>
          </w:p>
          <w:p w14:paraId="110C32CC">
            <w:pPr>
              <w:pageBreakBefore w:val="0"/>
              <w:kinsoku/>
              <w:wordWrap/>
              <w:overflowPunct/>
              <w:bidi w:val="0"/>
              <w:spacing w:line="360" w:lineRule="auto"/>
              <w:ind w:left="0" w:leftChars="0"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（2）生活污水</w:t>
            </w:r>
          </w:p>
          <w:p w14:paraId="11C95626">
            <w:pPr>
              <w:pStyle w:val="30"/>
              <w:pageBreakBefore w:val="0"/>
              <w:kinsoku/>
              <w:wordWrap/>
              <w:overflowPunct/>
              <w:bidi w:val="0"/>
              <w:spacing w:line="360" w:lineRule="auto"/>
              <w:ind w:left="0" w:leftChars="0" w:right="0" w:rightChars="0" w:firstLine="480" w:firstLineChars="200"/>
              <w:rPr>
                <w:rFonts w:hint="default" w:ascii="Times New Roman" w:hAnsi="Times New Roman" w:eastAsia="宋体" w:cs="Times New Roman"/>
                <w:b w:val="0"/>
                <w:bCs w:val="0"/>
                <w:color w:val="auto"/>
                <w:sz w:val="24"/>
              </w:rPr>
            </w:pPr>
            <w:bookmarkStart w:id="7" w:name="_Hlk534899848"/>
            <w:r>
              <w:rPr>
                <w:rFonts w:hint="default" w:ascii="Times New Roman" w:hAnsi="Times New Roman" w:eastAsia="宋体" w:cs="Times New Roman"/>
                <w:b w:val="0"/>
                <w:bCs w:val="0"/>
                <w:color w:val="auto"/>
                <w:sz w:val="24"/>
              </w:rPr>
              <w:t>本项目施工期劳动定员</w:t>
            </w:r>
            <w:r>
              <w:rPr>
                <w:rFonts w:hint="default" w:ascii="Times New Roman" w:hAnsi="Times New Roman" w:eastAsia="宋体" w:cs="Times New Roman"/>
                <w:b w:val="0"/>
                <w:bCs w:val="0"/>
                <w:color w:val="auto"/>
                <w:sz w:val="24"/>
                <w:lang w:eastAsia="zh-CN"/>
              </w:rPr>
              <w:t>均为</w:t>
            </w:r>
            <w:r>
              <w:rPr>
                <w:rFonts w:hint="default" w:ascii="Times New Roman" w:hAnsi="Times New Roman" w:cs="Times New Roman"/>
                <w:b w:val="0"/>
                <w:bCs w:val="0"/>
                <w:color w:val="auto"/>
                <w:sz w:val="24"/>
                <w:lang w:val="en-US" w:eastAsia="zh-CN"/>
              </w:rPr>
              <w:t>300</w:t>
            </w:r>
            <w:r>
              <w:rPr>
                <w:rFonts w:hint="default" w:ascii="Times New Roman" w:hAnsi="Times New Roman" w:eastAsia="宋体" w:cs="Times New Roman"/>
                <w:b w:val="0"/>
                <w:bCs w:val="0"/>
                <w:color w:val="auto"/>
                <w:sz w:val="24"/>
              </w:rPr>
              <w:t>人计，用水量按60L/人·日（根据《给排水设计手册》2002年1月1日出版）测算，施工期生活用水量为</w:t>
            </w:r>
            <w:r>
              <w:rPr>
                <w:rFonts w:hint="default" w:ascii="Times New Roman" w:hAnsi="Times New Roman" w:eastAsia="宋体" w:cs="Times New Roman"/>
                <w:b w:val="0"/>
                <w:bCs w:val="0"/>
                <w:color w:val="auto"/>
                <w:sz w:val="24"/>
                <w:lang w:val="en-US" w:eastAsia="zh-CN"/>
              </w:rPr>
              <w:t>4.5</w:t>
            </w:r>
            <w:r>
              <w:rPr>
                <w:rFonts w:hint="default" w:ascii="Times New Roman" w:hAnsi="Times New Roman" w:eastAsia="宋体" w:cs="Times New Roman"/>
                <w:b w:val="0"/>
                <w:bCs w:val="0"/>
                <w:color w:val="auto"/>
                <w:sz w:val="24"/>
              </w:rPr>
              <w:t>m</w:t>
            </w:r>
            <w:r>
              <w:rPr>
                <w:rFonts w:hint="default" w:ascii="Times New Roman" w:hAnsi="Times New Roman" w:eastAsia="宋体" w:cs="Times New Roman"/>
                <w:b w:val="0"/>
                <w:bCs w:val="0"/>
                <w:color w:val="auto"/>
                <w:sz w:val="24"/>
                <w:vertAlign w:val="superscript"/>
              </w:rPr>
              <w:t>3</w:t>
            </w:r>
            <w:r>
              <w:rPr>
                <w:rFonts w:hint="default" w:ascii="Times New Roman" w:hAnsi="Times New Roman" w:eastAsia="宋体" w:cs="Times New Roman"/>
                <w:b w:val="0"/>
                <w:bCs w:val="0"/>
                <w:color w:val="auto"/>
                <w:sz w:val="24"/>
              </w:rPr>
              <w:t>/d。生活污水产生量按日用水量的80%计，则生活污水最大排放量为</w:t>
            </w:r>
            <w:r>
              <w:rPr>
                <w:rFonts w:hint="default" w:ascii="Times New Roman" w:hAnsi="Times New Roman" w:eastAsia="宋体" w:cs="Times New Roman"/>
                <w:b w:val="0"/>
                <w:bCs w:val="0"/>
                <w:color w:val="auto"/>
                <w:sz w:val="24"/>
                <w:lang w:val="en-US" w:eastAsia="zh-CN"/>
              </w:rPr>
              <w:t>3.6</w:t>
            </w:r>
            <w:r>
              <w:rPr>
                <w:rFonts w:hint="default" w:ascii="Times New Roman" w:hAnsi="Times New Roman" w:eastAsia="宋体" w:cs="Times New Roman"/>
                <w:b w:val="0"/>
                <w:bCs w:val="0"/>
                <w:color w:val="auto"/>
                <w:sz w:val="24"/>
              </w:rPr>
              <w:t>m</w:t>
            </w:r>
            <w:r>
              <w:rPr>
                <w:rFonts w:hint="default" w:ascii="Times New Roman" w:hAnsi="Times New Roman" w:eastAsia="宋体" w:cs="Times New Roman"/>
                <w:b w:val="0"/>
                <w:bCs w:val="0"/>
                <w:color w:val="auto"/>
                <w:sz w:val="24"/>
                <w:vertAlign w:val="superscript"/>
              </w:rPr>
              <w:t>3</w:t>
            </w:r>
            <w:r>
              <w:rPr>
                <w:rFonts w:hint="default" w:ascii="Times New Roman" w:hAnsi="Times New Roman" w:eastAsia="宋体" w:cs="Times New Roman"/>
                <w:b w:val="0"/>
                <w:bCs w:val="0"/>
                <w:color w:val="auto"/>
                <w:sz w:val="24"/>
              </w:rPr>
              <w:t>/d。施工工期计划为</w:t>
            </w:r>
            <w:r>
              <w:rPr>
                <w:rFonts w:hint="default" w:ascii="Times New Roman" w:hAnsi="Times New Roman" w:eastAsia="宋体" w:cs="Times New Roman"/>
                <w:b w:val="0"/>
                <w:bCs w:val="0"/>
                <w:color w:val="auto"/>
                <w:sz w:val="24"/>
                <w:lang w:val="en-US" w:eastAsia="zh-CN"/>
              </w:rPr>
              <w:t>1</w:t>
            </w:r>
            <w:r>
              <w:rPr>
                <w:rFonts w:hint="default" w:ascii="Times New Roman" w:hAnsi="Times New Roman" w:cs="Times New Roman"/>
                <w:b w:val="0"/>
                <w:bCs w:val="0"/>
                <w:color w:val="auto"/>
                <w:sz w:val="24"/>
                <w:lang w:val="en-US" w:eastAsia="zh-CN"/>
              </w:rPr>
              <w:t>0</w:t>
            </w:r>
            <w:r>
              <w:rPr>
                <w:rFonts w:hint="default" w:ascii="Times New Roman" w:hAnsi="Times New Roman" w:eastAsia="宋体" w:cs="Times New Roman"/>
                <w:b w:val="0"/>
                <w:bCs w:val="0"/>
                <w:color w:val="auto"/>
                <w:sz w:val="24"/>
              </w:rPr>
              <w:t>个月，施工期生活污水总排量为</w:t>
            </w:r>
            <w:r>
              <w:rPr>
                <w:rFonts w:hint="default" w:ascii="Times New Roman" w:hAnsi="Times New Roman" w:cs="Times New Roman"/>
                <w:b w:val="0"/>
                <w:bCs w:val="0"/>
                <w:color w:val="auto"/>
                <w:sz w:val="24"/>
                <w:lang w:val="en-US" w:eastAsia="zh-CN"/>
              </w:rPr>
              <w:t>324000</w:t>
            </w:r>
            <w:r>
              <w:rPr>
                <w:rFonts w:hint="default" w:ascii="Times New Roman" w:hAnsi="Times New Roman" w:eastAsia="宋体" w:cs="Times New Roman"/>
                <w:b w:val="0"/>
                <w:bCs w:val="0"/>
                <w:color w:val="auto"/>
                <w:sz w:val="24"/>
              </w:rPr>
              <w:t>m</w:t>
            </w:r>
            <w:r>
              <w:rPr>
                <w:rFonts w:hint="default" w:ascii="Times New Roman" w:hAnsi="Times New Roman" w:eastAsia="宋体" w:cs="Times New Roman"/>
                <w:b w:val="0"/>
                <w:bCs w:val="0"/>
                <w:color w:val="auto"/>
                <w:sz w:val="24"/>
                <w:vertAlign w:val="superscript"/>
              </w:rPr>
              <w:t>3</w:t>
            </w:r>
            <w:r>
              <w:rPr>
                <w:rFonts w:hint="default" w:ascii="Times New Roman" w:hAnsi="Times New Roman" w:eastAsia="宋体" w:cs="Times New Roman"/>
                <w:b w:val="0"/>
                <w:bCs w:val="0"/>
                <w:color w:val="auto"/>
                <w:sz w:val="24"/>
              </w:rPr>
              <w:t>。生活污水中主要污染物是COD、BOD</w:t>
            </w:r>
            <w:r>
              <w:rPr>
                <w:rFonts w:hint="default" w:ascii="Times New Roman" w:hAnsi="Times New Roman" w:eastAsia="宋体" w:cs="Times New Roman"/>
                <w:b w:val="0"/>
                <w:bCs w:val="0"/>
                <w:color w:val="auto"/>
                <w:sz w:val="24"/>
                <w:vertAlign w:val="subscript"/>
              </w:rPr>
              <w:t>5</w:t>
            </w:r>
            <w:r>
              <w:rPr>
                <w:rFonts w:hint="default" w:ascii="Times New Roman" w:hAnsi="Times New Roman" w:eastAsia="宋体" w:cs="Times New Roman"/>
                <w:b w:val="0"/>
                <w:bCs w:val="0"/>
                <w:color w:val="auto"/>
                <w:sz w:val="24"/>
              </w:rPr>
              <w:t>、SS，其浓度较低，项目施工生活区设置临时环保厕所，定期拉运至</w:t>
            </w:r>
            <w:r>
              <w:rPr>
                <w:rFonts w:hint="default" w:ascii="Times New Roman" w:hAnsi="Times New Roman" w:cs="Times New Roman"/>
                <w:b w:val="0"/>
                <w:bCs w:val="0"/>
                <w:color w:val="auto"/>
                <w:sz w:val="24"/>
                <w:lang w:eastAsia="zh-CN"/>
              </w:rPr>
              <w:t>木垒哈萨克自治县</w:t>
            </w:r>
            <w:r>
              <w:rPr>
                <w:rFonts w:hint="default" w:ascii="Times New Roman" w:hAnsi="Times New Roman" w:eastAsia="宋体" w:cs="Times New Roman"/>
                <w:b w:val="0"/>
                <w:bCs w:val="0"/>
                <w:color w:val="auto"/>
                <w:sz w:val="24"/>
                <w:lang w:eastAsia="zh-CN"/>
              </w:rPr>
              <w:t>污水处理厂</w:t>
            </w:r>
            <w:r>
              <w:rPr>
                <w:rFonts w:hint="default" w:ascii="Times New Roman" w:hAnsi="Times New Roman" w:eastAsia="宋体" w:cs="Times New Roman"/>
                <w:b w:val="0"/>
                <w:bCs w:val="0"/>
                <w:color w:val="auto"/>
                <w:sz w:val="24"/>
              </w:rPr>
              <w:t>处理。因此，项目施工期对水环境影响小。</w:t>
            </w:r>
          </w:p>
          <w:p w14:paraId="714E5E68">
            <w:pPr>
              <w:pStyle w:val="30"/>
              <w:pageBreakBefore w:val="0"/>
              <w:kinsoku/>
              <w:wordWrap/>
              <w:overflowPunct/>
              <w:bidi w:val="0"/>
              <w:spacing w:line="360" w:lineRule="auto"/>
              <w:ind w:left="0" w:leftChars="0" w:right="0" w:rightChars="0"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4、</w:t>
            </w:r>
            <w:r>
              <w:rPr>
                <w:rFonts w:hint="default" w:ascii="Times New Roman" w:hAnsi="Times New Roman" w:eastAsia="宋体" w:cs="Times New Roman"/>
                <w:color w:val="auto"/>
                <w:sz w:val="24"/>
              </w:rPr>
              <w:t>噪声影响分析</w:t>
            </w:r>
          </w:p>
          <w:p w14:paraId="4118C904">
            <w:pPr>
              <w:pageBreakBefore w:val="0"/>
              <w:kinsoku/>
              <w:wordWrap/>
              <w:overflowPunct/>
              <w:bidi w:val="0"/>
              <w:spacing w:line="360" w:lineRule="auto"/>
              <w:ind w:left="0" w:leftChars="0" w:right="0" w:rightChars="0" w:firstLine="537" w:firstLineChars="224"/>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工程施工期的土石方作业、汽车运输、自备柴油发电机工作产生的噪声，施工期机械设备有：推土机、挖掘机、</w:t>
            </w:r>
            <w:r>
              <w:rPr>
                <w:rFonts w:hint="default" w:ascii="Times New Roman" w:hAnsi="Times New Roman" w:eastAsia="宋体" w:cs="Times New Roman"/>
                <w:color w:val="auto"/>
                <w:sz w:val="24"/>
                <w:lang w:eastAsia="zh-CN"/>
              </w:rPr>
              <w:t>振动碾</w:t>
            </w:r>
            <w:r>
              <w:rPr>
                <w:rFonts w:hint="default" w:ascii="Times New Roman" w:hAnsi="Times New Roman" w:eastAsia="宋体" w:cs="Times New Roman"/>
                <w:color w:val="auto"/>
                <w:sz w:val="24"/>
              </w:rPr>
              <w:t>、自卸汽车等，均系强噪声源，主要施工机械产噪情况见表4-</w:t>
            </w:r>
            <w:r>
              <w:rPr>
                <w:rFonts w:hint="default"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rPr>
              <w:t>。</w:t>
            </w:r>
          </w:p>
          <w:p w14:paraId="4F8012B2">
            <w:pPr>
              <w:pStyle w:val="38"/>
              <w:spacing w:line="440" w:lineRule="exact"/>
              <w:ind w:firstLine="0" w:firstLineChars="0"/>
              <w:jc w:val="center"/>
              <w:textAlignment w:val="baseline"/>
              <w:rPr>
                <w:rFonts w:hint="default" w:ascii="Times New Roman" w:hAnsi="Times New Roman" w:eastAsia="宋体" w:cs="Times New Roman"/>
                <w:b/>
                <w:bCs w:val="0"/>
                <w:snapToGrid w:val="0"/>
                <w:color w:val="auto"/>
                <w:sz w:val="21"/>
                <w:szCs w:val="22"/>
                <w:lang w:eastAsia="zh-CN"/>
              </w:rPr>
            </w:pPr>
            <w:r>
              <w:rPr>
                <w:rFonts w:hint="default" w:ascii="Times New Roman" w:hAnsi="Times New Roman" w:eastAsia="宋体" w:cs="Times New Roman"/>
                <w:b/>
                <w:bCs w:val="0"/>
                <w:snapToGrid w:val="0"/>
                <w:color w:val="auto"/>
                <w:sz w:val="21"/>
                <w:szCs w:val="22"/>
                <w:lang w:eastAsia="zh-CN"/>
              </w:rPr>
              <w:t>表4-</w:t>
            </w:r>
            <w:r>
              <w:rPr>
                <w:rFonts w:hint="default" w:ascii="Times New Roman" w:hAnsi="Times New Roman" w:eastAsia="宋体" w:cs="Times New Roman"/>
                <w:b/>
                <w:bCs w:val="0"/>
                <w:snapToGrid w:val="0"/>
                <w:color w:val="auto"/>
                <w:sz w:val="21"/>
                <w:szCs w:val="22"/>
                <w:lang w:val="en-US" w:eastAsia="zh-CN"/>
              </w:rPr>
              <w:t>3</w:t>
            </w:r>
            <w:r>
              <w:rPr>
                <w:rFonts w:hint="default" w:ascii="Times New Roman" w:hAnsi="Times New Roman" w:eastAsia="宋体" w:cs="Times New Roman"/>
                <w:b/>
                <w:bCs w:val="0"/>
                <w:snapToGrid w:val="0"/>
                <w:color w:val="auto"/>
                <w:sz w:val="21"/>
                <w:szCs w:val="22"/>
                <w:lang w:eastAsia="zh-CN"/>
              </w:rPr>
              <w:t>主要施工机械产噪情况</w:t>
            </w:r>
          </w:p>
          <w:tbl>
            <w:tblPr>
              <w:tblStyle w:val="22"/>
              <w:tblW w:w="8259" w:type="dxa"/>
              <w:jc w:val="center"/>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autofit"/>
              <w:tblCellMar>
                <w:top w:w="0" w:type="dxa"/>
                <w:left w:w="108" w:type="dxa"/>
                <w:bottom w:w="0" w:type="dxa"/>
                <w:right w:w="108" w:type="dxa"/>
              </w:tblCellMar>
            </w:tblPr>
            <w:tblGrid>
              <w:gridCol w:w="2754"/>
              <w:gridCol w:w="2753"/>
              <w:gridCol w:w="2752"/>
            </w:tblGrid>
            <w:tr w14:paraId="08CAAF21">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341" w:hRule="exact"/>
                <w:jc w:val="center"/>
              </w:trPr>
              <w:tc>
                <w:tcPr>
                  <w:tcW w:w="2754" w:type="dxa"/>
                  <w:noWrap w:val="0"/>
                  <w:vAlign w:val="center"/>
                </w:tcPr>
                <w:p w14:paraId="0EE97446">
                  <w:pPr>
                    <w:pageBreakBefore w:val="0"/>
                    <w:kinsoku/>
                    <w:wordWrap/>
                    <w:overflowPunct/>
                    <w:bidi w:val="0"/>
                    <w:ind w:left="0" w:leftChars="0" w:right="0" w:right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设备名称</w:t>
                  </w:r>
                </w:p>
              </w:tc>
              <w:tc>
                <w:tcPr>
                  <w:tcW w:w="2753" w:type="dxa"/>
                  <w:noWrap w:val="0"/>
                  <w:vAlign w:val="center"/>
                </w:tcPr>
                <w:p w14:paraId="3DA2935B">
                  <w:pPr>
                    <w:pageBreakBefore w:val="0"/>
                    <w:kinsoku/>
                    <w:wordWrap/>
                    <w:overflowPunct/>
                    <w:bidi w:val="0"/>
                    <w:ind w:left="0" w:leftChars="0" w:right="0" w:right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噪声测距（m）</w:t>
                  </w:r>
                </w:p>
              </w:tc>
              <w:tc>
                <w:tcPr>
                  <w:tcW w:w="2752" w:type="dxa"/>
                  <w:noWrap w:val="0"/>
                  <w:vAlign w:val="center"/>
                </w:tcPr>
                <w:p w14:paraId="6096FF3B">
                  <w:pPr>
                    <w:pageBreakBefore w:val="0"/>
                    <w:kinsoku/>
                    <w:wordWrap/>
                    <w:overflowPunct/>
                    <w:bidi w:val="0"/>
                    <w:ind w:left="0" w:leftChars="0" w:right="0" w:right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源强（dB）</w:t>
                  </w:r>
                </w:p>
              </w:tc>
            </w:tr>
            <w:tr w14:paraId="02B8EEFC">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341" w:hRule="exact"/>
                <w:jc w:val="center"/>
              </w:trPr>
              <w:tc>
                <w:tcPr>
                  <w:tcW w:w="2754" w:type="dxa"/>
                  <w:noWrap w:val="0"/>
                  <w:vAlign w:val="center"/>
                </w:tcPr>
                <w:p w14:paraId="2C7E6612">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挖掘机</w:t>
                  </w:r>
                </w:p>
              </w:tc>
              <w:tc>
                <w:tcPr>
                  <w:tcW w:w="2753" w:type="dxa"/>
                  <w:noWrap w:val="0"/>
                  <w:vAlign w:val="center"/>
                </w:tcPr>
                <w:p w14:paraId="1D9A6D0C">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2752" w:type="dxa"/>
                  <w:noWrap w:val="0"/>
                  <w:vAlign w:val="center"/>
                </w:tcPr>
                <w:p w14:paraId="1BCED0EC">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81</w:t>
                  </w:r>
                </w:p>
              </w:tc>
            </w:tr>
            <w:tr w14:paraId="455A844A">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341" w:hRule="exact"/>
                <w:jc w:val="center"/>
              </w:trPr>
              <w:tc>
                <w:tcPr>
                  <w:tcW w:w="2754" w:type="dxa"/>
                  <w:noWrap w:val="0"/>
                  <w:vAlign w:val="center"/>
                </w:tcPr>
                <w:p w14:paraId="1B951AD1">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推土机</w:t>
                  </w:r>
                </w:p>
              </w:tc>
              <w:tc>
                <w:tcPr>
                  <w:tcW w:w="2753" w:type="dxa"/>
                  <w:noWrap w:val="0"/>
                  <w:vAlign w:val="center"/>
                </w:tcPr>
                <w:p w14:paraId="7E2B8904">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2752" w:type="dxa"/>
                  <w:noWrap w:val="0"/>
                  <w:vAlign w:val="center"/>
                </w:tcPr>
                <w:p w14:paraId="5826F645">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86</w:t>
                  </w:r>
                </w:p>
              </w:tc>
            </w:tr>
            <w:tr w14:paraId="47184172">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341" w:hRule="exact"/>
                <w:jc w:val="center"/>
              </w:trPr>
              <w:tc>
                <w:tcPr>
                  <w:tcW w:w="2754" w:type="dxa"/>
                  <w:noWrap w:val="0"/>
                  <w:vAlign w:val="center"/>
                </w:tcPr>
                <w:p w14:paraId="4556E788">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eastAsia="zh-CN"/>
                    </w:rPr>
                    <w:t>振动碾</w:t>
                  </w:r>
                </w:p>
              </w:tc>
              <w:tc>
                <w:tcPr>
                  <w:tcW w:w="2753" w:type="dxa"/>
                  <w:noWrap w:val="0"/>
                  <w:vAlign w:val="center"/>
                </w:tcPr>
                <w:p w14:paraId="372A7944">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2752" w:type="dxa"/>
                  <w:noWrap w:val="0"/>
                  <w:vAlign w:val="center"/>
                </w:tcPr>
                <w:p w14:paraId="091C820B">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90</w:t>
                  </w:r>
                </w:p>
              </w:tc>
            </w:tr>
            <w:tr w14:paraId="2964CCFA">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341" w:hRule="exact"/>
                <w:jc w:val="center"/>
              </w:trPr>
              <w:tc>
                <w:tcPr>
                  <w:tcW w:w="2754" w:type="dxa"/>
                  <w:noWrap w:val="0"/>
                  <w:vAlign w:val="center"/>
                </w:tcPr>
                <w:p w14:paraId="199E6B05">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自卸汽车</w:t>
                  </w:r>
                </w:p>
              </w:tc>
              <w:tc>
                <w:tcPr>
                  <w:tcW w:w="2753" w:type="dxa"/>
                  <w:noWrap w:val="0"/>
                  <w:vAlign w:val="center"/>
                </w:tcPr>
                <w:p w14:paraId="024EB624">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2752" w:type="dxa"/>
                  <w:noWrap w:val="0"/>
                  <w:vAlign w:val="center"/>
                </w:tcPr>
                <w:p w14:paraId="0C801837">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81</w:t>
                  </w:r>
                </w:p>
              </w:tc>
            </w:tr>
            <w:tr w14:paraId="52624A7C">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341" w:hRule="exact"/>
                <w:jc w:val="center"/>
              </w:trPr>
              <w:tc>
                <w:tcPr>
                  <w:tcW w:w="2754" w:type="dxa"/>
                  <w:noWrap w:val="0"/>
                  <w:vAlign w:val="center"/>
                </w:tcPr>
                <w:p w14:paraId="2BE9D687">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搅拌机</w:t>
                  </w:r>
                </w:p>
              </w:tc>
              <w:tc>
                <w:tcPr>
                  <w:tcW w:w="2753" w:type="dxa"/>
                  <w:noWrap w:val="0"/>
                  <w:vAlign w:val="center"/>
                </w:tcPr>
                <w:p w14:paraId="09A79DEE">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2752" w:type="dxa"/>
                  <w:noWrap w:val="0"/>
                  <w:vAlign w:val="center"/>
                </w:tcPr>
                <w:p w14:paraId="768A1B8E">
                  <w:pPr>
                    <w:pStyle w:val="45"/>
                    <w:pageBreakBefore w:val="0"/>
                    <w:kinsoku/>
                    <w:wordWrap/>
                    <w:overflowPunct/>
                    <w:bidi w:val="0"/>
                    <w:spacing w:after="0" w:line="240" w:lineRule="auto"/>
                    <w:ind w:left="0" w:leftChars="0" w:right="0" w:rightChars="0" w:firstLine="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85</w:t>
                  </w:r>
                </w:p>
              </w:tc>
            </w:tr>
            <w:tr w14:paraId="1AE762C3">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341" w:hRule="exact"/>
                <w:jc w:val="center"/>
              </w:trPr>
              <w:tc>
                <w:tcPr>
                  <w:tcW w:w="2754" w:type="dxa"/>
                  <w:noWrap w:val="0"/>
                  <w:vAlign w:val="center"/>
                </w:tcPr>
                <w:p w14:paraId="751B5971">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插入振捣器</w:t>
                  </w:r>
                </w:p>
              </w:tc>
              <w:tc>
                <w:tcPr>
                  <w:tcW w:w="2753" w:type="dxa"/>
                  <w:noWrap w:val="0"/>
                  <w:vAlign w:val="center"/>
                </w:tcPr>
                <w:p w14:paraId="41FB649A">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2752" w:type="dxa"/>
                  <w:noWrap w:val="0"/>
                  <w:vAlign w:val="center"/>
                </w:tcPr>
                <w:p w14:paraId="158149F6">
                  <w:pPr>
                    <w:pStyle w:val="45"/>
                    <w:pageBreakBefore w:val="0"/>
                    <w:kinsoku/>
                    <w:wordWrap/>
                    <w:overflowPunct/>
                    <w:bidi w:val="0"/>
                    <w:spacing w:after="0" w:line="240" w:lineRule="auto"/>
                    <w:ind w:left="0" w:leftChars="0" w:right="0" w:rightChars="0" w:firstLine="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86</w:t>
                  </w:r>
                </w:p>
              </w:tc>
            </w:tr>
            <w:tr w14:paraId="43AF4717">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341" w:hRule="exact"/>
                <w:jc w:val="center"/>
              </w:trPr>
              <w:tc>
                <w:tcPr>
                  <w:tcW w:w="2754" w:type="dxa"/>
                  <w:noWrap w:val="0"/>
                  <w:vAlign w:val="center"/>
                </w:tcPr>
                <w:p w14:paraId="631497D3">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平板振捣器</w:t>
                  </w:r>
                </w:p>
              </w:tc>
              <w:tc>
                <w:tcPr>
                  <w:tcW w:w="2753" w:type="dxa"/>
                  <w:noWrap w:val="0"/>
                  <w:vAlign w:val="center"/>
                </w:tcPr>
                <w:p w14:paraId="642B9A88">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2752" w:type="dxa"/>
                  <w:noWrap w:val="0"/>
                  <w:vAlign w:val="center"/>
                </w:tcPr>
                <w:p w14:paraId="075A9AE7">
                  <w:pPr>
                    <w:pStyle w:val="45"/>
                    <w:pageBreakBefore w:val="0"/>
                    <w:kinsoku/>
                    <w:wordWrap/>
                    <w:overflowPunct/>
                    <w:bidi w:val="0"/>
                    <w:spacing w:after="0" w:line="240" w:lineRule="auto"/>
                    <w:ind w:left="0" w:leftChars="0" w:right="0" w:rightChars="0" w:firstLine="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86</w:t>
                  </w:r>
                </w:p>
              </w:tc>
            </w:tr>
          </w:tbl>
          <w:p w14:paraId="2D48AFFE">
            <w:pPr>
              <w:pageBreakBefore w:val="0"/>
              <w:kinsoku/>
              <w:wordWrap/>
              <w:overflowPunct/>
              <w:bidi w:val="0"/>
              <w:spacing w:line="360" w:lineRule="auto"/>
              <w:ind w:left="0" w:leftChars="0" w:right="0" w:rightChars="0"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rPr>
              <w:t>由上表可知，施工场地噪声源主要为各类高噪声施工机械，这些机械的噪声源强在81~90dB（A）之间。</w:t>
            </w:r>
            <w:r>
              <w:rPr>
                <w:rFonts w:hint="default" w:ascii="Times New Roman" w:hAnsi="Times New Roman" w:eastAsia="宋体" w:cs="Times New Roman"/>
                <w:color w:val="auto"/>
                <w:sz w:val="24"/>
                <w:szCs w:val="24"/>
              </w:rPr>
              <w:t>施工期声环境影响预测计算公式如下：</w:t>
            </w:r>
          </w:p>
          <w:bookmarkEnd w:id="7"/>
          <w:p w14:paraId="0F8B4203">
            <w:pPr>
              <w:pageBreakBefore w:val="0"/>
              <w:kinsoku/>
              <w:wordWrap/>
              <w:overflowPunct/>
              <w:bidi w:val="0"/>
              <w:spacing w:line="360" w:lineRule="auto"/>
              <w:ind w:left="0" w:leftChars="0" w:right="0" w:rightChars="0" w:firstLine="480"/>
              <w:jc w:val="center"/>
              <w:rPr>
                <w:rFonts w:hint="default" w:ascii="Times New Roman" w:hAnsi="Times New Roman" w:eastAsia="宋体" w:cs="Times New Roman"/>
                <w:snapToGrid w:val="0"/>
                <w:color w:val="auto"/>
                <w:kern w:val="0"/>
                <w:sz w:val="24"/>
              </w:rPr>
            </w:pPr>
            <w:r>
              <w:rPr>
                <w:rFonts w:hint="default" w:ascii="Times New Roman" w:hAnsi="Times New Roman" w:eastAsia="宋体" w:cs="Times New Roman"/>
                <w:color w:val="auto"/>
                <w:sz w:val="24"/>
              </w:rPr>
              <w:drawing>
                <wp:inline distT="0" distB="0" distL="114300" distR="114300">
                  <wp:extent cx="1790700" cy="428625"/>
                  <wp:effectExtent l="0" t="0" r="0" b="7620"/>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pic:cNvPicPr>
                        </pic:nvPicPr>
                        <pic:blipFill>
                          <a:blip r:embed="rId15"/>
                          <a:stretch>
                            <a:fillRect/>
                          </a:stretch>
                        </pic:blipFill>
                        <pic:spPr>
                          <a:xfrm>
                            <a:off x="0" y="0"/>
                            <a:ext cx="1790700" cy="428625"/>
                          </a:xfrm>
                          <a:prstGeom prst="rect">
                            <a:avLst/>
                          </a:prstGeom>
                          <a:noFill/>
                          <a:ln>
                            <a:noFill/>
                          </a:ln>
                        </pic:spPr>
                      </pic:pic>
                    </a:graphicData>
                  </a:graphic>
                </wp:inline>
              </w:drawing>
            </w:r>
          </w:p>
          <w:p w14:paraId="7AC549AE">
            <w:pPr>
              <w:pageBreakBefore w:val="0"/>
              <w:kinsoku/>
              <w:wordWrap/>
              <w:overflowPunct/>
              <w:bidi w:val="0"/>
              <w:spacing w:line="360" w:lineRule="auto"/>
              <w:ind w:left="0" w:leftChars="0" w:right="0" w:rightChars="0" w:firstLine="48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w:t>
            </w:r>
            <w:r>
              <w:rPr>
                <w:rFonts w:hint="default" w:ascii="Times New Roman" w:hAnsi="Times New Roman" w:eastAsia="宋体" w:cs="Times New Roman"/>
                <w:i/>
                <w:color w:val="auto"/>
                <w:sz w:val="24"/>
              </w:rPr>
              <w:t>L</w:t>
            </w:r>
            <w:r>
              <w:rPr>
                <w:rFonts w:hint="default" w:ascii="Times New Roman" w:hAnsi="Times New Roman" w:eastAsia="宋体" w:cs="Times New Roman"/>
                <w:i/>
                <w:color w:val="auto"/>
                <w:sz w:val="24"/>
                <w:vertAlign w:val="subscript"/>
              </w:rPr>
              <w:t>p</w:t>
            </w:r>
            <w:r>
              <w:rPr>
                <w:rFonts w:hint="default" w:ascii="Times New Roman" w:hAnsi="Times New Roman" w:eastAsia="宋体" w:cs="Times New Roman"/>
                <w:color w:val="auto"/>
                <w:sz w:val="24"/>
              </w:rPr>
              <w:t>（</w:t>
            </w:r>
            <w:r>
              <w:rPr>
                <w:rFonts w:hint="default" w:ascii="Times New Roman" w:hAnsi="Times New Roman" w:eastAsia="宋体" w:cs="Times New Roman"/>
                <w:i/>
                <w:color w:val="auto"/>
                <w:sz w:val="24"/>
              </w:rPr>
              <w:t>r</w:t>
            </w:r>
            <w:r>
              <w:rPr>
                <w:rFonts w:hint="default" w:ascii="Times New Roman" w:hAnsi="Times New Roman" w:eastAsia="宋体" w:cs="Times New Roman"/>
                <w:color w:val="auto"/>
                <w:sz w:val="24"/>
              </w:rPr>
              <w:t>）—声源在预测点的声压级，dB（A）；</w:t>
            </w:r>
          </w:p>
          <w:p w14:paraId="52AB42D4">
            <w:pPr>
              <w:pageBreakBefore w:val="0"/>
              <w:kinsoku/>
              <w:wordWrap/>
              <w:overflowPunct/>
              <w:bidi w:val="0"/>
              <w:spacing w:line="360" w:lineRule="auto"/>
              <w:ind w:left="0" w:leftChars="0" w:right="0" w:rightChars="0" w:firstLine="480"/>
              <w:rPr>
                <w:rFonts w:hint="default" w:ascii="Times New Roman" w:hAnsi="Times New Roman" w:eastAsia="宋体" w:cs="Times New Roman"/>
                <w:color w:val="auto"/>
                <w:sz w:val="24"/>
              </w:rPr>
            </w:pPr>
            <w:r>
              <w:rPr>
                <w:rFonts w:hint="default" w:ascii="Times New Roman" w:hAnsi="Times New Roman" w:eastAsia="宋体" w:cs="Times New Roman"/>
                <w:i/>
                <w:color w:val="auto"/>
                <w:sz w:val="24"/>
              </w:rPr>
              <w:t>L</w:t>
            </w:r>
            <w:r>
              <w:rPr>
                <w:rFonts w:hint="default" w:ascii="Times New Roman" w:hAnsi="Times New Roman" w:eastAsia="宋体" w:cs="Times New Roman"/>
                <w:i/>
                <w:color w:val="auto"/>
                <w:sz w:val="24"/>
                <w:vertAlign w:val="subscript"/>
              </w:rPr>
              <w:t>p</w:t>
            </w:r>
            <w:r>
              <w:rPr>
                <w:rFonts w:hint="default" w:ascii="Times New Roman" w:hAnsi="Times New Roman" w:eastAsia="宋体" w:cs="Times New Roman"/>
                <w:color w:val="auto"/>
                <w:sz w:val="24"/>
              </w:rPr>
              <w:t>（</w:t>
            </w:r>
            <w:r>
              <w:rPr>
                <w:rFonts w:hint="default" w:ascii="Times New Roman" w:hAnsi="Times New Roman" w:eastAsia="宋体" w:cs="Times New Roman"/>
                <w:i/>
                <w:color w:val="auto"/>
                <w:sz w:val="24"/>
              </w:rPr>
              <w:t>r</w:t>
            </w:r>
            <w:r>
              <w:rPr>
                <w:rFonts w:hint="default" w:ascii="Times New Roman" w:hAnsi="Times New Roman" w:eastAsia="宋体" w:cs="Times New Roman"/>
                <w:color w:val="auto"/>
                <w:sz w:val="24"/>
                <w:vertAlign w:val="subscript"/>
              </w:rPr>
              <w:t>0</w:t>
            </w:r>
            <w:r>
              <w:rPr>
                <w:rFonts w:hint="default" w:ascii="Times New Roman" w:hAnsi="Times New Roman" w:eastAsia="宋体" w:cs="Times New Roman"/>
                <w:color w:val="auto"/>
                <w:sz w:val="24"/>
              </w:rPr>
              <w:t>）—参考位置的声压级，dB（A）；</w:t>
            </w:r>
          </w:p>
          <w:p w14:paraId="57228AAF">
            <w:pPr>
              <w:pageBreakBefore w:val="0"/>
              <w:kinsoku/>
              <w:wordWrap/>
              <w:overflowPunct/>
              <w:bidi w:val="0"/>
              <w:spacing w:line="360" w:lineRule="auto"/>
              <w:ind w:left="0" w:leftChars="0" w:right="0" w:rightChars="0" w:firstLine="436" w:firstLineChars="182"/>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sym w:font="Symbol" w:char="F044"/>
            </w:r>
            <w:r>
              <w:rPr>
                <w:rFonts w:hint="default" w:ascii="Times New Roman" w:hAnsi="Times New Roman" w:eastAsia="宋体" w:cs="Times New Roman"/>
                <w:color w:val="auto"/>
                <w:sz w:val="24"/>
              </w:rPr>
              <w:t>L—为各种因素引起的声衰减量，dB（A）；</w:t>
            </w:r>
          </w:p>
          <w:p w14:paraId="75FC541A">
            <w:pPr>
              <w:pageBreakBefore w:val="0"/>
              <w:kinsoku/>
              <w:wordWrap/>
              <w:overflowPunct/>
              <w:bidi w:val="0"/>
              <w:spacing w:line="360" w:lineRule="auto"/>
              <w:ind w:left="0" w:leftChars="0" w:right="0" w:rightChars="0" w:firstLine="439" w:firstLineChars="183"/>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r—声源“声源中心”距预测点间的距离，m。</w:t>
            </w:r>
          </w:p>
          <w:p w14:paraId="35A1DAC7">
            <w:pPr>
              <w:pageBreakBefore w:val="0"/>
              <w:kinsoku/>
              <w:wordWrap/>
              <w:overflowPunct/>
              <w:bidi w:val="0"/>
              <w:spacing w:line="360" w:lineRule="auto"/>
              <w:ind w:left="0" w:leftChars="0" w:right="0" w:rightChars="0" w:firstLine="48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不同距离衰减后的噪声预测结果详见表4-</w:t>
            </w:r>
            <w:r>
              <w:rPr>
                <w:rFonts w:hint="default"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rPr>
              <w:t>。</w:t>
            </w:r>
          </w:p>
          <w:p w14:paraId="181D47BF">
            <w:pPr>
              <w:pStyle w:val="38"/>
              <w:spacing w:line="440" w:lineRule="exact"/>
              <w:ind w:firstLine="0" w:firstLineChars="0"/>
              <w:jc w:val="center"/>
              <w:textAlignment w:val="baseline"/>
              <w:rPr>
                <w:rFonts w:hint="default" w:ascii="Times New Roman" w:hAnsi="Times New Roman" w:eastAsia="宋体" w:cs="Times New Roman"/>
                <w:b/>
                <w:bCs w:val="0"/>
                <w:snapToGrid w:val="0"/>
                <w:color w:val="auto"/>
                <w:sz w:val="21"/>
                <w:szCs w:val="22"/>
                <w:lang w:eastAsia="zh-CN"/>
              </w:rPr>
            </w:pPr>
            <w:r>
              <w:rPr>
                <w:rFonts w:hint="default" w:ascii="Times New Roman" w:hAnsi="Times New Roman" w:eastAsia="宋体" w:cs="Times New Roman"/>
                <w:b/>
                <w:bCs w:val="0"/>
                <w:snapToGrid w:val="0"/>
                <w:color w:val="auto"/>
                <w:sz w:val="21"/>
                <w:szCs w:val="22"/>
                <w:lang w:eastAsia="zh-CN"/>
              </w:rPr>
              <w:t>表4-</w:t>
            </w:r>
            <w:r>
              <w:rPr>
                <w:rFonts w:hint="default" w:ascii="Times New Roman" w:hAnsi="Times New Roman" w:eastAsia="宋体" w:cs="Times New Roman"/>
                <w:b/>
                <w:bCs w:val="0"/>
                <w:snapToGrid w:val="0"/>
                <w:color w:val="auto"/>
                <w:sz w:val="21"/>
                <w:szCs w:val="22"/>
                <w:lang w:val="en-US" w:eastAsia="zh-CN"/>
              </w:rPr>
              <w:t>4</w:t>
            </w:r>
            <w:r>
              <w:rPr>
                <w:rFonts w:hint="default" w:ascii="Times New Roman" w:hAnsi="Times New Roman" w:eastAsia="宋体" w:cs="Times New Roman"/>
                <w:b/>
                <w:bCs w:val="0"/>
                <w:snapToGrid w:val="0"/>
                <w:color w:val="auto"/>
                <w:sz w:val="21"/>
                <w:szCs w:val="22"/>
                <w:lang w:eastAsia="zh-CN"/>
              </w:rPr>
              <w:t>施工机械噪声影响范围</w:t>
            </w:r>
          </w:p>
          <w:tbl>
            <w:tblPr>
              <w:tblStyle w:val="22"/>
              <w:tblW w:w="835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491"/>
              <w:gridCol w:w="763"/>
              <w:gridCol w:w="763"/>
              <w:gridCol w:w="762"/>
              <w:gridCol w:w="762"/>
              <w:gridCol w:w="762"/>
              <w:gridCol w:w="762"/>
              <w:gridCol w:w="762"/>
              <w:gridCol w:w="762"/>
              <w:gridCol w:w="770"/>
            </w:tblGrid>
            <w:tr w14:paraId="3AFF66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52" w:hRule="atLeast"/>
                <w:tblHeader/>
                <w:jc w:val="center"/>
              </w:trPr>
              <w:tc>
                <w:tcPr>
                  <w:tcW w:w="1491" w:type="dxa"/>
                  <w:vMerge w:val="restart"/>
                  <w:tcBorders>
                    <w:tl2br w:val="nil"/>
                    <w:tr2bl w:val="nil"/>
                  </w:tcBorders>
                  <w:noWrap w:val="0"/>
                  <w:vAlign w:val="center"/>
                </w:tcPr>
                <w:p w14:paraId="195C0F0F">
                  <w:pPr>
                    <w:pageBreakBefore w:val="0"/>
                    <w:kinsoku/>
                    <w:wordWrap/>
                    <w:overflowPunct/>
                    <w:bidi w:val="0"/>
                    <w:ind w:left="0" w:leftChars="0" w:right="0" w:right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设备名称</w:t>
                  </w:r>
                </w:p>
              </w:tc>
              <w:tc>
                <w:tcPr>
                  <w:tcW w:w="6868" w:type="dxa"/>
                  <w:gridSpan w:val="9"/>
                  <w:tcBorders>
                    <w:tl2br w:val="nil"/>
                    <w:tr2bl w:val="nil"/>
                  </w:tcBorders>
                  <w:noWrap w:val="0"/>
                  <w:vAlign w:val="center"/>
                </w:tcPr>
                <w:p w14:paraId="74D69E5B">
                  <w:pPr>
                    <w:pageBreakBefore w:val="0"/>
                    <w:kinsoku/>
                    <w:wordWrap/>
                    <w:overflowPunct/>
                    <w:bidi w:val="0"/>
                    <w:ind w:left="0" w:leftChars="0" w:right="0" w:right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不同距离处的噪声值</w:t>
                  </w:r>
                </w:p>
              </w:tc>
            </w:tr>
            <w:tr w14:paraId="7AF2D8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8" w:hRule="atLeast"/>
                <w:tblHeader/>
                <w:jc w:val="center"/>
              </w:trPr>
              <w:tc>
                <w:tcPr>
                  <w:tcW w:w="1491" w:type="dxa"/>
                  <w:vMerge w:val="continue"/>
                  <w:tcBorders>
                    <w:tl2br w:val="nil"/>
                    <w:tr2bl w:val="nil"/>
                  </w:tcBorders>
                  <w:noWrap w:val="0"/>
                  <w:vAlign w:val="center"/>
                </w:tcPr>
                <w:p w14:paraId="76E35290">
                  <w:pPr>
                    <w:pageBreakBefore w:val="0"/>
                    <w:kinsoku/>
                    <w:wordWrap/>
                    <w:overflowPunct/>
                    <w:bidi w:val="0"/>
                    <w:ind w:left="0" w:leftChars="0" w:right="0" w:rightChars="0"/>
                    <w:jc w:val="center"/>
                    <w:rPr>
                      <w:rFonts w:hint="default" w:ascii="Times New Roman" w:hAnsi="Times New Roman" w:eastAsia="宋体" w:cs="Times New Roman"/>
                      <w:b/>
                      <w:bCs/>
                      <w:color w:val="auto"/>
                      <w:szCs w:val="21"/>
                    </w:rPr>
                  </w:pPr>
                </w:p>
              </w:tc>
              <w:tc>
                <w:tcPr>
                  <w:tcW w:w="763" w:type="dxa"/>
                  <w:tcBorders>
                    <w:tl2br w:val="nil"/>
                    <w:tr2bl w:val="nil"/>
                  </w:tcBorders>
                  <w:noWrap w:val="0"/>
                  <w:vAlign w:val="center"/>
                </w:tcPr>
                <w:p w14:paraId="7A647CF1">
                  <w:pPr>
                    <w:pageBreakBefore w:val="0"/>
                    <w:kinsoku/>
                    <w:wordWrap/>
                    <w:overflowPunct/>
                    <w:bidi w:val="0"/>
                    <w:ind w:left="0" w:leftChars="0" w:right="0" w:right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5m</w:t>
                  </w:r>
                </w:p>
              </w:tc>
              <w:tc>
                <w:tcPr>
                  <w:tcW w:w="763" w:type="dxa"/>
                  <w:tcBorders>
                    <w:tl2br w:val="nil"/>
                    <w:tr2bl w:val="nil"/>
                  </w:tcBorders>
                  <w:noWrap w:val="0"/>
                  <w:vAlign w:val="center"/>
                </w:tcPr>
                <w:p w14:paraId="6A7B28A1">
                  <w:pPr>
                    <w:pageBreakBefore w:val="0"/>
                    <w:kinsoku/>
                    <w:wordWrap/>
                    <w:overflowPunct/>
                    <w:bidi w:val="0"/>
                    <w:ind w:left="0" w:leftChars="0" w:right="0" w:right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10m</w:t>
                  </w:r>
                </w:p>
              </w:tc>
              <w:tc>
                <w:tcPr>
                  <w:tcW w:w="762" w:type="dxa"/>
                  <w:tcBorders>
                    <w:tl2br w:val="nil"/>
                    <w:tr2bl w:val="nil"/>
                  </w:tcBorders>
                  <w:noWrap w:val="0"/>
                  <w:vAlign w:val="center"/>
                </w:tcPr>
                <w:p w14:paraId="6970E391">
                  <w:pPr>
                    <w:pageBreakBefore w:val="0"/>
                    <w:kinsoku/>
                    <w:wordWrap/>
                    <w:overflowPunct/>
                    <w:bidi w:val="0"/>
                    <w:ind w:left="0" w:leftChars="0" w:right="0" w:right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20m</w:t>
                  </w:r>
                </w:p>
              </w:tc>
              <w:tc>
                <w:tcPr>
                  <w:tcW w:w="762" w:type="dxa"/>
                  <w:tcBorders>
                    <w:tl2br w:val="nil"/>
                    <w:tr2bl w:val="nil"/>
                  </w:tcBorders>
                  <w:noWrap w:val="0"/>
                  <w:vAlign w:val="center"/>
                </w:tcPr>
                <w:p w14:paraId="0312D3A4">
                  <w:pPr>
                    <w:pageBreakBefore w:val="0"/>
                    <w:kinsoku/>
                    <w:wordWrap/>
                    <w:overflowPunct/>
                    <w:bidi w:val="0"/>
                    <w:ind w:left="0" w:leftChars="0" w:right="0" w:right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30m</w:t>
                  </w:r>
                </w:p>
              </w:tc>
              <w:tc>
                <w:tcPr>
                  <w:tcW w:w="762" w:type="dxa"/>
                  <w:tcBorders>
                    <w:tl2br w:val="nil"/>
                    <w:tr2bl w:val="nil"/>
                  </w:tcBorders>
                  <w:noWrap w:val="0"/>
                  <w:vAlign w:val="center"/>
                </w:tcPr>
                <w:p w14:paraId="3CCDEA52">
                  <w:pPr>
                    <w:pageBreakBefore w:val="0"/>
                    <w:kinsoku/>
                    <w:wordWrap/>
                    <w:overflowPunct/>
                    <w:bidi w:val="0"/>
                    <w:ind w:left="0" w:leftChars="0" w:right="0" w:right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50m</w:t>
                  </w:r>
                </w:p>
              </w:tc>
              <w:tc>
                <w:tcPr>
                  <w:tcW w:w="762" w:type="dxa"/>
                  <w:tcBorders>
                    <w:tl2br w:val="nil"/>
                    <w:tr2bl w:val="nil"/>
                  </w:tcBorders>
                  <w:noWrap w:val="0"/>
                  <w:vAlign w:val="center"/>
                </w:tcPr>
                <w:p w14:paraId="2DCDCBFA">
                  <w:pPr>
                    <w:pageBreakBefore w:val="0"/>
                    <w:kinsoku/>
                    <w:wordWrap/>
                    <w:overflowPunct/>
                    <w:bidi w:val="0"/>
                    <w:ind w:left="0" w:leftChars="0" w:right="0" w:right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80m</w:t>
                  </w:r>
                </w:p>
              </w:tc>
              <w:tc>
                <w:tcPr>
                  <w:tcW w:w="762" w:type="dxa"/>
                  <w:tcBorders>
                    <w:tl2br w:val="nil"/>
                    <w:tr2bl w:val="nil"/>
                  </w:tcBorders>
                  <w:noWrap w:val="0"/>
                  <w:vAlign w:val="center"/>
                </w:tcPr>
                <w:p w14:paraId="156950BB">
                  <w:pPr>
                    <w:pageBreakBefore w:val="0"/>
                    <w:kinsoku/>
                    <w:wordWrap/>
                    <w:overflowPunct/>
                    <w:bidi w:val="0"/>
                    <w:ind w:left="0" w:leftChars="0" w:right="0" w:right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100m</w:t>
                  </w:r>
                </w:p>
              </w:tc>
              <w:tc>
                <w:tcPr>
                  <w:tcW w:w="762" w:type="dxa"/>
                  <w:tcBorders>
                    <w:tl2br w:val="nil"/>
                    <w:tr2bl w:val="nil"/>
                  </w:tcBorders>
                  <w:noWrap w:val="0"/>
                  <w:vAlign w:val="center"/>
                </w:tcPr>
                <w:p w14:paraId="189E2002">
                  <w:pPr>
                    <w:pageBreakBefore w:val="0"/>
                    <w:kinsoku/>
                    <w:wordWrap/>
                    <w:overflowPunct/>
                    <w:bidi w:val="0"/>
                    <w:ind w:left="0" w:leftChars="0" w:right="0" w:right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150m</w:t>
                  </w:r>
                </w:p>
              </w:tc>
              <w:tc>
                <w:tcPr>
                  <w:tcW w:w="770" w:type="dxa"/>
                  <w:tcBorders>
                    <w:tl2br w:val="nil"/>
                    <w:tr2bl w:val="nil"/>
                  </w:tcBorders>
                  <w:noWrap w:val="0"/>
                  <w:vAlign w:val="center"/>
                </w:tcPr>
                <w:p w14:paraId="68F95521">
                  <w:pPr>
                    <w:pageBreakBefore w:val="0"/>
                    <w:kinsoku/>
                    <w:wordWrap/>
                    <w:overflowPunct/>
                    <w:bidi w:val="0"/>
                    <w:ind w:left="0" w:leftChars="0" w:right="0" w:right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200m</w:t>
                  </w:r>
                </w:p>
              </w:tc>
            </w:tr>
            <w:tr w14:paraId="4ED81B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1491" w:type="dxa"/>
                  <w:tcBorders>
                    <w:tl2br w:val="nil"/>
                    <w:tr2bl w:val="nil"/>
                  </w:tcBorders>
                  <w:noWrap w:val="0"/>
                  <w:vAlign w:val="center"/>
                </w:tcPr>
                <w:p w14:paraId="4A73C608">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挖掘机</w:t>
                  </w:r>
                </w:p>
              </w:tc>
              <w:tc>
                <w:tcPr>
                  <w:tcW w:w="763" w:type="dxa"/>
                  <w:tcBorders>
                    <w:tl2br w:val="nil"/>
                    <w:tr2bl w:val="nil"/>
                  </w:tcBorders>
                  <w:noWrap w:val="0"/>
                  <w:vAlign w:val="center"/>
                </w:tcPr>
                <w:p w14:paraId="4A353C56">
                  <w:pPr>
                    <w:pStyle w:val="15"/>
                    <w:pageBreakBefore w:val="0"/>
                    <w:kinsoku/>
                    <w:wordWrap/>
                    <w:overflowPunct/>
                    <w:bidi w:val="0"/>
                    <w:spacing w:after="0"/>
                    <w:ind w:left="0" w:leftChars="0" w:right="0" w:rightChars="0" w:firstLine="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81.0</w:t>
                  </w:r>
                </w:p>
              </w:tc>
              <w:tc>
                <w:tcPr>
                  <w:tcW w:w="763" w:type="dxa"/>
                  <w:tcBorders>
                    <w:tl2br w:val="nil"/>
                    <w:tr2bl w:val="nil"/>
                  </w:tcBorders>
                  <w:noWrap w:val="0"/>
                  <w:vAlign w:val="center"/>
                </w:tcPr>
                <w:p w14:paraId="1218B0DE">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75.0</w:t>
                  </w:r>
                </w:p>
              </w:tc>
              <w:tc>
                <w:tcPr>
                  <w:tcW w:w="762" w:type="dxa"/>
                  <w:tcBorders>
                    <w:tl2br w:val="nil"/>
                    <w:tr2bl w:val="nil"/>
                  </w:tcBorders>
                  <w:noWrap w:val="0"/>
                  <w:vAlign w:val="center"/>
                </w:tcPr>
                <w:p w14:paraId="3C8EFB89">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69.0</w:t>
                  </w:r>
                </w:p>
              </w:tc>
              <w:tc>
                <w:tcPr>
                  <w:tcW w:w="762" w:type="dxa"/>
                  <w:tcBorders>
                    <w:tl2br w:val="nil"/>
                    <w:tr2bl w:val="nil"/>
                  </w:tcBorders>
                  <w:noWrap w:val="0"/>
                  <w:vAlign w:val="center"/>
                </w:tcPr>
                <w:p w14:paraId="489F95C2">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65.5</w:t>
                  </w:r>
                </w:p>
              </w:tc>
              <w:tc>
                <w:tcPr>
                  <w:tcW w:w="762" w:type="dxa"/>
                  <w:tcBorders>
                    <w:tl2br w:val="nil"/>
                    <w:tr2bl w:val="nil"/>
                  </w:tcBorders>
                  <w:noWrap w:val="0"/>
                  <w:vAlign w:val="center"/>
                </w:tcPr>
                <w:p w14:paraId="472CFD2D">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61.0</w:t>
                  </w:r>
                </w:p>
              </w:tc>
              <w:tc>
                <w:tcPr>
                  <w:tcW w:w="762" w:type="dxa"/>
                  <w:tcBorders>
                    <w:tl2br w:val="nil"/>
                    <w:tr2bl w:val="nil"/>
                  </w:tcBorders>
                  <w:noWrap w:val="0"/>
                  <w:vAlign w:val="center"/>
                </w:tcPr>
                <w:p w14:paraId="25AFA5B5">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56.9</w:t>
                  </w:r>
                </w:p>
              </w:tc>
              <w:tc>
                <w:tcPr>
                  <w:tcW w:w="762" w:type="dxa"/>
                  <w:tcBorders>
                    <w:tl2br w:val="nil"/>
                    <w:tr2bl w:val="nil"/>
                  </w:tcBorders>
                  <w:noWrap w:val="0"/>
                  <w:vAlign w:val="center"/>
                </w:tcPr>
                <w:p w14:paraId="4AD33E62">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55.0</w:t>
                  </w:r>
                </w:p>
              </w:tc>
              <w:tc>
                <w:tcPr>
                  <w:tcW w:w="762" w:type="dxa"/>
                  <w:tcBorders>
                    <w:tl2br w:val="nil"/>
                    <w:tr2bl w:val="nil"/>
                  </w:tcBorders>
                  <w:noWrap w:val="0"/>
                  <w:vAlign w:val="center"/>
                </w:tcPr>
                <w:p w14:paraId="67A905A0">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51.5</w:t>
                  </w:r>
                </w:p>
              </w:tc>
              <w:tc>
                <w:tcPr>
                  <w:tcW w:w="770" w:type="dxa"/>
                  <w:tcBorders>
                    <w:tl2br w:val="nil"/>
                    <w:tr2bl w:val="nil"/>
                  </w:tcBorders>
                  <w:noWrap w:val="0"/>
                  <w:vAlign w:val="center"/>
                </w:tcPr>
                <w:p w14:paraId="6780012F">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49.0</w:t>
                  </w:r>
                </w:p>
              </w:tc>
            </w:tr>
            <w:tr w14:paraId="4EC75F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1491" w:type="dxa"/>
                  <w:tcBorders>
                    <w:tl2br w:val="nil"/>
                    <w:tr2bl w:val="nil"/>
                  </w:tcBorders>
                  <w:noWrap w:val="0"/>
                  <w:vAlign w:val="center"/>
                </w:tcPr>
                <w:p w14:paraId="4C028F1B">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推土机</w:t>
                  </w:r>
                </w:p>
              </w:tc>
              <w:tc>
                <w:tcPr>
                  <w:tcW w:w="763" w:type="dxa"/>
                  <w:tcBorders>
                    <w:tl2br w:val="nil"/>
                    <w:tr2bl w:val="nil"/>
                  </w:tcBorders>
                  <w:noWrap w:val="0"/>
                  <w:vAlign w:val="center"/>
                </w:tcPr>
                <w:p w14:paraId="5BFD2576">
                  <w:pPr>
                    <w:pStyle w:val="15"/>
                    <w:pageBreakBefore w:val="0"/>
                    <w:kinsoku/>
                    <w:wordWrap/>
                    <w:overflowPunct/>
                    <w:bidi w:val="0"/>
                    <w:spacing w:after="0"/>
                    <w:ind w:left="0" w:leftChars="0" w:right="0" w:rightChars="0" w:firstLine="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86.0</w:t>
                  </w:r>
                </w:p>
              </w:tc>
              <w:tc>
                <w:tcPr>
                  <w:tcW w:w="763" w:type="dxa"/>
                  <w:tcBorders>
                    <w:tl2br w:val="nil"/>
                    <w:tr2bl w:val="nil"/>
                  </w:tcBorders>
                  <w:noWrap w:val="0"/>
                  <w:vAlign w:val="center"/>
                </w:tcPr>
                <w:p w14:paraId="4D9B7BAC">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80.0</w:t>
                  </w:r>
                </w:p>
              </w:tc>
              <w:tc>
                <w:tcPr>
                  <w:tcW w:w="762" w:type="dxa"/>
                  <w:tcBorders>
                    <w:tl2br w:val="nil"/>
                    <w:tr2bl w:val="nil"/>
                  </w:tcBorders>
                  <w:noWrap w:val="0"/>
                  <w:vAlign w:val="center"/>
                </w:tcPr>
                <w:p w14:paraId="78140401">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74.0</w:t>
                  </w:r>
                </w:p>
              </w:tc>
              <w:tc>
                <w:tcPr>
                  <w:tcW w:w="762" w:type="dxa"/>
                  <w:tcBorders>
                    <w:tl2br w:val="nil"/>
                    <w:tr2bl w:val="nil"/>
                  </w:tcBorders>
                  <w:noWrap w:val="0"/>
                  <w:vAlign w:val="center"/>
                </w:tcPr>
                <w:p w14:paraId="23443DBB">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70.5</w:t>
                  </w:r>
                </w:p>
              </w:tc>
              <w:tc>
                <w:tcPr>
                  <w:tcW w:w="762" w:type="dxa"/>
                  <w:tcBorders>
                    <w:tl2br w:val="nil"/>
                    <w:tr2bl w:val="nil"/>
                  </w:tcBorders>
                  <w:noWrap w:val="0"/>
                  <w:vAlign w:val="center"/>
                </w:tcPr>
                <w:p w14:paraId="7ABB267C">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66.0</w:t>
                  </w:r>
                </w:p>
              </w:tc>
              <w:tc>
                <w:tcPr>
                  <w:tcW w:w="762" w:type="dxa"/>
                  <w:tcBorders>
                    <w:tl2br w:val="nil"/>
                    <w:tr2bl w:val="nil"/>
                  </w:tcBorders>
                  <w:noWrap w:val="0"/>
                  <w:vAlign w:val="center"/>
                </w:tcPr>
                <w:p w14:paraId="54D94815">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61.9</w:t>
                  </w:r>
                </w:p>
              </w:tc>
              <w:tc>
                <w:tcPr>
                  <w:tcW w:w="762" w:type="dxa"/>
                  <w:tcBorders>
                    <w:tl2br w:val="nil"/>
                    <w:tr2bl w:val="nil"/>
                  </w:tcBorders>
                  <w:noWrap w:val="0"/>
                  <w:vAlign w:val="center"/>
                </w:tcPr>
                <w:p w14:paraId="7A0DA2D0">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60.0</w:t>
                  </w:r>
                </w:p>
              </w:tc>
              <w:tc>
                <w:tcPr>
                  <w:tcW w:w="762" w:type="dxa"/>
                  <w:tcBorders>
                    <w:tl2br w:val="nil"/>
                    <w:tr2bl w:val="nil"/>
                  </w:tcBorders>
                  <w:noWrap w:val="0"/>
                  <w:vAlign w:val="center"/>
                </w:tcPr>
                <w:p w14:paraId="6647B4E8">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56.5</w:t>
                  </w:r>
                </w:p>
              </w:tc>
              <w:tc>
                <w:tcPr>
                  <w:tcW w:w="770" w:type="dxa"/>
                  <w:tcBorders>
                    <w:tl2br w:val="nil"/>
                    <w:tr2bl w:val="nil"/>
                  </w:tcBorders>
                  <w:noWrap w:val="0"/>
                  <w:vAlign w:val="center"/>
                </w:tcPr>
                <w:p w14:paraId="4DE76A16">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54.0</w:t>
                  </w:r>
                </w:p>
              </w:tc>
            </w:tr>
            <w:tr w14:paraId="114E3B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1491" w:type="dxa"/>
                  <w:tcBorders>
                    <w:tl2br w:val="nil"/>
                    <w:tr2bl w:val="nil"/>
                  </w:tcBorders>
                  <w:noWrap w:val="0"/>
                  <w:vAlign w:val="center"/>
                </w:tcPr>
                <w:p w14:paraId="56EFE332">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eastAsia="zh-CN"/>
                    </w:rPr>
                    <w:t>振动碾</w:t>
                  </w:r>
                </w:p>
              </w:tc>
              <w:tc>
                <w:tcPr>
                  <w:tcW w:w="763" w:type="dxa"/>
                  <w:tcBorders>
                    <w:tl2br w:val="nil"/>
                    <w:tr2bl w:val="nil"/>
                  </w:tcBorders>
                  <w:noWrap w:val="0"/>
                  <w:vAlign w:val="center"/>
                </w:tcPr>
                <w:p w14:paraId="5E5CD199">
                  <w:pPr>
                    <w:pStyle w:val="15"/>
                    <w:pageBreakBefore w:val="0"/>
                    <w:kinsoku/>
                    <w:wordWrap/>
                    <w:overflowPunct/>
                    <w:bidi w:val="0"/>
                    <w:spacing w:after="0"/>
                    <w:ind w:left="0" w:leftChars="0" w:right="0" w:rightChars="0" w:firstLine="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90.0</w:t>
                  </w:r>
                </w:p>
              </w:tc>
              <w:tc>
                <w:tcPr>
                  <w:tcW w:w="763" w:type="dxa"/>
                  <w:tcBorders>
                    <w:tl2br w:val="nil"/>
                    <w:tr2bl w:val="nil"/>
                  </w:tcBorders>
                  <w:noWrap w:val="0"/>
                  <w:vAlign w:val="center"/>
                </w:tcPr>
                <w:p w14:paraId="5FE66D84">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84.0</w:t>
                  </w:r>
                </w:p>
              </w:tc>
              <w:tc>
                <w:tcPr>
                  <w:tcW w:w="762" w:type="dxa"/>
                  <w:tcBorders>
                    <w:tl2br w:val="nil"/>
                    <w:tr2bl w:val="nil"/>
                  </w:tcBorders>
                  <w:noWrap w:val="0"/>
                  <w:vAlign w:val="center"/>
                </w:tcPr>
                <w:p w14:paraId="4BBE216D">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78.0</w:t>
                  </w:r>
                </w:p>
              </w:tc>
              <w:tc>
                <w:tcPr>
                  <w:tcW w:w="762" w:type="dxa"/>
                  <w:tcBorders>
                    <w:tl2br w:val="nil"/>
                    <w:tr2bl w:val="nil"/>
                  </w:tcBorders>
                  <w:noWrap w:val="0"/>
                  <w:vAlign w:val="center"/>
                </w:tcPr>
                <w:p w14:paraId="5357E3C8">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74.5</w:t>
                  </w:r>
                </w:p>
              </w:tc>
              <w:tc>
                <w:tcPr>
                  <w:tcW w:w="762" w:type="dxa"/>
                  <w:tcBorders>
                    <w:tl2br w:val="nil"/>
                    <w:tr2bl w:val="nil"/>
                  </w:tcBorders>
                  <w:noWrap w:val="0"/>
                  <w:vAlign w:val="center"/>
                </w:tcPr>
                <w:p w14:paraId="2C72BA99">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70.0</w:t>
                  </w:r>
                </w:p>
              </w:tc>
              <w:tc>
                <w:tcPr>
                  <w:tcW w:w="762" w:type="dxa"/>
                  <w:tcBorders>
                    <w:tl2br w:val="nil"/>
                    <w:tr2bl w:val="nil"/>
                  </w:tcBorders>
                  <w:noWrap w:val="0"/>
                  <w:vAlign w:val="center"/>
                </w:tcPr>
                <w:p w14:paraId="55A8FD0D">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65.9</w:t>
                  </w:r>
                </w:p>
              </w:tc>
              <w:tc>
                <w:tcPr>
                  <w:tcW w:w="762" w:type="dxa"/>
                  <w:tcBorders>
                    <w:tl2br w:val="nil"/>
                    <w:tr2bl w:val="nil"/>
                  </w:tcBorders>
                  <w:noWrap w:val="0"/>
                  <w:vAlign w:val="center"/>
                </w:tcPr>
                <w:p w14:paraId="6F507882">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64.0</w:t>
                  </w:r>
                </w:p>
              </w:tc>
              <w:tc>
                <w:tcPr>
                  <w:tcW w:w="762" w:type="dxa"/>
                  <w:tcBorders>
                    <w:tl2br w:val="nil"/>
                    <w:tr2bl w:val="nil"/>
                  </w:tcBorders>
                  <w:noWrap w:val="0"/>
                  <w:vAlign w:val="center"/>
                </w:tcPr>
                <w:p w14:paraId="2F9A5742">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60.5</w:t>
                  </w:r>
                </w:p>
              </w:tc>
              <w:tc>
                <w:tcPr>
                  <w:tcW w:w="770" w:type="dxa"/>
                  <w:tcBorders>
                    <w:tl2br w:val="nil"/>
                    <w:tr2bl w:val="nil"/>
                  </w:tcBorders>
                  <w:noWrap w:val="0"/>
                  <w:vAlign w:val="center"/>
                </w:tcPr>
                <w:p w14:paraId="70718517">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58.0</w:t>
                  </w:r>
                </w:p>
              </w:tc>
            </w:tr>
            <w:tr w14:paraId="3FE29F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1491" w:type="dxa"/>
                  <w:tcBorders>
                    <w:tl2br w:val="nil"/>
                    <w:tr2bl w:val="nil"/>
                  </w:tcBorders>
                  <w:noWrap w:val="0"/>
                  <w:vAlign w:val="center"/>
                </w:tcPr>
                <w:p w14:paraId="44940FF0">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自卸汽车</w:t>
                  </w:r>
                </w:p>
              </w:tc>
              <w:tc>
                <w:tcPr>
                  <w:tcW w:w="763" w:type="dxa"/>
                  <w:tcBorders>
                    <w:tl2br w:val="nil"/>
                    <w:tr2bl w:val="nil"/>
                  </w:tcBorders>
                  <w:noWrap w:val="0"/>
                  <w:vAlign w:val="center"/>
                </w:tcPr>
                <w:p w14:paraId="13E34AB0">
                  <w:pPr>
                    <w:pStyle w:val="15"/>
                    <w:pageBreakBefore w:val="0"/>
                    <w:kinsoku/>
                    <w:wordWrap/>
                    <w:overflowPunct/>
                    <w:bidi w:val="0"/>
                    <w:spacing w:after="0"/>
                    <w:ind w:left="0" w:leftChars="0" w:right="0" w:rightChars="0" w:firstLine="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81.0</w:t>
                  </w:r>
                </w:p>
              </w:tc>
              <w:tc>
                <w:tcPr>
                  <w:tcW w:w="763" w:type="dxa"/>
                  <w:tcBorders>
                    <w:tl2br w:val="nil"/>
                    <w:tr2bl w:val="nil"/>
                  </w:tcBorders>
                  <w:noWrap w:val="0"/>
                  <w:vAlign w:val="center"/>
                </w:tcPr>
                <w:p w14:paraId="14721001">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75.0</w:t>
                  </w:r>
                </w:p>
              </w:tc>
              <w:tc>
                <w:tcPr>
                  <w:tcW w:w="762" w:type="dxa"/>
                  <w:tcBorders>
                    <w:tl2br w:val="nil"/>
                    <w:tr2bl w:val="nil"/>
                  </w:tcBorders>
                  <w:noWrap w:val="0"/>
                  <w:vAlign w:val="center"/>
                </w:tcPr>
                <w:p w14:paraId="62AB6735">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69.0</w:t>
                  </w:r>
                </w:p>
              </w:tc>
              <w:tc>
                <w:tcPr>
                  <w:tcW w:w="762" w:type="dxa"/>
                  <w:tcBorders>
                    <w:tl2br w:val="nil"/>
                    <w:tr2bl w:val="nil"/>
                  </w:tcBorders>
                  <w:noWrap w:val="0"/>
                  <w:vAlign w:val="center"/>
                </w:tcPr>
                <w:p w14:paraId="5E698734">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65.5</w:t>
                  </w:r>
                </w:p>
              </w:tc>
              <w:tc>
                <w:tcPr>
                  <w:tcW w:w="762" w:type="dxa"/>
                  <w:tcBorders>
                    <w:tl2br w:val="nil"/>
                    <w:tr2bl w:val="nil"/>
                  </w:tcBorders>
                  <w:noWrap w:val="0"/>
                  <w:vAlign w:val="center"/>
                </w:tcPr>
                <w:p w14:paraId="64D0EB4C">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61.0</w:t>
                  </w:r>
                </w:p>
              </w:tc>
              <w:tc>
                <w:tcPr>
                  <w:tcW w:w="762" w:type="dxa"/>
                  <w:tcBorders>
                    <w:tl2br w:val="nil"/>
                    <w:tr2bl w:val="nil"/>
                  </w:tcBorders>
                  <w:noWrap w:val="0"/>
                  <w:vAlign w:val="center"/>
                </w:tcPr>
                <w:p w14:paraId="5A35BE27">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56.9</w:t>
                  </w:r>
                </w:p>
              </w:tc>
              <w:tc>
                <w:tcPr>
                  <w:tcW w:w="762" w:type="dxa"/>
                  <w:tcBorders>
                    <w:tl2br w:val="nil"/>
                    <w:tr2bl w:val="nil"/>
                  </w:tcBorders>
                  <w:noWrap w:val="0"/>
                  <w:vAlign w:val="center"/>
                </w:tcPr>
                <w:p w14:paraId="437E2B59">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55.0</w:t>
                  </w:r>
                </w:p>
              </w:tc>
              <w:tc>
                <w:tcPr>
                  <w:tcW w:w="762" w:type="dxa"/>
                  <w:tcBorders>
                    <w:tl2br w:val="nil"/>
                    <w:tr2bl w:val="nil"/>
                  </w:tcBorders>
                  <w:noWrap w:val="0"/>
                  <w:vAlign w:val="center"/>
                </w:tcPr>
                <w:p w14:paraId="3E6F4257">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51.5</w:t>
                  </w:r>
                </w:p>
              </w:tc>
              <w:tc>
                <w:tcPr>
                  <w:tcW w:w="770" w:type="dxa"/>
                  <w:tcBorders>
                    <w:tl2br w:val="nil"/>
                    <w:tr2bl w:val="nil"/>
                  </w:tcBorders>
                  <w:noWrap w:val="0"/>
                  <w:vAlign w:val="center"/>
                </w:tcPr>
                <w:p w14:paraId="4D0B9070">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49.0</w:t>
                  </w:r>
                </w:p>
              </w:tc>
            </w:tr>
            <w:tr w14:paraId="5FADD6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1491" w:type="dxa"/>
                  <w:tcBorders>
                    <w:tl2br w:val="nil"/>
                    <w:tr2bl w:val="nil"/>
                  </w:tcBorders>
                  <w:noWrap w:val="0"/>
                  <w:vAlign w:val="center"/>
                </w:tcPr>
                <w:p w14:paraId="7AF90AE9">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搅拌机</w:t>
                  </w:r>
                </w:p>
              </w:tc>
              <w:tc>
                <w:tcPr>
                  <w:tcW w:w="763" w:type="dxa"/>
                  <w:tcBorders>
                    <w:tl2br w:val="nil"/>
                    <w:tr2bl w:val="nil"/>
                  </w:tcBorders>
                  <w:noWrap w:val="0"/>
                  <w:vAlign w:val="center"/>
                </w:tcPr>
                <w:p w14:paraId="48027AEB">
                  <w:pPr>
                    <w:pStyle w:val="15"/>
                    <w:pageBreakBefore w:val="0"/>
                    <w:kinsoku/>
                    <w:wordWrap/>
                    <w:overflowPunct/>
                    <w:bidi w:val="0"/>
                    <w:spacing w:after="0"/>
                    <w:ind w:left="0" w:leftChars="0" w:right="0" w:rightChars="0" w:firstLine="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85.0</w:t>
                  </w:r>
                </w:p>
              </w:tc>
              <w:tc>
                <w:tcPr>
                  <w:tcW w:w="763" w:type="dxa"/>
                  <w:tcBorders>
                    <w:tl2br w:val="nil"/>
                    <w:tr2bl w:val="nil"/>
                  </w:tcBorders>
                  <w:noWrap w:val="0"/>
                  <w:vAlign w:val="center"/>
                </w:tcPr>
                <w:p w14:paraId="3C84276D">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79.0</w:t>
                  </w:r>
                </w:p>
              </w:tc>
              <w:tc>
                <w:tcPr>
                  <w:tcW w:w="762" w:type="dxa"/>
                  <w:tcBorders>
                    <w:tl2br w:val="nil"/>
                    <w:tr2bl w:val="nil"/>
                  </w:tcBorders>
                  <w:noWrap w:val="0"/>
                  <w:vAlign w:val="center"/>
                </w:tcPr>
                <w:p w14:paraId="7E5706DF">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73.0</w:t>
                  </w:r>
                </w:p>
              </w:tc>
              <w:tc>
                <w:tcPr>
                  <w:tcW w:w="762" w:type="dxa"/>
                  <w:tcBorders>
                    <w:tl2br w:val="nil"/>
                    <w:tr2bl w:val="nil"/>
                  </w:tcBorders>
                  <w:noWrap w:val="0"/>
                  <w:vAlign w:val="center"/>
                </w:tcPr>
                <w:p w14:paraId="5E820DDC">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69.5</w:t>
                  </w:r>
                </w:p>
              </w:tc>
              <w:tc>
                <w:tcPr>
                  <w:tcW w:w="762" w:type="dxa"/>
                  <w:tcBorders>
                    <w:tl2br w:val="nil"/>
                    <w:tr2bl w:val="nil"/>
                  </w:tcBorders>
                  <w:noWrap w:val="0"/>
                  <w:vAlign w:val="center"/>
                </w:tcPr>
                <w:p w14:paraId="1875890E">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65.0</w:t>
                  </w:r>
                </w:p>
              </w:tc>
              <w:tc>
                <w:tcPr>
                  <w:tcW w:w="762" w:type="dxa"/>
                  <w:tcBorders>
                    <w:tl2br w:val="nil"/>
                    <w:tr2bl w:val="nil"/>
                  </w:tcBorders>
                  <w:noWrap w:val="0"/>
                  <w:vAlign w:val="center"/>
                </w:tcPr>
                <w:p w14:paraId="33A34993">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60.9</w:t>
                  </w:r>
                </w:p>
              </w:tc>
              <w:tc>
                <w:tcPr>
                  <w:tcW w:w="762" w:type="dxa"/>
                  <w:tcBorders>
                    <w:tl2br w:val="nil"/>
                    <w:tr2bl w:val="nil"/>
                  </w:tcBorders>
                  <w:noWrap w:val="0"/>
                  <w:vAlign w:val="center"/>
                </w:tcPr>
                <w:p w14:paraId="56AEC740">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59.0</w:t>
                  </w:r>
                </w:p>
              </w:tc>
              <w:tc>
                <w:tcPr>
                  <w:tcW w:w="762" w:type="dxa"/>
                  <w:tcBorders>
                    <w:tl2br w:val="nil"/>
                    <w:tr2bl w:val="nil"/>
                  </w:tcBorders>
                  <w:noWrap w:val="0"/>
                  <w:vAlign w:val="center"/>
                </w:tcPr>
                <w:p w14:paraId="43838045">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55.5</w:t>
                  </w:r>
                </w:p>
              </w:tc>
              <w:tc>
                <w:tcPr>
                  <w:tcW w:w="770" w:type="dxa"/>
                  <w:tcBorders>
                    <w:tl2br w:val="nil"/>
                    <w:tr2bl w:val="nil"/>
                  </w:tcBorders>
                  <w:noWrap w:val="0"/>
                  <w:vAlign w:val="center"/>
                </w:tcPr>
                <w:p w14:paraId="588D780B">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53.0</w:t>
                  </w:r>
                </w:p>
              </w:tc>
            </w:tr>
            <w:tr w14:paraId="2864C5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1491" w:type="dxa"/>
                  <w:tcBorders>
                    <w:tl2br w:val="nil"/>
                    <w:tr2bl w:val="nil"/>
                  </w:tcBorders>
                  <w:noWrap w:val="0"/>
                  <w:vAlign w:val="center"/>
                </w:tcPr>
                <w:p w14:paraId="74924588">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插入振捣器</w:t>
                  </w:r>
                </w:p>
              </w:tc>
              <w:tc>
                <w:tcPr>
                  <w:tcW w:w="763" w:type="dxa"/>
                  <w:tcBorders>
                    <w:tl2br w:val="nil"/>
                    <w:tr2bl w:val="nil"/>
                  </w:tcBorders>
                  <w:noWrap w:val="0"/>
                  <w:vAlign w:val="center"/>
                </w:tcPr>
                <w:p w14:paraId="0982EEC9">
                  <w:pPr>
                    <w:pStyle w:val="15"/>
                    <w:pageBreakBefore w:val="0"/>
                    <w:kinsoku/>
                    <w:wordWrap/>
                    <w:overflowPunct/>
                    <w:bidi w:val="0"/>
                    <w:spacing w:after="0"/>
                    <w:ind w:left="0" w:leftChars="0" w:right="0" w:rightChars="0" w:firstLine="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86.0</w:t>
                  </w:r>
                </w:p>
              </w:tc>
              <w:tc>
                <w:tcPr>
                  <w:tcW w:w="763" w:type="dxa"/>
                  <w:tcBorders>
                    <w:tl2br w:val="nil"/>
                    <w:tr2bl w:val="nil"/>
                  </w:tcBorders>
                  <w:noWrap w:val="0"/>
                  <w:vAlign w:val="center"/>
                </w:tcPr>
                <w:p w14:paraId="1F63938A">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75.0</w:t>
                  </w:r>
                </w:p>
              </w:tc>
              <w:tc>
                <w:tcPr>
                  <w:tcW w:w="762" w:type="dxa"/>
                  <w:tcBorders>
                    <w:tl2br w:val="nil"/>
                    <w:tr2bl w:val="nil"/>
                  </w:tcBorders>
                  <w:noWrap w:val="0"/>
                  <w:vAlign w:val="center"/>
                </w:tcPr>
                <w:p w14:paraId="02A4239C">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69.0</w:t>
                  </w:r>
                </w:p>
              </w:tc>
              <w:tc>
                <w:tcPr>
                  <w:tcW w:w="762" w:type="dxa"/>
                  <w:tcBorders>
                    <w:tl2br w:val="nil"/>
                    <w:tr2bl w:val="nil"/>
                  </w:tcBorders>
                  <w:noWrap w:val="0"/>
                  <w:vAlign w:val="center"/>
                </w:tcPr>
                <w:p w14:paraId="2744999B">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65.5</w:t>
                  </w:r>
                </w:p>
              </w:tc>
              <w:tc>
                <w:tcPr>
                  <w:tcW w:w="762" w:type="dxa"/>
                  <w:tcBorders>
                    <w:tl2br w:val="nil"/>
                    <w:tr2bl w:val="nil"/>
                  </w:tcBorders>
                  <w:noWrap w:val="0"/>
                  <w:vAlign w:val="center"/>
                </w:tcPr>
                <w:p w14:paraId="12A37448">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61.0</w:t>
                  </w:r>
                </w:p>
              </w:tc>
              <w:tc>
                <w:tcPr>
                  <w:tcW w:w="762" w:type="dxa"/>
                  <w:tcBorders>
                    <w:tl2br w:val="nil"/>
                    <w:tr2bl w:val="nil"/>
                  </w:tcBorders>
                  <w:noWrap w:val="0"/>
                  <w:vAlign w:val="center"/>
                </w:tcPr>
                <w:p w14:paraId="323C854C">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56.9</w:t>
                  </w:r>
                </w:p>
              </w:tc>
              <w:tc>
                <w:tcPr>
                  <w:tcW w:w="762" w:type="dxa"/>
                  <w:tcBorders>
                    <w:tl2br w:val="nil"/>
                    <w:tr2bl w:val="nil"/>
                  </w:tcBorders>
                  <w:noWrap w:val="0"/>
                  <w:vAlign w:val="center"/>
                </w:tcPr>
                <w:p w14:paraId="1B564080">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55.0</w:t>
                  </w:r>
                </w:p>
              </w:tc>
              <w:tc>
                <w:tcPr>
                  <w:tcW w:w="762" w:type="dxa"/>
                  <w:tcBorders>
                    <w:tl2br w:val="nil"/>
                    <w:tr2bl w:val="nil"/>
                  </w:tcBorders>
                  <w:noWrap w:val="0"/>
                  <w:vAlign w:val="center"/>
                </w:tcPr>
                <w:p w14:paraId="2C1AD0AF">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51.5</w:t>
                  </w:r>
                </w:p>
              </w:tc>
              <w:tc>
                <w:tcPr>
                  <w:tcW w:w="770" w:type="dxa"/>
                  <w:tcBorders>
                    <w:tl2br w:val="nil"/>
                    <w:tr2bl w:val="nil"/>
                  </w:tcBorders>
                  <w:noWrap w:val="0"/>
                  <w:vAlign w:val="center"/>
                </w:tcPr>
                <w:p w14:paraId="75C7AC90">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49.0</w:t>
                  </w:r>
                </w:p>
              </w:tc>
            </w:tr>
            <w:tr w14:paraId="596176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1491" w:type="dxa"/>
                  <w:tcBorders>
                    <w:tl2br w:val="nil"/>
                    <w:tr2bl w:val="nil"/>
                  </w:tcBorders>
                  <w:noWrap w:val="0"/>
                  <w:vAlign w:val="center"/>
                </w:tcPr>
                <w:p w14:paraId="65D1940F">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平板振捣器</w:t>
                  </w:r>
                </w:p>
              </w:tc>
              <w:tc>
                <w:tcPr>
                  <w:tcW w:w="763" w:type="dxa"/>
                  <w:tcBorders>
                    <w:tl2br w:val="nil"/>
                    <w:tr2bl w:val="nil"/>
                  </w:tcBorders>
                  <w:noWrap w:val="0"/>
                  <w:vAlign w:val="center"/>
                </w:tcPr>
                <w:p w14:paraId="3327CBCC">
                  <w:pPr>
                    <w:pStyle w:val="15"/>
                    <w:pageBreakBefore w:val="0"/>
                    <w:kinsoku/>
                    <w:wordWrap/>
                    <w:overflowPunct/>
                    <w:bidi w:val="0"/>
                    <w:spacing w:after="0"/>
                    <w:ind w:left="0" w:leftChars="0" w:right="0" w:rightChars="0" w:firstLine="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86.0</w:t>
                  </w:r>
                </w:p>
              </w:tc>
              <w:tc>
                <w:tcPr>
                  <w:tcW w:w="763" w:type="dxa"/>
                  <w:tcBorders>
                    <w:tl2br w:val="nil"/>
                    <w:tr2bl w:val="nil"/>
                  </w:tcBorders>
                  <w:noWrap w:val="0"/>
                  <w:vAlign w:val="center"/>
                </w:tcPr>
                <w:p w14:paraId="78E4A192">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80.0</w:t>
                  </w:r>
                </w:p>
              </w:tc>
              <w:tc>
                <w:tcPr>
                  <w:tcW w:w="762" w:type="dxa"/>
                  <w:tcBorders>
                    <w:tl2br w:val="nil"/>
                    <w:tr2bl w:val="nil"/>
                  </w:tcBorders>
                  <w:noWrap w:val="0"/>
                  <w:vAlign w:val="center"/>
                </w:tcPr>
                <w:p w14:paraId="2E3483D5">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74.0</w:t>
                  </w:r>
                </w:p>
              </w:tc>
              <w:tc>
                <w:tcPr>
                  <w:tcW w:w="762" w:type="dxa"/>
                  <w:tcBorders>
                    <w:tl2br w:val="nil"/>
                    <w:tr2bl w:val="nil"/>
                  </w:tcBorders>
                  <w:noWrap w:val="0"/>
                  <w:vAlign w:val="center"/>
                </w:tcPr>
                <w:p w14:paraId="1D99D419">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70.5</w:t>
                  </w:r>
                </w:p>
              </w:tc>
              <w:tc>
                <w:tcPr>
                  <w:tcW w:w="762" w:type="dxa"/>
                  <w:tcBorders>
                    <w:tl2br w:val="nil"/>
                    <w:tr2bl w:val="nil"/>
                  </w:tcBorders>
                  <w:noWrap w:val="0"/>
                  <w:vAlign w:val="center"/>
                </w:tcPr>
                <w:p w14:paraId="3D4CE421">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66.0</w:t>
                  </w:r>
                </w:p>
              </w:tc>
              <w:tc>
                <w:tcPr>
                  <w:tcW w:w="762" w:type="dxa"/>
                  <w:tcBorders>
                    <w:tl2br w:val="nil"/>
                    <w:tr2bl w:val="nil"/>
                  </w:tcBorders>
                  <w:noWrap w:val="0"/>
                  <w:vAlign w:val="center"/>
                </w:tcPr>
                <w:p w14:paraId="6A00184C">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61.9</w:t>
                  </w:r>
                </w:p>
              </w:tc>
              <w:tc>
                <w:tcPr>
                  <w:tcW w:w="762" w:type="dxa"/>
                  <w:tcBorders>
                    <w:tl2br w:val="nil"/>
                    <w:tr2bl w:val="nil"/>
                  </w:tcBorders>
                  <w:noWrap w:val="0"/>
                  <w:vAlign w:val="center"/>
                </w:tcPr>
                <w:p w14:paraId="0E5E13CE">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60.0</w:t>
                  </w:r>
                </w:p>
              </w:tc>
              <w:tc>
                <w:tcPr>
                  <w:tcW w:w="762" w:type="dxa"/>
                  <w:tcBorders>
                    <w:tl2br w:val="nil"/>
                    <w:tr2bl w:val="nil"/>
                  </w:tcBorders>
                  <w:noWrap w:val="0"/>
                  <w:vAlign w:val="center"/>
                </w:tcPr>
                <w:p w14:paraId="74A6B4BE">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56.5</w:t>
                  </w:r>
                </w:p>
              </w:tc>
              <w:tc>
                <w:tcPr>
                  <w:tcW w:w="770" w:type="dxa"/>
                  <w:tcBorders>
                    <w:tl2br w:val="nil"/>
                    <w:tr2bl w:val="nil"/>
                  </w:tcBorders>
                  <w:noWrap w:val="0"/>
                  <w:vAlign w:val="center"/>
                </w:tcPr>
                <w:p w14:paraId="54EFB6FC">
                  <w:pPr>
                    <w:pageBreakBefore w:val="0"/>
                    <w:kinsoku/>
                    <w:wordWrap/>
                    <w:overflowPunct/>
                    <w:bidi w:val="0"/>
                    <w:ind w:left="0" w:leftChars="0" w:right="0" w:rightChars="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54.0</w:t>
                  </w:r>
                </w:p>
              </w:tc>
            </w:tr>
          </w:tbl>
          <w:p w14:paraId="7CEE7593">
            <w:pPr>
              <w:pageBreakBefore w:val="0"/>
              <w:kinsoku/>
              <w:wordWrap/>
              <w:overflowPunct/>
              <w:bidi w:val="0"/>
              <w:spacing w:line="360" w:lineRule="auto"/>
              <w:ind w:left="0" w:leftChars="0" w:right="0" w:rightChars="0" w:firstLine="48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从项目周边环境关系来看，</w:t>
            </w:r>
            <w:r>
              <w:rPr>
                <w:rFonts w:hint="default" w:ascii="Times New Roman" w:hAnsi="Times New Roman" w:eastAsia="宋体" w:cs="Times New Roman"/>
                <w:b w:val="0"/>
                <w:bCs w:val="0"/>
                <w:color w:val="auto"/>
                <w:sz w:val="24"/>
                <w:lang w:val="en-US" w:eastAsia="zh-CN"/>
              </w:rPr>
              <w:t>本项目</w:t>
            </w:r>
            <w:r>
              <w:rPr>
                <w:rFonts w:hint="default" w:ascii="Times New Roman" w:hAnsi="Times New Roman" w:eastAsia="宋体" w:cs="Times New Roman"/>
                <w:b w:val="0"/>
                <w:bCs w:val="0"/>
                <w:color w:val="auto"/>
                <w:sz w:val="24"/>
                <w:lang w:val="en-US" w:eastAsia="zh-CN"/>
              </w:rPr>
              <w:t>距离周边500范围内无环境保护目标。</w:t>
            </w:r>
          </w:p>
          <w:p w14:paraId="4A91C45A">
            <w:pPr>
              <w:pageBreakBefore w:val="0"/>
              <w:kinsoku/>
              <w:wordWrap/>
              <w:overflowPunct/>
              <w:bidi w:val="0"/>
              <w:spacing w:line="360" w:lineRule="auto"/>
              <w:ind w:left="0" w:leftChars="0" w:right="0" w:rightChars="0" w:firstLine="480"/>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val="0"/>
                <w:bCs w:val="0"/>
                <w:color w:val="auto"/>
                <w:sz w:val="24"/>
                <w:lang w:val="en-US" w:eastAsia="zh-CN"/>
              </w:rPr>
              <w:t>由于施工仅进行钻孔和电缆沟开挖，施工用的设备为电钻，噪声影响范围约在50m范围内，施工期需采用低噪机械，合理安排施工场地布置，文明施工，加强施工管理，合理安排施工进度，将主要噪声源尽量远离场界等措施减小噪声的影响。采取环评要求的施工噪声污染防治措施后，施工期能满足《建筑施工场界环境噪声排放标准》（GB12523-2011）昼间标准（≤70dB（A））可以做到达标排放，对周围声环境影响较小。运输车辆经过</w:t>
            </w:r>
            <w:r>
              <w:rPr>
                <w:rFonts w:hint="default" w:ascii="Times New Roman" w:hAnsi="Times New Roman" w:eastAsia="宋体" w:cs="Times New Roman"/>
                <w:b w:val="0"/>
                <w:bCs w:val="0"/>
                <w:color w:val="auto"/>
                <w:sz w:val="24"/>
                <w:lang w:val="en-US" w:eastAsia="zh-CN"/>
              </w:rPr>
              <w:t>环境敏感点</w:t>
            </w:r>
            <w:r>
              <w:rPr>
                <w:rFonts w:hint="default" w:ascii="Times New Roman" w:hAnsi="Times New Roman" w:eastAsia="宋体" w:cs="Times New Roman"/>
                <w:b w:val="0"/>
                <w:bCs w:val="0"/>
                <w:color w:val="auto"/>
                <w:sz w:val="24"/>
                <w:lang w:val="en-US" w:eastAsia="zh-CN"/>
              </w:rPr>
              <w:t>时，只要采取减速行驶、禁鸣等措施后，可以减小噪声对所经过敏感点的声环境影响。施工噪声将随着施工活动的结束而消失。</w:t>
            </w:r>
          </w:p>
          <w:p w14:paraId="5A7DEC0E">
            <w:pPr>
              <w:pageBreakBefore w:val="0"/>
              <w:kinsoku/>
              <w:wordWrap/>
              <w:overflowPunct/>
              <w:bidi w:val="0"/>
              <w:spacing w:line="360" w:lineRule="auto"/>
              <w:ind w:left="0" w:leftChars="0" w:right="0" w:rightChars="0" w:firstLine="480"/>
              <w:rPr>
                <w:rFonts w:hint="default" w:ascii="Times New Roman" w:hAnsi="Times New Roman" w:eastAsia="宋体" w:cs="Times New Roman"/>
                <w:b/>
                <w:color w:val="auto"/>
                <w:sz w:val="24"/>
              </w:rPr>
            </w:pPr>
            <w:r>
              <w:rPr>
                <w:rFonts w:hint="default" w:ascii="Times New Roman" w:hAnsi="Times New Roman" w:eastAsia="宋体" w:cs="Times New Roman"/>
                <w:b/>
                <w:bCs/>
                <w:color w:val="auto"/>
                <w:sz w:val="24"/>
                <w:lang w:val="en-US" w:eastAsia="zh-CN"/>
              </w:rPr>
              <w:t>5、</w:t>
            </w:r>
            <w:r>
              <w:rPr>
                <w:rFonts w:hint="default" w:ascii="Times New Roman" w:hAnsi="Times New Roman" w:eastAsia="宋体" w:cs="Times New Roman"/>
                <w:b/>
                <w:color w:val="auto"/>
                <w:sz w:val="24"/>
              </w:rPr>
              <w:t>固体废弃物影响分析</w:t>
            </w:r>
          </w:p>
          <w:p w14:paraId="0FDB838F">
            <w:pPr>
              <w:pageBreakBefore w:val="0"/>
              <w:kinsoku/>
              <w:wordWrap/>
              <w:overflowPunct/>
              <w:bidi w:val="0"/>
              <w:spacing w:line="360" w:lineRule="auto"/>
              <w:ind w:left="0" w:leftChars="0" w:right="0" w:rightChars="0" w:firstLine="48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施工期产生的固体废弃物</w:t>
            </w:r>
            <w:r>
              <w:rPr>
                <w:rFonts w:hint="default" w:ascii="Times New Roman" w:hAnsi="Times New Roman" w:eastAsia="宋体" w:cs="Times New Roman"/>
                <w:color w:val="auto"/>
                <w:sz w:val="24"/>
                <w:lang w:eastAsia="zh-CN"/>
              </w:rPr>
              <w:t>为</w:t>
            </w:r>
            <w:r>
              <w:rPr>
                <w:rFonts w:hint="default" w:ascii="Times New Roman" w:hAnsi="Times New Roman" w:eastAsia="宋体" w:cs="Times New Roman"/>
                <w:color w:val="auto"/>
                <w:sz w:val="24"/>
              </w:rPr>
              <w:t>少量的多余土方、建筑垃圾与施工人员产生的生活垃圾。本项目废弃土方、建筑垃圾均为一般工业固废。</w:t>
            </w:r>
          </w:p>
          <w:p w14:paraId="59EB1370">
            <w:pPr>
              <w:pageBreakBefore w:val="0"/>
              <w:kinsoku/>
              <w:wordWrap/>
              <w:overflowPunct/>
              <w:bidi w:val="0"/>
              <w:spacing w:line="360" w:lineRule="auto"/>
              <w:ind w:left="0" w:leftChars="0" w:right="0" w:rightChars="0" w:firstLine="480"/>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5.1风电场土石方</w:t>
            </w:r>
          </w:p>
          <w:p w14:paraId="7994DD06">
            <w:pPr>
              <w:pageBreakBefore w:val="0"/>
              <w:kinsoku/>
              <w:wordWrap/>
              <w:overflowPunct/>
              <w:bidi w:val="0"/>
              <w:spacing w:line="360" w:lineRule="auto"/>
              <w:ind w:left="0" w:leftChars="0" w:right="0" w:rightChars="0" w:firstLine="48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本项目土石方主要来自项目地基、管沟开挖，因项目所在地地势平坦，所需挖填的地块不多，主要是</w:t>
            </w:r>
            <w:r>
              <w:rPr>
                <w:rFonts w:hint="default" w:ascii="Times New Roman" w:hAnsi="Times New Roman" w:eastAsia="宋体" w:cs="Times New Roman"/>
                <w:color w:val="auto"/>
                <w:sz w:val="24"/>
                <w:lang w:val="en-US" w:eastAsia="zh-CN"/>
              </w:rPr>
              <w:t>塔基</w:t>
            </w:r>
            <w:r>
              <w:rPr>
                <w:rFonts w:hint="default" w:ascii="Times New Roman" w:hAnsi="Times New Roman" w:eastAsia="宋体" w:cs="Times New Roman"/>
                <w:color w:val="auto"/>
                <w:sz w:val="24"/>
              </w:rPr>
              <w:t>、直埋电缆电缆沟以及箱变基础需要进行挖方，根据建设单位提供的资料，项目挖方量共计</w:t>
            </w:r>
            <w:r>
              <w:rPr>
                <w:rFonts w:hint="default" w:ascii="Times New Roman" w:hAnsi="Times New Roman" w:cs="Times New Roman"/>
                <w:color w:val="auto"/>
                <w:sz w:val="24"/>
                <w:lang w:val="en-US" w:eastAsia="zh-CN"/>
              </w:rPr>
              <w:t>58.38</w:t>
            </w:r>
            <w:r>
              <w:rPr>
                <w:rFonts w:hint="default" w:ascii="Times New Roman" w:hAnsi="Times New Roman" w:eastAsia="宋体" w:cs="Times New Roman"/>
                <w:color w:val="auto"/>
                <w:sz w:val="24"/>
                <w:lang w:val="en-US" w:eastAsia="zh-CN"/>
              </w:rPr>
              <w:t>万</w:t>
            </w:r>
            <w:r>
              <w:rPr>
                <w:rFonts w:hint="default" w:ascii="Times New Roman" w:hAnsi="Times New Roman" w:eastAsia="宋体" w:cs="Times New Roman"/>
                <w:color w:val="auto"/>
                <w:sz w:val="24"/>
              </w:rPr>
              <w:t>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，回填土方量共计</w:t>
            </w:r>
            <w:r>
              <w:rPr>
                <w:rFonts w:hint="default" w:ascii="Times New Roman" w:hAnsi="Times New Roman" w:cs="Times New Roman"/>
                <w:color w:val="auto"/>
                <w:sz w:val="24"/>
                <w:lang w:val="en-US" w:eastAsia="zh-CN"/>
              </w:rPr>
              <w:t>53.72</w:t>
            </w:r>
            <w:r>
              <w:rPr>
                <w:rFonts w:hint="default" w:ascii="Times New Roman" w:hAnsi="Times New Roman" w:eastAsia="宋体" w:cs="Times New Roman"/>
                <w:color w:val="auto"/>
                <w:sz w:val="24"/>
                <w:lang w:val="en-US" w:eastAsia="zh-CN"/>
              </w:rPr>
              <w:t>万</w:t>
            </w:r>
            <w:r>
              <w:rPr>
                <w:rFonts w:hint="default" w:ascii="Times New Roman" w:hAnsi="Times New Roman" w:eastAsia="宋体" w:cs="Times New Roman"/>
                <w:color w:val="auto"/>
                <w:sz w:val="24"/>
              </w:rPr>
              <w:t>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，施工期多余土方共计</w:t>
            </w:r>
            <w:r>
              <w:rPr>
                <w:rFonts w:hint="default" w:ascii="Times New Roman" w:hAnsi="Times New Roman" w:cs="Times New Roman"/>
                <w:color w:val="auto"/>
                <w:sz w:val="24"/>
                <w:lang w:val="en-US" w:eastAsia="zh-CN"/>
              </w:rPr>
              <w:t>4.66</w:t>
            </w:r>
            <w:r>
              <w:rPr>
                <w:rFonts w:hint="default" w:ascii="Times New Roman" w:hAnsi="Times New Roman" w:eastAsia="宋体" w:cs="Times New Roman"/>
                <w:color w:val="auto"/>
                <w:sz w:val="24"/>
                <w:lang w:val="en-US" w:eastAsia="zh-CN"/>
              </w:rPr>
              <w:t>万</w:t>
            </w:r>
            <w:r>
              <w:rPr>
                <w:rFonts w:hint="default" w:ascii="Times New Roman" w:hAnsi="Times New Roman" w:eastAsia="宋体" w:cs="Times New Roman"/>
                <w:color w:val="auto"/>
                <w:sz w:val="24"/>
              </w:rPr>
              <w:t>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，用于项目区场地平整及电缆沟的平整。土石方平衡一览表见下表：</w:t>
            </w:r>
          </w:p>
          <w:p w14:paraId="4191EEB8">
            <w:pPr>
              <w:pStyle w:val="38"/>
              <w:spacing w:line="440" w:lineRule="exact"/>
              <w:ind w:firstLine="0" w:firstLineChars="0"/>
              <w:jc w:val="center"/>
              <w:textAlignment w:val="baseline"/>
              <w:rPr>
                <w:rFonts w:hint="default" w:ascii="Times New Roman" w:hAnsi="Times New Roman" w:eastAsia="宋体" w:cs="Times New Roman"/>
                <w:b/>
                <w:bCs w:val="0"/>
                <w:snapToGrid w:val="0"/>
                <w:color w:val="auto"/>
                <w:sz w:val="21"/>
                <w:szCs w:val="22"/>
                <w:lang w:eastAsia="zh-CN"/>
              </w:rPr>
            </w:pPr>
            <w:r>
              <w:rPr>
                <w:rFonts w:hint="default" w:ascii="Times New Roman" w:hAnsi="Times New Roman" w:eastAsia="宋体" w:cs="Times New Roman"/>
                <w:b/>
                <w:bCs w:val="0"/>
                <w:snapToGrid w:val="0"/>
                <w:color w:val="auto"/>
                <w:sz w:val="21"/>
                <w:szCs w:val="22"/>
                <w:lang w:eastAsia="zh-CN"/>
              </w:rPr>
              <w:t>表4-</w:t>
            </w:r>
            <w:r>
              <w:rPr>
                <w:rFonts w:hint="default" w:ascii="Times New Roman" w:hAnsi="Times New Roman" w:eastAsia="宋体" w:cs="Times New Roman"/>
                <w:b/>
                <w:bCs w:val="0"/>
                <w:snapToGrid w:val="0"/>
                <w:color w:val="auto"/>
                <w:sz w:val="21"/>
                <w:szCs w:val="22"/>
                <w:lang w:val="en-US" w:eastAsia="zh-CN"/>
              </w:rPr>
              <w:t>5</w:t>
            </w:r>
            <w:r>
              <w:rPr>
                <w:rFonts w:hint="default" w:ascii="Times New Roman" w:hAnsi="Times New Roman" w:eastAsia="宋体" w:cs="Times New Roman"/>
                <w:b/>
                <w:bCs w:val="0"/>
                <w:snapToGrid w:val="0"/>
                <w:color w:val="auto"/>
                <w:sz w:val="21"/>
                <w:szCs w:val="22"/>
                <w:lang w:eastAsia="zh-CN"/>
              </w:rPr>
              <w:t>施工期土石方平衡表（</w:t>
            </w:r>
            <w:r>
              <w:rPr>
                <w:rFonts w:hint="default" w:ascii="Times New Roman" w:hAnsi="Times New Roman" w:eastAsia="宋体" w:cs="Times New Roman"/>
                <w:b/>
                <w:bCs w:val="0"/>
                <w:snapToGrid w:val="0"/>
                <w:color w:val="auto"/>
                <w:sz w:val="21"/>
                <w:szCs w:val="22"/>
                <w:lang w:eastAsia="zh-CN"/>
              </w:rPr>
              <w:t>万</w:t>
            </w:r>
            <w:r>
              <w:rPr>
                <w:rFonts w:hint="default" w:ascii="Times New Roman" w:hAnsi="Times New Roman" w:eastAsia="宋体" w:cs="Times New Roman"/>
                <w:b/>
                <w:bCs w:val="0"/>
                <w:snapToGrid w:val="0"/>
                <w:color w:val="auto"/>
                <w:sz w:val="21"/>
                <w:szCs w:val="22"/>
                <w:lang w:eastAsia="zh-CN"/>
              </w:rPr>
              <w:t>m</w:t>
            </w:r>
            <w:r>
              <w:rPr>
                <w:rFonts w:hint="default" w:ascii="Times New Roman" w:hAnsi="Times New Roman" w:eastAsia="宋体" w:cs="Times New Roman"/>
                <w:b/>
                <w:bCs w:val="0"/>
                <w:snapToGrid w:val="0"/>
                <w:color w:val="auto"/>
                <w:sz w:val="21"/>
                <w:szCs w:val="22"/>
                <w:vertAlign w:val="superscript"/>
                <w:lang w:eastAsia="zh-CN"/>
              </w:rPr>
              <w:t>3</w:t>
            </w:r>
            <w:r>
              <w:rPr>
                <w:rFonts w:hint="default" w:ascii="Times New Roman" w:hAnsi="Times New Roman" w:eastAsia="宋体" w:cs="Times New Roman"/>
                <w:b/>
                <w:bCs w:val="0"/>
                <w:snapToGrid w:val="0"/>
                <w:color w:val="auto"/>
                <w:sz w:val="21"/>
                <w:szCs w:val="22"/>
                <w:lang w:eastAsia="zh-CN"/>
              </w:rPr>
              <w:t>）</w:t>
            </w:r>
          </w:p>
          <w:tbl>
            <w:tblPr>
              <w:tblStyle w:val="2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5"/>
              <w:gridCol w:w="1518"/>
              <w:gridCol w:w="1260"/>
              <w:gridCol w:w="2056"/>
              <w:gridCol w:w="1408"/>
            </w:tblGrid>
            <w:tr w14:paraId="7B683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035" w:type="dxa"/>
                  <w:tcBorders>
                    <w:tl2br w:val="nil"/>
                    <w:tr2bl w:val="nil"/>
                  </w:tcBorders>
                  <w:noWrap w:val="0"/>
                  <w:vAlign w:val="center"/>
                </w:tcPr>
                <w:p w14:paraId="076076EF">
                  <w:pPr>
                    <w:widowControl/>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工程名称</w:t>
                  </w:r>
                </w:p>
              </w:tc>
              <w:tc>
                <w:tcPr>
                  <w:tcW w:w="1518" w:type="dxa"/>
                  <w:tcBorders>
                    <w:tl2br w:val="nil"/>
                    <w:tr2bl w:val="nil"/>
                  </w:tcBorders>
                  <w:noWrap w:val="0"/>
                  <w:vAlign w:val="center"/>
                </w:tcPr>
                <w:p w14:paraId="69107944">
                  <w:pPr>
                    <w:widowControl/>
                    <w:jc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rPr>
                    <w:t>挖方</w:t>
                  </w:r>
                </w:p>
              </w:tc>
              <w:tc>
                <w:tcPr>
                  <w:tcW w:w="1260" w:type="dxa"/>
                  <w:tcBorders>
                    <w:tl2br w:val="nil"/>
                    <w:tr2bl w:val="nil"/>
                  </w:tcBorders>
                  <w:noWrap w:val="0"/>
                  <w:vAlign w:val="center"/>
                </w:tcPr>
                <w:p w14:paraId="679F71FC">
                  <w:pPr>
                    <w:widowControl/>
                    <w:jc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rPr>
                    <w:t>填方</w:t>
                  </w:r>
                </w:p>
              </w:tc>
              <w:tc>
                <w:tcPr>
                  <w:tcW w:w="2056" w:type="dxa"/>
                  <w:tcBorders>
                    <w:tl2br w:val="nil"/>
                    <w:tr2bl w:val="nil"/>
                  </w:tcBorders>
                  <w:noWrap w:val="0"/>
                  <w:vAlign w:val="center"/>
                </w:tcPr>
                <w:p w14:paraId="1D92F92D">
                  <w:pPr>
                    <w:widowControl/>
                    <w:jc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余方</w:t>
                  </w:r>
                </w:p>
                <w:p w14:paraId="6079D35D">
                  <w:pPr>
                    <w:widowControl/>
                    <w:jc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（用于场地平整）</w:t>
                  </w:r>
                </w:p>
              </w:tc>
              <w:tc>
                <w:tcPr>
                  <w:tcW w:w="1408" w:type="dxa"/>
                  <w:tcBorders>
                    <w:tl2br w:val="nil"/>
                    <w:tr2bl w:val="nil"/>
                  </w:tcBorders>
                  <w:noWrap w:val="0"/>
                  <w:vAlign w:val="center"/>
                </w:tcPr>
                <w:p w14:paraId="71FBA440">
                  <w:pPr>
                    <w:widowControl/>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借方</w:t>
                  </w:r>
                </w:p>
              </w:tc>
            </w:tr>
            <w:tr w14:paraId="1C1C9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035" w:type="dxa"/>
                  <w:tcBorders>
                    <w:tl2br w:val="nil"/>
                    <w:tr2bl w:val="nil"/>
                  </w:tcBorders>
                  <w:noWrap w:val="0"/>
                  <w:vAlign w:val="center"/>
                </w:tcPr>
                <w:p w14:paraId="64218436">
                  <w:pPr>
                    <w:widowControl/>
                    <w:ind w:left="-94" w:leftChars="-45" w:right="-101" w:rightChars="-48"/>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风机基础</w:t>
                  </w:r>
                </w:p>
              </w:tc>
              <w:tc>
                <w:tcPr>
                  <w:tcW w:w="1518" w:type="dxa"/>
                  <w:tcBorders>
                    <w:tl2br w:val="nil"/>
                    <w:tr2bl w:val="nil"/>
                  </w:tcBorders>
                  <w:noWrap w:val="0"/>
                  <w:vAlign w:val="center"/>
                </w:tcPr>
                <w:p w14:paraId="5FDC666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15.2</w:t>
                  </w:r>
                </w:p>
              </w:tc>
              <w:tc>
                <w:tcPr>
                  <w:tcW w:w="1260" w:type="dxa"/>
                  <w:tcBorders>
                    <w:tl2br w:val="nil"/>
                    <w:tr2bl w:val="nil"/>
                  </w:tcBorders>
                  <w:noWrap w:val="0"/>
                  <w:vAlign w:val="center"/>
                </w:tcPr>
                <w:p w14:paraId="313E139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10.8</w:t>
                  </w:r>
                </w:p>
              </w:tc>
              <w:tc>
                <w:tcPr>
                  <w:tcW w:w="2056" w:type="dxa"/>
                  <w:tcBorders>
                    <w:tl2br w:val="nil"/>
                    <w:tr2bl w:val="nil"/>
                  </w:tcBorders>
                  <w:noWrap w:val="0"/>
                  <w:vAlign w:val="center"/>
                </w:tcPr>
                <w:p w14:paraId="5D345A48">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4.4</w:t>
                  </w:r>
                </w:p>
              </w:tc>
              <w:tc>
                <w:tcPr>
                  <w:tcW w:w="1408" w:type="dxa"/>
                  <w:tcBorders>
                    <w:tl2br w:val="nil"/>
                    <w:tr2bl w:val="nil"/>
                  </w:tcBorders>
                  <w:noWrap w:val="0"/>
                  <w:vAlign w:val="center"/>
                </w:tcPr>
                <w:p w14:paraId="224C995B">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w:t>
                  </w:r>
                </w:p>
              </w:tc>
            </w:tr>
            <w:tr w14:paraId="78E13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035" w:type="dxa"/>
                  <w:tcBorders>
                    <w:tl2br w:val="nil"/>
                    <w:tr2bl w:val="nil"/>
                  </w:tcBorders>
                  <w:noWrap w:val="0"/>
                  <w:vAlign w:val="center"/>
                </w:tcPr>
                <w:p w14:paraId="386208AF">
                  <w:pPr>
                    <w:widowControl/>
                    <w:ind w:left="-94" w:leftChars="-45" w:right="-101" w:rightChars="-48"/>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箱变基础</w:t>
                  </w:r>
                </w:p>
              </w:tc>
              <w:tc>
                <w:tcPr>
                  <w:tcW w:w="1518" w:type="dxa"/>
                  <w:tcBorders>
                    <w:tl2br w:val="nil"/>
                    <w:tr2bl w:val="nil"/>
                  </w:tcBorders>
                  <w:noWrap w:val="0"/>
                  <w:vAlign w:val="center"/>
                </w:tcPr>
                <w:p w14:paraId="1CD2362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0.68</w:t>
                  </w:r>
                </w:p>
              </w:tc>
              <w:tc>
                <w:tcPr>
                  <w:tcW w:w="1260" w:type="dxa"/>
                  <w:tcBorders>
                    <w:tl2br w:val="nil"/>
                    <w:tr2bl w:val="nil"/>
                  </w:tcBorders>
                  <w:noWrap w:val="0"/>
                  <w:vAlign w:val="center"/>
                </w:tcPr>
                <w:p w14:paraId="49D8013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0.42</w:t>
                  </w:r>
                </w:p>
              </w:tc>
              <w:tc>
                <w:tcPr>
                  <w:tcW w:w="2056" w:type="dxa"/>
                  <w:tcBorders>
                    <w:tl2br w:val="nil"/>
                    <w:tr2bl w:val="nil"/>
                  </w:tcBorders>
                  <w:noWrap w:val="0"/>
                  <w:vAlign w:val="center"/>
                </w:tcPr>
                <w:p w14:paraId="3CBA5C07">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0.26</w:t>
                  </w:r>
                </w:p>
              </w:tc>
              <w:tc>
                <w:tcPr>
                  <w:tcW w:w="1408" w:type="dxa"/>
                  <w:tcBorders>
                    <w:tl2br w:val="nil"/>
                    <w:tr2bl w:val="nil"/>
                  </w:tcBorders>
                  <w:noWrap w:val="0"/>
                  <w:vAlign w:val="center"/>
                </w:tcPr>
                <w:p w14:paraId="01022424">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0</w:t>
                  </w:r>
                </w:p>
              </w:tc>
            </w:tr>
            <w:tr w14:paraId="3A9F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035" w:type="dxa"/>
                  <w:tcBorders>
                    <w:tl2br w:val="nil"/>
                    <w:tr2bl w:val="nil"/>
                  </w:tcBorders>
                  <w:noWrap w:val="0"/>
                  <w:vAlign w:val="center"/>
                </w:tcPr>
                <w:p w14:paraId="39B517CB">
                  <w:pPr>
                    <w:widowControl/>
                    <w:ind w:left="-94" w:leftChars="-45" w:right="-101" w:rightChars="-48"/>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吊装平台</w:t>
                  </w:r>
                </w:p>
              </w:tc>
              <w:tc>
                <w:tcPr>
                  <w:tcW w:w="1518" w:type="dxa"/>
                  <w:tcBorders>
                    <w:tl2br w:val="nil"/>
                    <w:tr2bl w:val="nil"/>
                  </w:tcBorders>
                  <w:noWrap w:val="0"/>
                  <w:vAlign w:val="center"/>
                </w:tcPr>
                <w:p w14:paraId="3C866BB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24.5</w:t>
                  </w:r>
                </w:p>
              </w:tc>
              <w:tc>
                <w:tcPr>
                  <w:tcW w:w="1260" w:type="dxa"/>
                  <w:tcBorders>
                    <w:tl2br w:val="nil"/>
                    <w:tr2bl w:val="nil"/>
                  </w:tcBorders>
                  <w:noWrap w:val="0"/>
                  <w:vAlign w:val="center"/>
                </w:tcPr>
                <w:p w14:paraId="70D1D31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24.5</w:t>
                  </w:r>
                </w:p>
              </w:tc>
              <w:tc>
                <w:tcPr>
                  <w:tcW w:w="2056" w:type="dxa"/>
                  <w:tcBorders>
                    <w:tl2br w:val="nil"/>
                    <w:tr2bl w:val="nil"/>
                  </w:tcBorders>
                  <w:noWrap w:val="0"/>
                  <w:vAlign w:val="center"/>
                </w:tcPr>
                <w:p w14:paraId="20D51E2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1408" w:type="dxa"/>
                  <w:tcBorders>
                    <w:tl2br w:val="nil"/>
                    <w:tr2bl w:val="nil"/>
                  </w:tcBorders>
                  <w:noWrap w:val="0"/>
                  <w:vAlign w:val="center"/>
                </w:tcPr>
                <w:p w14:paraId="6C94D775">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0</w:t>
                  </w:r>
                </w:p>
              </w:tc>
            </w:tr>
            <w:tr w14:paraId="11BD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035" w:type="dxa"/>
                  <w:tcBorders>
                    <w:tl2br w:val="nil"/>
                    <w:tr2bl w:val="nil"/>
                  </w:tcBorders>
                  <w:noWrap w:val="0"/>
                  <w:vAlign w:val="center"/>
                </w:tcPr>
                <w:p w14:paraId="5E957E58">
                  <w:pPr>
                    <w:widowControl/>
                    <w:ind w:left="-94" w:leftChars="-45" w:right="-101" w:rightChars="-48"/>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道路工程</w:t>
                  </w:r>
                </w:p>
              </w:tc>
              <w:tc>
                <w:tcPr>
                  <w:tcW w:w="1518" w:type="dxa"/>
                  <w:tcBorders>
                    <w:tl2br w:val="nil"/>
                    <w:tr2bl w:val="nil"/>
                  </w:tcBorders>
                  <w:noWrap w:val="0"/>
                  <w:vAlign w:val="center"/>
                </w:tcPr>
                <w:p w14:paraId="0773CB3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18</w:t>
                  </w:r>
                </w:p>
              </w:tc>
              <w:tc>
                <w:tcPr>
                  <w:tcW w:w="1260" w:type="dxa"/>
                  <w:tcBorders>
                    <w:tl2br w:val="nil"/>
                    <w:tr2bl w:val="nil"/>
                  </w:tcBorders>
                  <w:noWrap w:val="0"/>
                  <w:vAlign w:val="center"/>
                </w:tcPr>
                <w:p w14:paraId="6F48E9D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18</w:t>
                  </w:r>
                </w:p>
              </w:tc>
              <w:tc>
                <w:tcPr>
                  <w:tcW w:w="2056" w:type="dxa"/>
                  <w:tcBorders>
                    <w:tl2br w:val="nil"/>
                    <w:tr2bl w:val="nil"/>
                  </w:tcBorders>
                  <w:noWrap w:val="0"/>
                  <w:vAlign w:val="center"/>
                </w:tcPr>
                <w:p w14:paraId="49FF711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1408" w:type="dxa"/>
                  <w:tcBorders>
                    <w:tl2br w:val="nil"/>
                    <w:tr2bl w:val="nil"/>
                  </w:tcBorders>
                  <w:noWrap w:val="0"/>
                  <w:vAlign w:val="center"/>
                </w:tcPr>
                <w:p w14:paraId="506CD7AB">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0</w:t>
                  </w:r>
                </w:p>
              </w:tc>
            </w:tr>
            <w:tr w14:paraId="38F8E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035" w:type="dxa"/>
                  <w:tcBorders>
                    <w:tl2br w:val="nil"/>
                    <w:tr2bl w:val="nil"/>
                  </w:tcBorders>
                  <w:noWrap w:val="0"/>
                  <w:vAlign w:val="center"/>
                </w:tcPr>
                <w:p w14:paraId="6C9D5775">
                  <w:pPr>
                    <w:widowControl/>
                    <w:ind w:left="-94" w:leftChars="-45" w:right="-101" w:rightChars="-48"/>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eastAsia="zh-CN"/>
                    </w:rPr>
                    <w:t>合计</w:t>
                  </w:r>
                </w:p>
              </w:tc>
              <w:tc>
                <w:tcPr>
                  <w:tcW w:w="1518" w:type="dxa"/>
                  <w:tcBorders>
                    <w:tl2br w:val="nil"/>
                    <w:tr2bl w:val="nil"/>
                  </w:tcBorders>
                  <w:noWrap w:val="0"/>
                  <w:vAlign w:val="center"/>
                </w:tcPr>
                <w:p w14:paraId="65EC536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58.38</w:t>
                  </w:r>
                </w:p>
              </w:tc>
              <w:tc>
                <w:tcPr>
                  <w:tcW w:w="1260" w:type="dxa"/>
                  <w:tcBorders>
                    <w:tl2br w:val="nil"/>
                    <w:tr2bl w:val="nil"/>
                  </w:tcBorders>
                  <w:noWrap w:val="0"/>
                  <w:vAlign w:val="center"/>
                </w:tcPr>
                <w:p w14:paraId="693A819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53.72</w:t>
                  </w:r>
                </w:p>
              </w:tc>
              <w:tc>
                <w:tcPr>
                  <w:tcW w:w="2056" w:type="dxa"/>
                  <w:tcBorders>
                    <w:tl2br w:val="nil"/>
                    <w:tr2bl w:val="nil"/>
                  </w:tcBorders>
                  <w:noWrap w:val="0"/>
                  <w:vAlign w:val="center"/>
                </w:tcPr>
                <w:p w14:paraId="238E94A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4.66</w:t>
                  </w:r>
                </w:p>
              </w:tc>
              <w:tc>
                <w:tcPr>
                  <w:tcW w:w="1408" w:type="dxa"/>
                  <w:tcBorders>
                    <w:tl2br w:val="nil"/>
                    <w:tr2bl w:val="nil"/>
                  </w:tcBorders>
                  <w:noWrap w:val="0"/>
                  <w:vAlign w:val="center"/>
                </w:tcPr>
                <w:p w14:paraId="5B43872A">
                  <w:pPr>
                    <w:keepNext w:val="0"/>
                    <w:keepLines w:val="0"/>
                    <w:widowControl/>
                    <w:suppressLineNumbers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w:t>
                  </w:r>
                </w:p>
              </w:tc>
            </w:tr>
          </w:tbl>
          <w:p w14:paraId="25C9C492">
            <w:pPr>
              <w:pStyle w:val="14"/>
              <w:pageBreakBefore w:val="0"/>
              <w:kinsoku/>
              <w:wordWrap/>
              <w:overflowPunct/>
              <w:bidi w:val="0"/>
              <w:adjustRightInd w:val="0"/>
              <w:snapToGrid w:val="0"/>
              <w:spacing w:after="0" w:line="360" w:lineRule="auto"/>
              <w:ind w:left="0" w:leftChars="0"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建筑垃圾主要包括施工过程中产生的渣土、废钢筋、各种废钢配件、金属管线废料、各种装饰材料的包装箱、包装袋等废弃物，产生建筑垃圾约为5t。项目施工中产生的建筑垃圾采用分类收集的方式进行收集，可再生利</w:t>
            </w:r>
            <w:r>
              <w:rPr>
                <w:rFonts w:hint="default" w:ascii="Times New Roman" w:hAnsi="Times New Roman" w:cs="Times New Roman"/>
                <w:color w:val="auto"/>
                <w:sz w:val="24"/>
                <w:lang w:eastAsia="zh-CN"/>
              </w:rPr>
              <w:t>用部</w:t>
            </w:r>
            <w:r>
              <w:rPr>
                <w:rFonts w:hint="default" w:ascii="Times New Roman" w:hAnsi="Times New Roman" w:eastAsia="宋体" w:cs="Times New Roman"/>
                <w:color w:val="auto"/>
                <w:sz w:val="24"/>
              </w:rPr>
              <w:t>分收集后出售，不可再生部分按照当地城市环境卫生管理部门要求办理相关手续，由建设单位进行合理清运处置。</w:t>
            </w:r>
          </w:p>
          <w:p w14:paraId="4370F5C1">
            <w:pPr>
              <w:pageBreakBefore w:val="0"/>
              <w:kinsoku/>
              <w:wordWrap/>
              <w:overflowPunct/>
              <w:bidi w:val="0"/>
              <w:spacing w:line="360" w:lineRule="auto"/>
              <w:ind w:left="0" w:leftChars="0" w:right="0" w:rightChars="0" w:firstLine="480"/>
              <w:rPr>
                <w:rFonts w:hint="default" w:ascii="Times New Roman" w:hAnsi="Times New Roman" w:eastAsia="宋体" w:cs="Times New Roman"/>
                <w:b/>
                <w:bCs/>
                <w:color w:val="auto"/>
                <w:sz w:val="24"/>
                <w:lang w:val="en-US" w:eastAsia="zh-CN"/>
              </w:rPr>
            </w:pPr>
            <w:r>
              <w:rPr>
                <w:rFonts w:hint="default" w:ascii="Times New Roman" w:hAnsi="Times New Roman" w:cs="Times New Roman"/>
                <w:b/>
                <w:bCs/>
                <w:color w:val="auto"/>
                <w:sz w:val="24"/>
                <w:lang w:val="en-US" w:eastAsia="zh-CN"/>
              </w:rPr>
              <w:t>5.2生活垃圾</w:t>
            </w:r>
          </w:p>
          <w:p w14:paraId="3ACFB61F">
            <w:pPr>
              <w:pageBreakBefore w:val="0"/>
              <w:kinsoku/>
              <w:wordWrap/>
              <w:overflowPunct/>
              <w:bidi w:val="0"/>
              <w:spacing w:line="360" w:lineRule="auto"/>
              <w:ind w:left="0" w:leftChars="0" w:right="0" w:rightChars="0" w:firstLine="48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施工人员所产生的生活垃圾量以施工期</w:t>
            </w:r>
            <w:r>
              <w:rPr>
                <w:rFonts w:hint="default" w:ascii="Times New Roman" w:hAnsi="Times New Roman" w:cs="Times New Roman"/>
                <w:color w:val="auto"/>
                <w:sz w:val="24"/>
                <w:lang w:val="en-US" w:eastAsia="zh-CN"/>
              </w:rPr>
              <w:t>10月</w:t>
            </w:r>
            <w:r>
              <w:rPr>
                <w:rFonts w:hint="default" w:ascii="Times New Roman" w:hAnsi="Times New Roman" w:eastAsia="宋体" w:cs="Times New Roman"/>
                <w:color w:val="auto"/>
                <w:sz w:val="24"/>
              </w:rPr>
              <w:t>，施工高峰期人数约</w:t>
            </w:r>
            <w:r>
              <w:rPr>
                <w:rFonts w:hint="default" w:ascii="Times New Roman" w:hAnsi="Times New Roman" w:cs="Times New Roman"/>
                <w:color w:val="auto"/>
                <w:sz w:val="24"/>
                <w:lang w:val="en-US" w:eastAsia="zh-CN"/>
              </w:rPr>
              <w:t>300</w:t>
            </w:r>
            <w:r>
              <w:rPr>
                <w:rFonts w:hint="default" w:ascii="Times New Roman" w:hAnsi="Times New Roman" w:eastAsia="宋体" w:cs="Times New Roman"/>
                <w:color w:val="auto"/>
                <w:sz w:val="24"/>
              </w:rPr>
              <w:t>人，排放系数取0.5kg/人·d计，则施工期间生活垃圾产生量约为</w:t>
            </w:r>
            <w:r>
              <w:rPr>
                <w:rFonts w:hint="default" w:ascii="Times New Roman" w:hAnsi="Times New Roman" w:cs="Times New Roman"/>
                <w:color w:val="auto"/>
                <w:sz w:val="24"/>
                <w:lang w:val="en-US" w:eastAsia="zh-CN"/>
              </w:rPr>
              <w:t>45</w:t>
            </w:r>
            <w:r>
              <w:rPr>
                <w:rFonts w:hint="default" w:ascii="Times New Roman" w:hAnsi="Times New Roman" w:eastAsia="宋体" w:cs="Times New Roman"/>
                <w:color w:val="auto"/>
                <w:sz w:val="24"/>
              </w:rPr>
              <w:t>t，收集后由环卫部门统一清运至</w:t>
            </w:r>
            <w:r>
              <w:rPr>
                <w:rFonts w:hint="default" w:ascii="Times New Roman" w:hAnsi="Times New Roman" w:cs="Times New Roman"/>
                <w:color w:val="auto"/>
                <w:sz w:val="24"/>
                <w:lang w:eastAsia="zh-CN"/>
              </w:rPr>
              <w:t>新疆昌吉回族自治州木垒哈萨克自治县境内</w:t>
            </w:r>
            <w:r>
              <w:rPr>
                <w:rFonts w:hint="default" w:ascii="Times New Roman" w:hAnsi="Times New Roman" w:eastAsia="宋体" w:cs="Times New Roman"/>
                <w:color w:val="auto"/>
                <w:sz w:val="24"/>
                <w:lang w:eastAsia="zh-CN"/>
              </w:rPr>
              <w:t>生活垃圾填埋场</w:t>
            </w:r>
            <w:r>
              <w:rPr>
                <w:rFonts w:hint="default" w:ascii="Times New Roman" w:hAnsi="Times New Roman" w:eastAsia="宋体" w:cs="Times New Roman"/>
                <w:color w:val="auto"/>
                <w:sz w:val="24"/>
              </w:rPr>
              <w:t>填埋处理。</w:t>
            </w:r>
          </w:p>
          <w:p w14:paraId="1DA0BE2E">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color w:val="auto"/>
                <w:sz w:val="24"/>
              </w:rPr>
              <w:t>综上所述，本项目</w:t>
            </w:r>
            <w:r>
              <w:rPr>
                <w:rFonts w:hint="default" w:ascii="Times New Roman" w:hAnsi="Times New Roman" w:cs="Times New Roman"/>
                <w:color w:val="auto"/>
                <w:sz w:val="24"/>
                <w:lang w:eastAsia="zh-CN"/>
              </w:rPr>
              <w:t>固体废弃物</w:t>
            </w:r>
            <w:r>
              <w:rPr>
                <w:rFonts w:hint="default" w:ascii="Times New Roman" w:hAnsi="Times New Roman" w:eastAsia="宋体" w:cs="Times New Roman"/>
                <w:color w:val="auto"/>
                <w:sz w:val="24"/>
              </w:rPr>
              <w:t>得到合理</w:t>
            </w:r>
            <w:r>
              <w:rPr>
                <w:rFonts w:hint="default" w:ascii="Times New Roman" w:hAnsi="Times New Roman" w:cs="Times New Roman"/>
                <w:color w:val="auto"/>
                <w:sz w:val="24"/>
                <w:lang w:eastAsia="zh-CN"/>
              </w:rPr>
              <w:t>地</w:t>
            </w:r>
            <w:r>
              <w:rPr>
                <w:rFonts w:hint="default" w:ascii="Times New Roman" w:hAnsi="Times New Roman" w:eastAsia="宋体" w:cs="Times New Roman"/>
                <w:color w:val="auto"/>
                <w:sz w:val="24"/>
              </w:rPr>
              <w:t>处置，不会对周围环境产生太大的影响。</w:t>
            </w:r>
          </w:p>
        </w:tc>
      </w:tr>
      <w:tr w14:paraId="1728AD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56" w:hRule="atLeast"/>
          <w:jc w:val="center"/>
        </w:trPr>
        <w:tc>
          <w:tcPr>
            <w:tcW w:w="647" w:type="dxa"/>
            <w:noWrap w:val="0"/>
            <w:tcMar>
              <w:left w:w="28" w:type="dxa"/>
              <w:right w:w="28" w:type="dxa"/>
            </w:tcMar>
            <w:vAlign w:val="center"/>
          </w:tcPr>
          <w:p w14:paraId="466A17D4">
            <w:pPr>
              <w:bidi w:val="0"/>
              <w:rPr>
                <w:rFonts w:hint="default" w:ascii="Times New Roman" w:hAnsi="Times New Roman" w:cs="Times New Roman"/>
                <w:color w:val="auto"/>
                <w:lang w:val="en-US" w:eastAsia="zh-CN"/>
              </w:rPr>
            </w:pPr>
          </w:p>
          <w:p w14:paraId="462FB30F">
            <w:pPr>
              <w:bidi w:val="0"/>
              <w:rPr>
                <w:rFonts w:hint="default" w:ascii="Times New Roman" w:hAnsi="Times New Roman" w:cs="Times New Roman"/>
                <w:color w:val="auto"/>
                <w:lang w:val="en-US" w:eastAsia="zh-CN"/>
              </w:rPr>
            </w:pPr>
            <w:r>
              <w:rPr>
                <w:rFonts w:hint="default" w:ascii="Times New Roman" w:hAnsi="Times New Roman" w:cs="Times New Roman"/>
                <w:color w:val="auto"/>
                <w:sz w:val="24"/>
                <w:szCs w:val="32"/>
                <w:lang w:val="en-US" w:eastAsia="zh-CN"/>
              </w:rPr>
              <w:t>运营期生态环境影响分析</w:t>
            </w:r>
          </w:p>
        </w:tc>
        <w:tc>
          <w:tcPr>
            <w:tcW w:w="8595" w:type="dxa"/>
            <w:noWrap w:val="0"/>
            <w:vAlign w:val="top"/>
          </w:tcPr>
          <w:p w14:paraId="0ED82EB1">
            <w:pPr>
              <w:pageBreakBefore w:val="0"/>
              <w:kinsoku/>
              <w:wordWrap/>
              <w:overflowPunct/>
              <w:bidi w:val="0"/>
              <w:spacing w:line="360" w:lineRule="auto"/>
              <w:ind w:left="0" w:leftChars="0" w:right="0" w:rightChars="0" w:firstLine="480"/>
              <w:rPr>
                <w:rFonts w:hint="default" w:ascii="Times New Roman" w:hAnsi="Times New Roman" w:eastAsia="宋体" w:cs="Times New Roman"/>
                <w:b/>
                <w:bCs/>
                <w:color w:val="auto"/>
                <w:sz w:val="24"/>
                <w:lang w:eastAsia="zh-CN"/>
              </w:rPr>
            </w:pPr>
            <w:r>
              <w:rPr>
                <w:rFonts w:hint="default" w:ascii="Times New Roman" w:hAnsi="Times New Roman" w:cs="Times New Roman"/>
                <w:b/>
                <w:bCs/>
                <w:color w:val="auto"/>
                <w:lang w:val="en-US" w:eastAsia="zh-CN"/>
              </w:rPr>
              <w:t>1</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lang w:eastAsia="zh-CN"/>
              </w:rPr>
              <w:t>大气、</w:t>
            </w:r>
            <w:r>
              <w:rPr>
                <w:rFonts w:hint="default" w:ascii="Times New Roman" w:hAnsi="Times New Roman" w:eastAsia="宋体" w:cs="Times New Roman"/>
                <w:b/>
                <w:bCs/>
                <w:color w:val="auto"/>
                <w:sz w:val="24"/>
                <w:lang w:val="en-US" w:eastAsia="zh-CN"/>
              </w:rPr>
              <w:t>水</w:t>
            </w:r>
            <w:r>
              <w:rPr>
                <w:rFonts w:hint="default" w:ascii="Times New Roman" w:hAnsi="Times New Roman" w:eastAsia="宋体" w:cs="Times New Roman"/>
                <w:b/>
                <w:bCs/>
                <w:color w:val="auto"/>
                <w:sz w:val="24"/>
                <w:lang w:eastAsia="zh-CN"/>
              </w:rPr>
              <w:t>环境影响分析</w:t>
            </w:r>
          </w:p>
          <w:p w14:paraId="50A9AE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lang w:eastAsia="zh-CN"/>
              </w:rPr>
              <w:t>本项目</w:t>
            </w:r>
            <w:r>
              <w:rPr>
                <w:rFonts w:hint="default" w:ascii="Times New Roman" w:hAnsi="Times New Roman" w:cs="Times New Roman"/>
                <w:color w:val="auto"/>
                <w:sz w:val="24"/>
                <w:lang w:val="en-US" w:eastAsia="zh-CN"/>
              </w:rPr>
              <w:t>风电</w:t>
            </w:r>
            <w:r>
              <w:rPr>
                <w:rFonts w:hint="default" w:ascii="Times New Roman" w:hAnsi="Times New Roman" w:eastAsia="宋体" w:cs="Times New Roman"/>
                <w:color w:val="auto"/>
                <w:sz w:val="24"/>
                <w:lang w:eastAsia="zh-CN"/>
              </w:rPr>
              <w:t>是清洁能源，</w:t>
            </w:r>
            <w:r>
              <w:rPr>
                <w:rFonts w:hint="default" w:ascii="Times New Roman" w:hAnsi="Times New Roman" w:eastAsia="宋体" w:cs="Times New Roman"/>
                <w:color w:val="auto"/>
                <w:sz w:val="24"/>
                <w:lang w:val="en-US" w:eastAsia="zh-CN"/>
              </w:rPr>
              <w:t>风</w:t>
            </w:r>
            <w:r>
              <w:rPr>
                <w:rFonts w:hint="default" w:ascii="Times New Roman" w:hAnsi="Times New Roman" w:eastAsia="宋体" w:cs="Times New Roman"/>
                <w:color w:val="auto"/>
                <w:sz w:val="24"/>
                <w:lang w:eastAsia="zh-CN"/>
              </w:rPr>
              <w:t>电场项目建成投运后，在运营期电场区无废气</w:t>
            </w:r>
            <w:r>
              <w:rPr>
                <w:rFonts w:hint="default" w:ascii="Times New Roman" w:hAnsi="Times New Roman" w:eastAsia="宋体" w:cs="Times New Roman"/>
                <w:color w:val="auto"/>
                <w:sz w:val="24"/>
                <w:lang w:val="en-US" w:eastAsia="zh-CN"/>
              </w:rPr>
              <w:t>和废水的</w:t>
            </w:r>
            <w:r>
              <w:rPr>
                <w:rFonts w:hint="default" w:ascii="Times New Roman" w:hAnsi="Times New Roman" w:eastAsia="宋体" w:cs="Times New Roman"/>
                <w:color w:val="auto"/>
                <w:sz w:val="24"/>
                <w:lang w:eastAsia="zh-CN"/>
              </w:rPr>
              <w:t>产生，对空气、</w:t>
            </w:r>
            <w:r>
              <w:rPr>
                <w:rFonts w:hint="default" w:ascii="Times New Roman" w:hAnsi="Times New Roman" w:eastAsia="宋体" w:cs="Times New Roman"/>
                <w:color w:val="auto"/>
                <w:sz w:val="24"/>
                <w:lang w:val="en-US" w:eastAsia="zh-CN"/>
              </w:rPr>
              <w:t>水</w:t>
            </w:r>
            <w:r>
              <w:rPr>
                <w:rFonts w:hint="default" w:ascii="Times New Roman" w:hAnsi="Times New Roman" w:eastAsia="宋体" w:cs="Times New Roman"/>
                <w:color w:val="auto"/>
                <w:sz w:val="24"/>
                <w:lang w:eastAsia="zh-CN"/>
              </w:rPr>
              <w:t>环境质量无影响。</w:t>
            </w:r>
          </w:p>
          <w:p w14:paraId="7FA6D71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color w:val="auto"/>
                <w:sz w:val="24"/>
                <w:szCs w:val="32"/>
              </w:rPr>
            </w:pPr>
            <w:r>
              <w:rPr>
                <w:rFonts w:hint="default" w:ascii="Times New Roman" w:hAnsi="Times New Roman" w:cs="Times New Roman"/>
                <w:b/>
                <w:bCs/>
                <w:color w:val="auto"/>
                <w:sz w:val="24"/>
                <w:szCs w:val="32"/>
                <w:lang w:val="en-US" w:eastAsia="zh-CN"/>
              </w:rPr>
              <w:t>2、</w:t>
            </w:r>
            <w:r>
              <w:rPr>
                <w:rFonts w:hint="default" w:ascii="Times New Roman" w:hAnsi="Times New Roman" w:cs="Times New Roman"/>
                <w:b/>
                <w:bCs/>
                <w:color w:val="auto"/>
                <w:sz w:val="24"/>
                <w:szCs w:val="32"/>
              </w:rPr>
              <w:t>声环境影响分析</w:t>
            </w:r>
          </w:p>
          <w:p w14:paraId="691E0834">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auto"/>
                <w:sz w:val="24"/>
                <w:szCs w:val="24"/>
                <w:lang w:val="zh-CN"/>
              </w:rPr>
            </w:pPr>
            <w:r>
              <w:rPr>
                <w:rFonts w:hint="default" w:ascii="Times New Roman" w:hAnsi="Times New Roman" w:eastAsia="宋体" w:cs="Times New Roman"/>
                <w:color w:val="auto"/>
                <w:sz w:val="24"/>
                <w:szCs w:val="24"/>
                <w:lang w:val="zh-CN"/>
              </w:rPr>
              <w:t>（1）风机噪声影响预测</w:t>
            </w:r>
          </w:p>
          <w:p w14:paraId="2099D62F">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auto"/>
                <w:sz w:val="24"/>
                <w:szCs w:val="24"/>
                <w:lang w:val="zh-CN"/>
              </w:rPr>
            </w:pPr>
            <w:r>
              <w:rPr>
                <w:rFonts w:hint="default" w:ascii="Times New Roman" w:hAnsi="Times New Roman" w:eastAsia="宋体" w:cs="Times New Roman"/>
                <w:color w:val="auto"/>
                <w:sz w:val="24"/>
                <w:szCs w:val="24"/>
                <w:lang w:val="zh-CN"/>
              </w:rPr>
              <w:t>①风电机组噪声分为机械噪声和空气动力学噪声。机械噪声主要来源于电机、齿轮、轴承等主要机械部件在运转过程中相互碰撞摩擦产生振动，这些声源都在风电机机舱内部，且厂商在制造时就采取了选用隔音防震型、变速齿轮箱等减噪型装置。风电机组的噪声主要来源于空气动力学噪声，即旋转的风机叶片和空气的摩擦声。根据</w:t>
            </w:r>
            <w:r>
              <w:rPr>
                <w:rFonts w:hint="default" w:ascii="Times New Roman" w:hAnsi="Times New Roman" w:cs="Times New Roman"/>
                <w:color w:val="auto"/>
                <w:sz w:val="24"/>
                <w:szCs w:val="32"/>
                <w:lang w:val="en-US" w:eastAsia="zh-CN"/>
              </w:rPr>
              <w:t>风机厂家提供的产品说明书，在10m高度风速为10m/s时的标准状态下，机组运行时轮毂处噪声约109dB(A</w:t>
            </w:r>
            <w:r>
              <w:rPr>
                <w:rFonts w:hint="default" w:ascii="Times New Roman" w:hAnsi="Times New Roman" w:cs="Times New Roman"/>
                <w:color w:val="auto"/>
                <w:sz w:val="24"/>
                <w:szCs w:val="32"/>
                <w:lang w:val="en-US" w:eastAsia="zh-CN"/>
              </w:rPr>
              <w:t>）</w:t>
            </w:r>
            <w:r>
              <w:rPr>
                <w:rFonts w:hint="default" w:ascii="Times New Roman" w:hAnsi="Times New Roman" w:cs="Times New Roman"/>
                <w:color w:val="auto"/>
                <w:sz w:val="24"/>
                <w:szCs w:val="32"/>
                <w:lang w:val="en-US" w:eastAsia="zh-CN"/>
              </w:rPr>
              <w:t>。</w:t>
            </w:r>
            <w:r>
              <w:rPr>
                <w:rFonts w:hint="default" w:ascii="Times New Roman" w:hAnsi="Times New Roman" w:eastAsia="宋体" w:cs="Times New Roman"/>
                <w:color w:val="auto"/>
                <w:sz w:val="24"/>
                <w:szCs w:val="24"/>
                <w:lang w:val="zh-CN"/>
              </w:rPr>
              <w:t>，本次环评预测时取单机噪声源强为10</w:t>
            </w:r>
            <w:r>
              <w:rPr>
                <w:rFonts w:hint="default" w:ascii="Times New Roman" w:hAnsi="Times New Roman" w:eastAsia="宋体" w:cs="Times New Roman"/>
                <w:color w:val="auto"/>
                <w:sz w:val="24"/>
                <w:szCs w:val="24"/>
                <w:lang w:val="en-US" w:eastAsia="zh-CN"/>
              </w:rPr>
              <w:t>9</w:t>
            </w:r>
            <w:r>
              <w:rPr>
                <w:rFonts w:hint="default" w:ascii="Times New Roman" w:hAnsi="Times New Roman" w:eastAsia="宋体" w:cs="Times New Roman"/>
                <w:color w:val="auto"/>
                <w:sz w:val="24"/>
                <w:szCs w:val="24"/>
                <w:lang w:val="zh-CN"/>
              </w:rPr>
              <w:t>dB（A）。</w:t>
            </w:r>
          </w:p>
          <w:p w14:paraId="0E1A3DF8">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②计算方案及模型</w:t>
            </w:r>
          </w:p>
          <w:p w14:paraId="107B833A">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A.</w:t>
            </w:r>
            <w:r>
              <w:rPr>
                <w:rFonts w:hint="default" w:ascii="Times New Roman" w:hAnsi="Times New Roman" w:cs="Times New Roman"/>
                <w:color w:val="auto"/>
                <w:sz w:val="24"/>
                <w:szCs w:val="24"/>
                <w:lang w:val="en-US" w:eastAsia="zh-CN"/>
              </w:rPr>
              <w:t>风电</w:t>
            </w:r>
            <w:r>
              <w:rPr>
                <w:rFonts w:hint="default" w:ascii="Times New Roman" w:hAnsi="Times New Roman" w:eastAsia="宋体" w:cs="Times New Roman"/>
                <w:color w:val="auto"/>
                <w:sz w:val="24"/>
                <w:szCs w:val="24"/>
                <w:lang w:val="en-US" w:eastAsia="zh-CN"/>
              </w:rPr>
              <w:t>机组</w:t>
            </w:r>
          </w:p>
          <w:p w14:paraId="1EC04FC7">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a风电场运行期的噪声影响又分为单机影响和机群影响。本项目风力发电机机群的排列是根据测风塔所测得当地风场参数确定，风机分布间距为不小于3.5D-546m（D为风机直径195m）。由于风机之间距离较远，相互之间的影响可以忽略，因此，环评预测主要考虑单机噪声源影响，不考虑风机群的噪声影响。</w:t>
            </w:r>
          </w:p>
          <w:p w14:paraId="1EE8CA79">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b由于风机所在机位四周地形开阔，风机高度较高（风机配套轮载距地面高度为107m），因此不考虑地面植被等引起的噪声衰减、传播中建筑物的阻挡、地面反射作用及空气吸收、雨、雪、温度等影响。</w:t>
            </w:r>
          </w:p>
          <w:p w14:paraId="3FE4E145">
            <w:pPr>
              <w:adjustRightInd w:val="0"/>
              <w:snapToGrid w:val="0"/>
              <w:spacing w:line="360" w:lineRule="auto"/>
              <w:ind w:firstLine="480" w:firstLineChars="200"/>
              <w:rPr>
                <w:rFonts w:hint="default" w:ascii="Times New Roman" w:hAnsi="Times New Roman" w:eastAsia="宋体" w:cs="Times New Roman"/>
                <w:color w:val="auto"/>
                <w:kern w:val="0"/>
                <w:sz w:val="24"/>
                <w:szCs w:val="24"/>
                <w:lang w:eastAsia="zh-CN"/>
              </w:rPr>
            </w:pPr>
            <w:r>
              <w:rPr>
                <w:rFonts w:hint="default" w:ascii="Times New Roman" w:hAnsi="Times New Roman" w:eastAsia="宋体" w:cs="Times New Roman"/>
                <w:color w:val="auto"/>
                <w:sz w:val="24"/>
                <w:szCs w:val="24"/>
                <w:lang w:val="en-US" w:eastAsia="zh-CN"/>
              </w:rPr>
              <w:t>c</w:t>
            </w:r>
            <w:r>
              <w:rPr>
                <w:rFonts w:hint="default" w:ascii="Times New Roman" w:hAnsi="Times New Roman" w:eastAsia="宋体" w:cs="Times New Roman"/>
                <w:snapToGrid w:val="0"/>
                <w:color w:val="auto"/>
                <w:kern w:val="0"/>
                <w:sz w:val="24"/>
              </w:rPr>
              <w:t>参照声环境技术导则“8.3.2.3</w:t>
            </w:r>
            <w:r>
              <w:rPr>
                <w:rFonts w:hint="default" w:ascii="Times New Roman" w:hAnsi="Times New Roman" w:cs="Times New Roman"/>
                <w:color w:val="auto"/>
                <w:kern w:val="0"/>
                <w:sz w:val="24"/>
                <w:szCs w:val="24"/>
              </w:rPr>
              <w:t>噪声预测采用自由声场点声源几何发散衰减模式预测距</w:t>
            </w:r>
            <w:r>
              <w:rPr>
                <w:rFonts w:hint="default" w:ascii="Times New Roman" w:hAnsi="Times New Roman" w:cs="Times New Roman"/>
                <w:color w:val="auto"/>
                <w:kern w:val="0"/>
                <w:sz w:val="24"/>
                <w:szCs w:val="24"/>
                <w:lang w:eastAsia="zh-CN"/>
              </w:rPr>
              <w:t>声源</w:t>
            </w:r>
            <w:r>
              <w:rPr>
                <w:rFonts w:hint="default" w:ascii="Times New Roman" w:hAnsi="Times New Roman" w:cs="Times New Roman"/>
                <w:color w:val="auto"/>
                <w:kern w:val="0"/>
                <w:sz w:val="24"/>
                <w:szCs w:val="24"/>
              </w:rPr>
              <w:t>不同距离处的噪声值</w:t>
            </w:r>
            <w:r>
              <w:rPr>
                <w:rFonts w:hint="default" w:ascii="Times New Roman" w:hAnsi="Times New Roman" w:cs="Times New Roman"/>
                <w:color w:val="auto"/>
                <w:kern w:val="0"/>
                <w:sz w:val="24"/>
                <w:szCs w:val="24"/>
                <w:lang w:eastAsia="zh-CN"/>
              </w:rPr>
              <w:t>。</w:t>
            </w:r>
          </w:p>
          <w:p w14:paraId="18EADE7A">
            <w:pPr>
              <w:adjustRightInd w:val="0"/>
              <w:snapToGrid w:val="0"/>
              <w:spacing w:line="360" w:lineRule="auto"/>
              <w:ind w:firstLine="480" w:firstLineChars="200"/>
              <w:rPr>
                <w:rFonts w:hint="default" w:ascii="Times New Roman" w:hAnsi="Times New Roman" w:cs="Times New Roman"/>
                <w:snapToGrid w:val="0"/>
                <w:color w:val="auto"/>
                <w:kern w:val="0"/>
                <w:sz w:val="24"/>
              </w:rPr>
            </w:pPr>
            <w:r>
              <w:rPr>
                <w:rFonts w:hint="default" w:ascii="Times New Roman" w:hAnsi="Times New Roman" w:cs="Times New Roman"/>
                <w:color w:val="auto"/>
                <w:kern w:val="0"/>
                <w:sz w:val="24"/>
                <w:szCs w:val="24"/>
              </w:rPr>
              <w:t>点声源衰减公式为：</w:t>
            </w:r>
          </w:p>
          <w:p w14:paraId="686344E6">
            <w:pPr>
              <w:autoSpaceDE w:val="0"/>
              <w:autoSpaceDN w:val="0"/>
              <w:adjustRightInd w:val="0"/>
              <w:spacing w:line="360" w:lineRule="auto"/>
              <w:jc w:val="center"/>
              <w:rPr>
                <w:rFonts w:hint="default" w:ascii="Times New Roman" w:hAnsi="Times New Roman" w:eastAsia="宋体" w:cs="Times New Roman"/>
                <w:color w:val="auto"/>
                <w:sz w:val="24"/>
                <w:szCs w:val="24"/>
                <w:lang w:val="en-US" w:eastAsia="zh-CN"/>
              </w:rPr>
            </w:pPr>
            <w:r>
              <w:rPr>
                <w:rFonts w:hint="default" w:ascii="Times New Roman" w:hAnsi="Times New Roman" w:cs="Times New Roman"/>
                <w:snapToGrid w:val="0"/>
                <w:color w:val="auto"/>
                <w:kern w:val="0"/>
                <w:sz w:val="24"/>
              </w:rPr>
              <w:t>L</w:t>
            </w:r>
            <w:r>
              <w:rPr>
                <w:rFonts w:hint="default" w:ascii="Times New Roman" w:hAnsi="Times New Roman" w:cs="Times New Roman"/>
                <w:snapToGrid w:val="0"/>
                <w:color w:val="auto"/>
                <w:kern w:val="0"/>
                <w:sz w:val="24"/>
                <w:vertAlign w:val="subscript"/>
              </w:rPr>
              <w:t>A</w:t>
            </w:r>
            <w:r>
              <w:rPr>
                <w:rFonts w:hint="default" w:ascii="Times New Roman" w:hAnsi="Times New Roman" w:cs="Times New Roman"/>
                <w:snapToGrid w:val="0"/>
                <w:color w:val="auto"/>
                <w:kern w:val="0"/>
                <w:sz w:val="24"/>
              </w:rPr>
              <w:t>(r)＝L</w:t>
            </w:r>
            <w:r>
              <w:rPr>
                <w:rFonts w:hint="default" w:ascii="Times New Roman" w:hAnsi="Times New Roman" w:cs="Times New Roman"/>
                <w:snapToGrid w:val="0"/>
                <w:color w:val="auto"/>
                <w:kern w:val="0"/>
                <w:sz w:val="24"/>
                <w:vertAlign w:val="subscript"/>
              </w:rPr>
              <w:t>WA</w:t>
            </w:r>
            <w:r>
              <w:rPr>
                <w:rFonts w:hint="default" w:ascii="Times New Roman" w:hAnsi="Times New Roman" w:cs="Times New Roman"/>
                <w:snapToGrid w:val="0"/>
                <w:color w:val="auto"/>
                <w:kern w:val="0"/>
                <w:sz w:val="24"/>
              </w:rPr>
              <w:t>－20lgr－</w:t>
            </w:r>
            <w:r>
              <w:rPr>
                <w:rFonts w:hint="default" w:ascii="Times New Roman" w:hAnsi="Times New Roman" w:cs="Times New Roman"/>
                <w:snapToGrid w:val="0"/>
                <w:color w:val="auto"/>
                <w:kern w:val="0"/>
                <w:sz w:val="24"/>
                <w:lang w:val="en-US" w:eastAsia="zh-CN"/>
              </w:rPr>
              <w:t>11</w:t>
            </w:r>
          </w:p>
          <w:p w14:paraId="6E6FCA31">
            <w:pPr>
              <w:autoSpaceDE w:val="0"/>
              <w:autoSpaceDN w:val="0"/>
              <w:adjustRightInd w:val="0"/>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式中，L</w:t>
            </w:r>
            <w:r>
              <w:rPr>
                <w:rFonts w:hint="default" w:ascii="Times New Roman" w:hAnsi="Times New Roman" w:cs="Times New Roman"/>
                <w:color w:val="auto"/>
                <w:sz w:val="24"/>
                <w:szCs w:val="24"/>
                <w:vertAlign w:val="subscript"/>
              </w:rPr>
              <w:t>WA</w:t>
            </w:r>
            <w:r>
              <w:rPr>
                <w:rFonts w:hint="default" w:ascii="Times New Roman" w:hAnsi="Times New Roman" w:cs="Times New Roman"/>
                <w:color w:val="auto"/>
                <w:sz w:val="24"/>
                <w:szCs w:val="24"/>
              </w:rPr>
              <w:t>：点声源的A声功率级值，dB(A</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w:t>
            </w:r>
          </w:p>
          <w:p w14:paraId="420FC5D3">
            <w:pPr>
              <w:autoSpaceDE w:val="0"/>
              <w:autoSpaceDN w:val="0"/>
              <w:adjustRightInd w:val="0"/>
              <w:spacing w:line="360" w:lineRule="auto"/>
              <w:ind w:firstLine="1080" w:firstLineChars="45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L</w:t>
            </w:r>
            <w:r>
              <w:rPr>
                <w:rFonts w:hint="default" w:ascii="Times New Roman" w:hAnsi="Times New Roman" w:cs="Times New Roman"/>
                <w:color w:val="auto"/>
                <w:sz w:val="24"/>
                <w:szCs w:val="24"/>
                <w:vertAlign w:val="subscript"/>
              </w:rPr>
              <w:t>A</w:t>
            </w:r>
            <w:r>
              <w:rPr>
                <w:rFonts w:hint="default" w:ascii="Times New Roman" w:hAnsi="Times New Roman" w:cs="Times New Roman"/>
                <w:color w:val="auto"/>
                <w:sz w:val="24"/>
                <w:szCs w:val="24"/>
              </w:rPr>
              <w:t>(r</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：距声源r处的声级，dB(A</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w:t>
            </w:r>
          </w:p>
          <w:p w14:paraId="7F619AFB">
            <w:pPr>
              <w:spacing w:line="360" w:lineRule="auto"/>
              <w:ind w:firstLine="480" w:firstLineChars="200"/>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单个风机噪声衰减预测结果见表</w:t>
            </w:r>
            <w:r>
              <w:rPr>
                <w:rFonts w:hint="default" w:ascii="Times New Roman" w:hAnsi="Times New Roman" w:cs="Times New Roman"/>
                <w:color w:val="auto"/>
                <w:kern w:val="0"/>
                <w:sz w:val="24"/>
                <w:szCs w:val="24"/>
                <w:lang w:val="en-US" w:eastAsia="zh-CN"/>
              </w:rPr>
              <w:t>4</w:t>
            </w:r>
            <w:r>
              <w:rPr>
                <w:rFonts w:hint="default" w:ascii="Times New Roman" w:hAnsi="Times New Roman" w:cs="Times New Roman"/>
                <w:color w:val="auto"/>
                <w:kern w:val="0"/>
                <w:sz w:val="24"/>
                <w:szCs w:val="24"/>
              </w:rPr>
              <w:t>-</w:t>
            </w:r>
            <w:r>
              <w:rPr>
                <w:rFonts w:hint="default" w:ascii="Times New Roman" w:hAnsi="Times New Roman" w:cs="Times New Roman"/>
                <w:color w:val="auto"/>
                <w:kern w:val="0"/>
                <w:sz w:val="24"/>
                <w:szCs w:val="24"/>
                <w:lang w:val="en-US" w:eastAsia="zh-CN"/>
              </w:rPr>
              <w:t>6</w:t>
            </w:r>
            <w:r>
              <w:rPr>
                <w:rFonts w:hint="default" w:ascii="Times New Roman" w:hAnsi="Times New Roman" w:cs="Times New Roman"/>
                <w:color w:val="auto"/>
                <w:kern w:val="0"/>
                <w:sz w:val="24"/>
                <w:szCs w:val="24"/>
              </w:rPr>
              <w:t>。</w:t>
            </w:r>
          </w:p>
          <w:p w14:paraId="778A7F03">
            <w:pPr>
              <w:autoSpaceDE w:val="0"/>
              <w:autoSpaceDN w:val="0"/>
              <w:adjustRightInd w:val="0"/>
              <w:spacing w:line="300" w:lineRule="auto"/>
              <w:jc w:val="center"/>
              <w:rPr>
                <w:rFonts w:hint="default" w:ascii="Times New Roman" w:hAnsi="Times New Roman" w:cs="Times New Roman"/>
                <w:b/>
                <w:bCs/>
                <w:color w:val="auto"/>
                <w:u w:val="none"/>
              </w:rPr>
            </w:pPr>
            <w:r>
              <w:rPr>
                <w:rFonts w:hint="default" w:ascii="Times New Roman" w:hAnsi="Times New Roman" w:cs="Times New Roman"/>
                <w:b/>
                <w:bCs/>
                <w:color w:val="auto"/>
                <w:u w:val="none"/>
              </w:rPr>
              <w:t>表</w:t>
            </w:r>
            <w:r>
              <w:rPr>
                <w:rFonts w:hint="default" w:ascii="Times New Roman" w:hAnsi="Times New Roman" w:cs="Times New Roman"/>
                <w:b/>
                <w:bCs/>
                <w:color w:val="auto"/>
                <w:u w:val="none"/>
                <w:lang w:val="en-US" w:eastAsia="zh-CN"/>
              </w:rPr>
              <w:t>4</w:t>
            </w:r>
            <w:r>
              <w:rPr>
                <w:rFonts w:hint="default" w:ascii="Times New Roman" w:hAnsi="Times New Roman" w:cs="Times New Roman"/>
                <w:b/>
                <w:bCs/>
                <w:color w:val="auto"/>
                <w:u w:val="none"/>
              </w:rPr>
              <w:t>-</w:t>
            </w:r>
            <w:r>
              <w:rPr>
                <w:rFonts w:hint="default" w:ascii="Times New Roman" w:hAnsi="Times New Roman" w:cs="Times New Roman"/>
                <w:b/>
                <w:bCs/>
                <w:color w:val="auto"/>
                <w:u w:val="none"/>
                <w:lang w:val="en-US" w:eastAsia="zh-CN"/>
              </w:rPr>
              <w:t>6</w:t>
            </w:r>
            <w:r>
              <w:rPr>
                <w:rFonts w:hint="default" w:ascii="Times New Roman" w:hAnsi="Times New Roman" w:cs="Times New Roman"/>
                <w:b/>
                <w:bCs/>
                <w:color w:val="auto"/>
                <w:u w:val="none"/>
              </w:rPr>
              <w:t>单个风机噪声衰减计算结果</w:t>
            </w:r>
          </w:p>
          <w:tbl>
            <w:tblPr>
              <w:tblStyle w:val="22"/>
              <w:tblW w:w="8354" w:type="dxa"/>
              <w:tblInd w:w="0" w:type="dxa"/>
              <w:tblLayout w:type="autofit"/>
              <w:tblCellMar>
                <w:top w:w="0" w:type="dxa"/>
                <w:left w:w="108" w:type="dxa"/>
                <w:bottom w:w="0" w:type="dxa"/>
                <w:right w:w="108" w:type="dxa"/>
              </w:tblCellMar>
            </w:tblPr>
            <w:tblGrid>
              <w:gridCol w:w="1638"/>
              <w:gridCol w:w="842"/>
              <w:gridCol w:w="839"/>
              <w:gridCol w:w="839"/>
              <w:gridCol w:w="842"/>
              <w:gridCol w:w="839"/>
              <w:gridCol w:w="839"/>
              <w:gridCol w:w="839"/>
              <w:gridCol w:w="837"/>
            </w:tblGrid>
            <w:tr w14:paraId="7A1A4B4B">
              <w:tblPrEx>
                <w:tblCellMar>
                  <w:top w:w="0" w:type="dxa"/>
                  <w:left w:w="108" w:type="dxa"/>
                  <w:bottom w:w="0" w:type="dxa"/>
                  <w:right w:w="108" w:type="dxa"/>
                </w:tblCellMar>
              </w:tblPrEx>
              <w:tc>
                <w:tcPr>
                  <w:tcW w:w="1638" w:type="dxa"/>
                  <w:tcBorders>
                    <w:top w:val="single" w:color="auto" w:sz="4" w:space="0"/>
                    <w:left w:val="single" w:color="auto" w:sz="4" w:space="0"/>
                    <w:bottom w:val="single" w:color="auto" w:sz="4" w:space="0"/>
                    <w:right w:val="single" w:color="auto" w:sz="4" w:space="0"/>
                  </w:tcBorders>
                  <w:noWrap w:val="0"/>
                  <w:vAlign w:val="center"/>
                </w:tcPr>
                <w:p w14:paraId="4E0EBADB">
                  <w:pPr>
                    <w:keepNext w:val="0"/>
                    <w:keepLines w:val="0"/>
                    <w:widowControl/>
                    <w:suppressLineNumbers w:val="0"/>
                    <w:jc w:val="center"/>
                    <w:textAlignment w:val="bottom"/>
                    <w:rPr>
                      <w:rFonts w:hint="default" w:ascii="Times New Roman" w:hAnsi="Times New Roman" w:cs="Times New Roman"/>
                      <w:color w:val="auto"/>
                      <w:sz w:val="21"/>
                      <w:szCs w:val="21"/>
                      <w:u w:val="none"/>
                    </w:rPr>
                  </w:pPr>
                  <w:r>
                    <w:rPr>
                      <w:rStyle w:val="46"/>
                      <w:rFonts w:hint="default" w:ascii="Times New Roman" w:hAnsi="Times New Roman" w:cs="Times New Roman"/>
                      <w:color w:val="auto"/>
                      <w:sz w:val="21"/>
                      <w:szCs w:val="21"/>
                      <w:highlight w:val="none"/>
                      <w:u w:val="none"/>
                      <w:shd w:val="clear" w:color="auto" w:fill="auto"/>
                      <w:lang w:val="en-US" w:eastAsia="zh-CN" w:bidi="ar"/>
                    </w:rPr>
                    <w:t>距声源水平距离</w:t>
                  </w:r>
                  <w:r>
                    <w:rPr>
                      <w:rStyle w:val="39"/>
                      <w:rFonts w:hint="default" w:ascii="Times New Roman" w:hAnsi="Times New Roman" w:eastAsia="宋体" w:cs="Times New Roman"/>
                      <w:color w:val="auto"/>
                      <w:sz w:val="21"/>
                      <w:szCs w:val="21"/>
                      <w:highlight w:val="none"/>
                      <w:u w:val="none"/>
                      <w:shd w:val="clear" w:color="auto" w:fill="auto"/>
                      <w:lang w:val="en-US" w:eastAsia="zh-CN" w:bidi="ar"/>
                    </w:rPr>
                    <w:t>r1</w:t>
                  </w:r>
                  <w:r>
                    <w:rPr>
                      <w:rStyle w:val="46"/>
                      <w:rFonts w:hint="default" w:ascii="Times New Roman" w:hAnsi="Times New Roman" w:cs="Times New Roman"/>
                      <w:color w:val="auto"/>
                      <w:sz w:val="21"/>
                      <w:szCs w:val="21"/>
                      <w:highlight w:val="none"/>
                      <w:u w:val="none"/>
                      <w:shd w:val="clear" w:color="auto" w:fill="auto"/>
                      <w:lang w:val="en-US" w:eastAsia="zh-CN" w:bidi="ar"/>
                    </w:rPr>
                    <w:t>（</w:t>
                  </w:r>
                  <w:r>
                    <w:rPr>
                      <w:rStyle w:val="39"/>
                      <w:rFonts w:hint="default" w:ascii="Times New Roman" w:hAnsi="Times New Roman" w:eastAsia="宋体" w:cs="Times New Roman"/>
                      <w:color w:val="auto"/>
                      <w:sz w:val="21"/>
                      <w:szCs w:val="21"/>
                      <w:highlight w:val="none"/>
                      <w:u w:val="none"/>
                      <w:shd w:val="clear" w:color="auto" w:fill="auto"/>
                      <w:lang w:val="en-US" w:eastAsia="zh-CN" w:bidi="ar"/>
                    </w:rPr>
                    <w:t>m</w:t>
                  </w:r>
                  <w:r>
                    <w:rPr>
                      <w:rStyle w:val="46"/>
                      <w:rFonts w:hint="default" w:ascii="Times New Roman" w:hAnsi="Times New Roman" w:cs="Times New Roman"/>
                      <w:color w:val="auto"/>
                      <w:sz w:val="21"/>
                      <w:szCs w:val="21"/>
                      <w:highlight w:val="none"/>
                      <w:u w:val="none"/>
                      <w:shd w:val="clear" w:color="auto" w:fill="auto"/>
                      <w:lang w:val="en-US" w:eastAsia="zh-CN" w:bidi="ar"/>
                    </w:rPr>
                    <w:t>）</w:t>
                  </w:r>
                </w:p>
              </w:tc>
              <w:tc>
                <w:tcPr>
                  <w:tcW w:w="842" w:type="dxa"/>
                  <w:tcBorders>
                    <w:top w:val="single" w:color="auto" w:sz="4" w:space="0"/>
                    <w:left w:val="nil"/>
                    <w:bottom w:val="single" w:color="auto" w:sz="4" w:space="0"/>
                    <w:right w:val="single" w:color="auto" w:sz="4" w:space="0"/>
                  </w:tcBorders>
                  <w:noWrap w:val="0"/>
                  <w:vAlign w:val="center"/>
                </w:tcPr>
                <w:p w14:paraId="731DA8E8">
                  <w:pPr>
                    <w:snapToGrid w:val="0"/>
                    <w:jc w:val="center"/>
                    <w:rPr>
                      <w:rFonts w:hint="default" w:ascii="Times New Roman" w:hAnsi="Times New Roman" w:cs="Times New Roman"/>
                      <w:color w:val="auto"/>
                      <w:sz w:val="21"/>
                      <w:szCs w:val="21"/>
                      <w:u w:val="none"/>
                    </w:rPr>
                  </w:pPr>
                  <w:r>
                    <w:rPr>
                      <w:rFonts w:hint="default" w:ascii="Times New Roman" w:hAnsi="Times New Roman" w:eastAsia="仿宋_GB2312" w:cs="Times New Roman"/>
                      <w:color w:val="auto"/>
                      <w:sz w:val="21"/>
                      <w:szCs w:val="21"/>
                      <w:u w:val="none"/>
                      <w:lang w:val="en-US" w:eastAsia="zh-CN"/>
                    </w:rPr>
                    <w:t>100</w:t>
                  </w:r>
                </w:p>
              </w:tc>
              <w:tc>
                <w:tcPr>
                  <w:tcW w:w="839" w:type="dxa"/>
                  <w:tcBorders>
                    <w:top w:val="single" w:color="auto" w:sz="4" w:space="0"/>
                    <w:left w:val="nil"/>
                    <w:bottom w:val="single" w:color="auto" w:sz="4" w:space="0"/>
                    <w:right w:val="single" w:color="auto" w:sz="4" w:space="0"/>
                  </w:tcBorders>
                  <w:noWrap w:val="0"/>
                  <w:vAlign w:val="center"/>
                </w:tcPr>
                <w:p w14:paraId="1076AF0E">
                  <w:pPr>
                    <w:snapToGrid w:val="0"/>
                    <w:jc w:val="center"/>
                    <w:rPr>
                      <w:rFonts w:hint="default" w:ascii="Times New Roman" w:hAnsi="Times New Roman" w:cs="Times New Roman"/>
                      <w:color w:val="auto"/>
                      <w:sz w:val="21"/>
                      <w:szCs w:val="21"/>
                      <w:u w:val="none"/>
                    </w:rPr>
                  </w:pPr>
                  <w:r>
                    <w:rPr>
                      <w:rFonts w:hint="default" w:ascii="Times New Roman" w:hAnsi="Times New Roman" w:eastAsia="仿宋_GB2312" w:cs="Times New Roman"/>
                      <w:color w:val="auto"/>
                      <w:sz w:val="21"/>
                      <w:szCs w:val="21"/>
                      <w:u w:val="none"/>
                      <w:lang w:val="en-US" w:eastAsia="zh-CN"/>
                    </w:rPr>
                    <w:t>150</w:t>
                  </w:r>
                </w:p>
              </w:tc>
              <w:tc>
                <w:tcPr>
                  <w:tcW w:w="839" w:type="dxa"/>
                  <w:tcBorders>
                    <w:top w:val="single" w:color="auto" w:sz="4" w:space="0"/>
                    <w:left w:val="nil"/>
                    <w:bottom w:val="single" w:color="auto" w:sz="4" w:space="0"/>
                    <w:right w:val="single" w:color="auto" w:sz="4" w:space="0"/>
                  </w:tcBorders>
                  <w:noWrap w:val="0"/>
                  <w:vAlign w:val="center"/>
                </w:tcPr>
                <w:p w14:paraId="73584228">
                  <w:pPr>
                    <w:snapToGrid w:val="0"/>
                    <w:jc w:val="center"/>
                    <w:rPr>
                      <w:rFonts w:hint="default" w:ascii="Times New Roman" w:hAnsi="Times New Roman" w:cs="Times New Roman"/>
                      <w:color w:val="auto"/>
                      <w:sz w:val="21"/>
                      <w:szCs w:val="21"/>
                      <w:u w:val="none"/>
                    </w:rPr>
                  </w:pPr>
                  <w:r>
                    <w:rPr>
                      <w:rFonts w:hint="default" w:ascii="Times New Roman" w:hAnsi="Times New Roman" w:eastAsia="仿宋_GB2312" w:cs="Times New Roman"/>
                      <w:color w:val="auto"/>
                      <w:sz w:val="21"/>
                      <w:szCs w:val="21"/>
                      <w:u w:val="none"/>
                      <w:lang w:val="en-US" w:eastAsia="zh-CN"/>
                    </w:rPr>
                    <w:t>200</w:t>
                  </w:r>
                </w:p>
              </w:tc>
              <w:tc>
                <w:tcPr>
                  <w:tcW w:w="842" w:type="dxa"/>
                  <w:tcBorders>
                    <w:top w:val="single" w:color="auto" w:sz="4" w:space="0"/>
                    <w:left w:val="nil"/>
                    <w:bottom w:val="single" w:color="auto" w:sz="4" w:space="0"/>
                    <w:right w:val="single" w:color="auto" w:sz="4" w:space="0"/>
                  </w:tcBorders>
                  <w:noWrap w:val="0"/>
                  <w:vAlign w:val="center"/>
                </w:tcPr>
                <w:p w14:paraId="3FE6E2D1">
                  <w:pPr>
                    <w:snapToGrid w:val="0"/>
                    <w:jc w:val="center"/>
                    <w:rPr>
                      <w:rFonts w:hint="default" w:ascii="Times New Roman" w:hAnsi="Times New Roman" w:cs="Times New Roman"/>
                      <w:color w:val="auto"/>
                      <w:sz w:val="21"/>
                      <w:szCs w:val="21"/>
                      <w:u w:val="none"/>
                    </w:rPr>
                  </w:pPr>
                  <w:r>
                    <w:rPr>
                      <w:rFonts w:hint="default" w:ascii="Times New Roman" w:hAnsi="Times New Roman" w:eastAsia="仿宋_GB2312" w:cs="Times New Roman"/>
                      <w:color w:val="auto"/>
                      <w:sz w:val="21"/>
                      <w:szCs w:val="21"/>
                      <w:u w:val="none"/>
                      <w:lang w:val="en-US" w:eastAsia="zh-CN"/>
                    </w:rPr>
                    <w:t>250</w:t>
                  </w:r>
                </w:p>
              </w:tc>
              <w:tc>
                <w:tcPr>
                  <w:tcW w:w="839" w:type="dxa"/>
                  <w:tcBorders>
                    <w:top w:val="single" w:color="auto" w:sz="4" w:space="0"/>
                    <w:left w:val="nil"/>
                    <w:bottom w:val="single" w:color="auto" w:sz="4" w:space="0"/>
                    <w:right w:val="single" w:color="auto" w:sz="4" w:space="0"/>
                  </w:tcBorders>
                  <w:noWrap w:val="0"/>
                  <w:vAlign w:val="center"/>
                </w:tcPr>
                <w:p w14:paraId="5EB93D16">
                  <w:pPr>
                    <w:snapToGrid w:val="0"/>
                    <w:jc w:val="center"/>
                    <w:rPr>
                      <w:rFonts w:hint="default" w:ascii="Times New Roman" w:hAnsi="Times New Roman" w:cs="Times New Roman"/>
                      <w:color w:val="auto"/>
                      <w:sz w:val="21"/>
                      <w:szCs w:val="21"/>
                      <w:u w:val="none"/>
                    </w:rPr>
                  </w:pPr>
                  <w:r>
                    <w:rPr>
                      <w:rFonts w:hint="default" w:ascii="Times New Roman" w:hAnsi="Times New Roman" w:eastAsia="仿宋_GB2312" w:cs="Times New Roman"/>
                      <w:color w:val="auto"/>
                      <w:sz w:val="21"/>
                      <w:szCs w:val="21"/>
                      <w:u w:val="none"/>
                      <w:lang w:val="en-US" w:eastAsia="zh-CN"/>
                    </w:rPr>
                    <w:t>300</w:t>
                  </w:r>
                </w:p>
              </w:tc>
              <w:tc>
                <w:tcPr>
                  <w:tcW w:w="839" w:type="dxa"/>
                  <w:tcBorders>
                    <w:top w:val="single" w:color="auto" w:sz="4" w:space="0"/>
                    <w:left w:val="nil"/>
                    <w:bottom w:val="single" w:color="auto" w:sz="4" w:space="0"/>
                    <w:right w:val="single" w:color="auto" w:sz="4" w:space="0"/>
                  </w:tcBorders>
                  <w:noWrap w:val="0"/>
                  <w:vAlign w:val="center"/>
                </w:tcPr>
                <w:p w14:paraId="319B4AF8">
                  <w:pPr>
                    <w:snapToGrid w:val="0"/>
                    <w:jc w:val="center"/>
                    <w:rPr>
                      <w:rFonts w:hint="default" w:ascii="Times New Roman" w:hAnsi="Times New Roman" w:cs="Times New Roman"/>
                      <w:color w:val="auto"/>
                      <w:sz w:val="21"/>
                      <w:szCs w:val="21"/>
                      <w:u w:val="none"/>
                      <w:lang w:val="en-US"/>
                    </w:rPr>
                  </w:pPr>
                  <w:r>
                    <w:rPr>
                      <w:rFonts w:hint="default" w:ascii="Times New Roman" w:hAnsi="Times New Roman" w:eastAsia="仿宋_GB2312" w:cs="Times New Roman"/>
                      <w:color w:val="auto"/>
                      <w:sz w:val="21"/>
                      <w:szCs w:val="21"/>
                      <w:u w:val="none"/>
                      <w:lang w:val="en-US" w:eastAsia="zh-CN"/>
                    </w:rPr>
                    <w:t>350</w:t>
                  </w:r>
                </w:p>
              </w:tc>
              <w:tc>
                <w:tcPr>
                  <w:tcW w:w="839" w:type="dxa"/>
                  <w:tcBorders>
                    <w:top w:val="single" w:color="auto" w:sz="4" w:space="0"/>
                    <w:left w:val="nil"/>
                    <w:bottom w:val="single" w:color="auto" w:sz="4" w:space="0"/>
                    <w:right w:val="single" w:color="auto" w:sz="4" w:space="0"/>
                  </w:tcBorders>
                  <w:noWrap w:val="0"/>
                  <w:vAlign w:val="center"/>
                </w:tcPr>
                <w:p w14:paraId="671593D7">
                  <w:pPr>
                    <w:snapToGrid w:val="0"/>
                    <w:jc w:val="center"/>
                    <w:rPr>
                      <w:rFonts w:hint="default" w:ascii="Times New Roman" w:hAnsi="Times New Roman" w:cs="Times New Roman"/>
                      <w:color w:val="auto"/>
                      <w:sz w:val="21"/>
                      <w:szCs w:val="21"/>
                      <w:u w:val="none"/>
                    </w:rPr>
                  </w:pPr>
                  <w:r>
                    <w:rPr>
                      <w:rFonts w:hint="default" w:ascii="Times New Roman" w:hAnsi="Times New Roman" w:eastAsia="仿宋_GB2312" w:cs="Times New Roman"/>
                      <w:color w:val="auto"/>
                      <w:sz w:val="21"/>
                      <w:szCs w:val="21"/>
                      <w:u w:val="none"/>
                      <w:lang w:val="en-US" w:eastAsia="zh-CN"/>
                    </w:rPr>
                    <w:t>400</w:t>
                  </w:r>
                </w:p>
              </w:tc>
              <w:tc>
                <w:tcPr>
                  <w:tcW w:w="837" w:type="dxa"/>
                  <w:tcBorders>
                    <w:top w:val="single" w:color="auto" w:sz="4" w:space="0"/>
                    <w:left w:val="nil"/>
                    <w:bottom w:val="single" w:color="auto" w:sz="4" w:space="0"/>
                    <w:right w:val="single" w:color="auto" w:sz="4" w:space="0"/>
                  </w:tcBorders>
                  <w:noWrap w:val="0"/>
                  <w:vAlign w:val="center"/>
                </w:tcPr>
                <w:p w14:paraId="342B80EB">
                  <w:pPr>
                    <w:snapToGrid w:val="0"/>
                    <w:jc w:val="center"/>
                    <w:rPr>
                      <w:rFonts w:hint="default" w:ascii="Times New Roman" w:hAnsi="Times New Roman" w:cs="Times New Roman"/>
                      <w:color w:val="auto"/>
                      <w:sz w:val="21"/>
                      <w:szCs w:val="21"/>
                      <w:u w:val="none"/>
                    </w:rPr>
                  </w:pPr>
                  <w:r>
                    <w:rPr>
                      <w:rFonts w:hint="default" w:ascii="Times New Roman" w:hAnsi="Times New Roman" w:eastAsia="仿宋_GB2312" w:cs="Times New Roman"/>
                      <w:color w:val="auto"/>
                      <w:sz w:val="21"/>
                      <w:szCs w:val="21"/>
                      <w:u w:val="none"/>
                      <w:lang w:val="en-US" w:eastAsia="zh-CN"/>
                    </w:rPr>
                    <w:t>500</w:t>
                  </w:r>
                </w:p>
              </w:tc>
            </w:tr>
            <w:tr w14:paraId="6D3D15F0">
              <w:tblPrEx>
                <w:tblCellMar>
                  <w:top w:w="0" w:type="dxa"/>
                  <w:left w:w="108" w:type="dxa"/>
                  <w:bottom w:w="0" w:type="dxa"/>
                  <w:right w:w="108" w:type="dxa"/>
                </w:tblCellMar>
              </w:tblPrEx>
              <w:tc>
                <w:tcPr>
                  <w:tcW w:w="1638" w:type="dxa"/>
                  <w:tcBorders>
                    <w:top w:val="single" w:color="auto" w:sz="4" w:space="0"/>
                    <w:left w:val="single" w:color="auto" w:sz="4" w:space="0"/>
                    <w:bottom w:val="single" w:color="auto" w:sz="4" w:space="0"/>
                    <w:right w:val="single" w:color="auto" w:sz="4" w:space="0"/>
                  </w:tcBorders>
                  <w:noWrap w:val="0"/>
                  <w:vAlign w:val="center"/>
                </w:tcPr>
                <w:p w14:paraId="4184F489">
                  <w:pPr>
                    <w:keepNext w:val="0"/>
                    <w:keepLines w:val="0"/>
                    <w:widowControl/>
                    <w:suppressLineNumbers w:val="0"/>
                    <w:jc w:val="center"/>
                    <w:textAlignment w:val="bottom"/>
                    <w:rPr>
                      <w:rFonts w:hint="default" w:ascii="Times New Roman" w:hAnsi="Times New Roman" w:cs="Times New Roman"/>
                      <w:color w:val="auto"/>
                      <w:sz w:val="21"/>
                      <w:szCs w:val="21"/>
                      <w:u w:val="none"/>
                    </w:rPr>
                  </w:pPr>
                  <w:r>
                    <w:rPr>
                      <w:rStyle w:val="46"/>
                      <w:rFonts w:hint="default" w:ascii="Times New Roman" w:hAnsi="Times New Roman" w:cs="Times New Roman"/>
                      <w:color w:val="auto"/>
                      <w:sz w:val="21"/>
                      <w:szCs w:val="21"/>
                      <w:highlight w:val="none"/>
                      <w:u w:val="none"/>
                      <w:shd w:val="clear" w:color="auto" w:fill="auto"/>
                      <w:lang w:val="en-US" w:eastAsia="zh-CN" w:bidi="ar"/>
                    </w:rPr>
                    <w:t>对应距声源直线距离</w:t>
                  </w:r>
                  <w:r>
                    <w:rPr>
                      <w:rStyle w:val="39"/>
                      <w:rFonts w:hint="default" w:ascii="Times New Roman" w:hAnsi="Times New Roman" w:eastAsia="宋体" w:cs="Times New Roman"/>
                      <w:color w:val="auto"/>
                      <w:sz w:val="21"/>
                      <w:szCs w:val="21"/>
                      <w:highlight w:val="none"/>
                      <w:u w:val="none"/>
                      <w:shd w:val="clear" w:color="auto" w:fill="auto"/>
                      <w:lang w:val="en-US" w:eastAsia="zh-CN" w:bidi="ar"/>
                    </w:rPr>
                    <w:t>r2</w:t>
                  </w:r>
                  <w:r>
                    <w:rPr>
                      <w:rStyle w:val="46"/>
                      <w:rFonts w:hint="default" w:ascii="Times New Roman" w:hAnsi="Times New Roman" w:cs="Times New Roman"/>
                      <w:color w:val="auto"/>
                      <w:sz w:val="21"/>
                      <w:szCs w:val="21"/>
                      <w:highlight w:val="none"/>
                      <w:u w:val="none"/>
                      <w:shd w:val="clear" w:color="auto" w:fill="auto"/>
                      <w:lang w:val="en-US" w:eastAsia="zh-CN" w:bidi="ar"/>
                    </w:rPr>
                    <w:t>（</w:t>
                  </w:r>
                  <w:r>
                    <w:rPr>
                      <w:rStyle w:val="39"/>
                      <w:rFonts w:hint="default" w:ascii="Times New Roman" w:hAnsi="Times New Roman" w:eastAsia="宋体" w:cs="Times New Roman"/>
                      <w:color w:val="auto"/>
                      <w:sz w:val="21"/>
                      <w:szCs w:val="21"/>
                      <w:highlight w:val="none"/>
                      <w:u w:val="none"/>
                      <w:shd w:val="clear" w:color="auto" w:fill="auto"/>
                      <w:lang w:val="en-US" w:eastAsia="zh-CN" w:bidi="ar"/>
                    </w:rPr>
                    <w:t>m</w:t>
                  </w:r>
                  <w:r>
                    <w:rPr>
                      <w:rStyle w:val="46"/>
                      <w:rFonts w:hint="default" w:ascii="Times New Roman" w:hAnsi="Times New Roman" w:cs="Times New Roman"/>
                      <w:color w:val="auto"/>
                      <w:sz w:val="21"/>
                      <w:szCs w:val="21"/>
                      <w:highlight w:val="none"/>
                      <w:u w:val="none"/>
                      <w:shd w:val="clear" w:color="auto" w:fill="auto"/>
                      <w:lang w:val="en-US" w:eastAsia="zh-CN" w:bidi="ar"/>
                    </w:rPr>
                    <w:t>）</w:t>
                  </w:r>
                </w:p>
              </w:tc>
              <w:tc>
                <w:tcPr>
                  <w:tcW w:w="842" w:type="dxa"/>
                  <w:tcBorders>
                    <w:top w:val="single" w:color="auto" w:sz="4" w:space="0"/>
                    <w:left w:val="nil"/>
                    <w:bottom w:val="single" w:color="auto" w:sz="4" w:space="0"/>
                    <w:right w:val="single" w:color="auto" w:sz="4" w:space="0"/>
                  </w:tcBorders>
                  <w:noWrap w:val="0"/>
                  <w:vAlign w:val="center"/>
                </w:tcPr>
                <w:p w14:paraId="395A3B62">
                  <w:pPr>
                    <w:snapToGrid w:val="0"/>
                    <w:jc w:val="center"/>
                    <w:rPr>
                      <w:rFonts w:hint="default" w:ascii="Times New Roman" w:hAnsi="Times New Roman" w:cs="Times New Roman"/>
                      <w:color w:val="auto"/>
                      <w:sz w:val="21"/>
                      <w:szCs w:val="21"/>
                      <w:u w:val="none"/>
                      <w:lang w:val="en-US"/>
                    </w:rPr>
                  </w:pPr>
                  <w:r>
                    <w:rPr>
                      <w:rFonts w:hint="default" w:ascii="Times New Roman" w:hAnsi="Times New Roman" w:eastAsia="仿宋_GB2312" w:cs="Times New Roman"/>
                      <w:color w:val="auto"/>
                      <w:sz w:val="21"/>
                      <w:szCs w:val="21"/>
                      <w:u w:val="none"/>
                      <w:lang w:val="en-US" w:eastAsia="zh-CN"/>
                    </w:rPr>
                    <w:t>146</w:t>
                  </w:r>
                </w:p>
              </w:tc>
              <w:tc>
                <w:tcPr>
                  <w:tcW w:w="839" w:type="dxa"/>
                  <w:tcBorders>
                    <w:top w:val="single" w:color="auto" w:sz="4" w:space="0"/>
                    <w:left w:val="nil"/>
                    <w:bottom w:val="single" w:color="auto" w:sz="4" w:space="0"/>
                    <w:right w:val="single" w:color="auto" w:sz="4" w:space="0"/>
                  </w:tcBorders>
                  <w:noWrap w:val="0"/>
                  <w:vAlign w:val="center"/>
                </w:tcPr>
                <w:p w14:paraId="2A202BDA">
                  <w:pPr>
                    <w:snapToGrid w:val="0"/>
                    <w:jc w:val="center"/>
                    <w:rPr>
                      <w:rFonts w:hint="default" w:ascii="Times New Roman" w:hAnsi="Times New Roman" w:cs="Times New Roman"/>
                      <w:color w:val="auto"/>
                      <w:sz w:val="21"/>
                      <w:szCs w:val="21"/>
                      <w:u w:val="none"/>
                      <w:lang w:val="en-US"/>
                    </w:rPr>
                  </w:pPr>
                  <w:r>
                    <w:rPr>
                      <w:rFonts w:hint="default" w:ascii="Times New Roman" w:hAnsi="Times New Roman" w:eastAsia="仿宋_GB2312" w:cs="Times New Roman"/>
                      <w:color w:val="auto"/>
                      <w:sz w:val="21"/>
                      <w:szCs w:val="21"/>
                      <w:u w:val="none"/>
                      <w:lang w:val="en-US" w:eastAsia="zh-CN"/>
                    </w:rPr>
                    <w:t>184</w:t>
                  </w:r>
                </w:p>
              </w:tc>
              <w:tc>
                <w:tcPr>
                  <w:tcW w:w="839" w:type="dxa"/>
                  <w:tcBorders>
                    <w:top w:val="single" w:color="auto" w:sz="4" w:space="0"/>
                    <w:left w:val="nil"/>
                    <w:bottom w:val="single" w:color="auto" w:sz="4" w:space="0"/>
                    <w:right w:val="single" w:color="auto" w:sz="4" w:space="0"/>
                  </w:tcBorders>
                  <w:noWrap w:val="0"/>
                  <w:vAlign w:val="center"/>
                </w:tcPr>
                <w:p w14:paraId="0CA13D4D">
                  <w:pPr>
                    <w:snapToGrid w:val="0"/>
                    <w:jc w:val="center"/>
                    <w:rPr>
                      <w:rFonts w:hint="default" w:ascii="Times New Roman" w:hAnsi="Times New Roman" w:cs="Times New Roman"/>
                      <w:color w:val="auto"/>
                      <w:sz w:val="21"/>
                      <w:szCs w:val="21"/>
                      <w:u w:val="none"/>
                      <w:lang w:val="en-US"/>
                    </w:rPr>
                  </w:pPr>
                  <w:r>
                    <w:rPr>
                      <w:rFonts w:hint="default" w:ascii="Times New Roman" w:hAnsi="Times New Roman" w:eastAsia="仿宋_GB2312" w:cs="Times New Roman"/>
                      <w:color w:val="auto"/>
                      <w:sz w:val="21"/>
                      <w:szCs w:val="21"/>
                      <w:u w:val="none"/>
                      <w:lang w:val="en-US" w:eastAsia="zh-CN"/>
                    </w:rPr>
                    <w:t>226</w:t>
                  </w:r>
                </w:p>
              </w:tc>
              <w:tc>
                <w:tcPr>
                  <w:tcW w:w="842" w:type="dxa"/>
                  <w:tcBorders>
                    <w:top w:val="single" w:color="auto" w:sz="4" w:space="0"/>
                    <w:left w:val="nil"/>
                    <w:bottom w:val="single" w:color="auto" w:sz="4" w:space="0"/>
                    <w:right w:val="single" w:color="auto" w:sz="4" w:space="0"/>
                  </w:tcBorders>
                  <w:noWrap w:val="0"/>
                  <w:vAlign w:val="center"/>
                </w:tcPr>
                <w:p w14:paraId="1F186AAA">
                  <w:pPr>
                    <w:snapToGrid w:val="0"/>
                    <w:jc w:val="center"/>
                    <w:rPr>
                      <w:rFonts w:hint="default" w:ascii="Times New Roman" w:hAnsi="Times New Roman" w:cs="Times New Roman"/>
                      <w:color w:val="auto"/>
                      <w:sz w:val="21"/>
                      <w:szCs w:val="21"/>
                      <w:u w:val="none"/>
                      <w:lang w:val="en-US"/>
                    </w:rPr>
                  </w:pPr>
                  <w:r>
                    <w:rPr>
                      <w:rFonts w:hint="default" w:ascii="Times New Roman" w:hAnsi="Times New Roman" w:eastAsia="仿宋_GB2312" w:cs="Times New Roman"/>
                      <w:color w:val="auto"/>
                      <w:sz w:val="21"/>
                      <w:szCs w:val="21"/>
                      <w:u w:val="none"/>
                      <w:lang w:val="en-US" w:eastAsia="zh-CN"/>
                    </w:rPr>
                    <w:t>271</w:t>
                  </w:r>
                </w:p>
              </w:tc>
              <w:tc>
                <w:tcPr>
                  <w:tcW w:w="839" w:type="dxa"/>
                  <w:tcBorders>
                    <w:top w:val="single" w:color="auto" w:sz="4" w:space="0"/>
                    <w:left w:val="nil"/>
                    <w:bottom w:val="single" w:color="auto" w:sz="4" w:space="0"/>
                    <w:right w:val="single" w:color="auto" w:sz="4" w:space="0"/>
                  </w:tcBorders>
                  <w:noWrap w:val="0"/>
                  <w:vAlign w:val="center"/>
                </w:tcPr>
                <w:p w14:paraId="637C6EB3">
                  <w:pPr>
                    <w:snapToGrid w:val="0"/>
                    <w:jc w:val="center"/>
                    <w:rPr>
                      <w:rFonts w:hint="default" w:ascii="Times New Roman" w:hAnsi="Times New Roman" w:cs="Times New Roman"/>
                      <w:color w:val="auto"/>
                      <w:sz w:val="21"/>
                      <w:szCs w:val="21"/>
                      <w:u w:val="none"/>
                      <w:lang w:val="en-US"/>
                    </w:rPr>
                  </w:pPr>
                  <w:r>
                    <w:rPr>
                      <w:rFonts w:hint="default" w:ascii="Times New Roman" w:hAnsi="Times New Roman" w:eastAsia="仿宋_GB2312" w:cs="Times New Roman"/>
                      <w:color w:val="auto"/>
                      <w:sz w:val="21"/>
                      <w:szCs w:val="21"/>
                      <w:u w:val="none"/>
                      <w:lang w:val="en-US" w:eastAsia="zh-CN"/>
                    </w:rPr>
                    <w:t>318</w:t>
                  </w:r>
                </w:p>
              </w:tc>
              <w:tc>
                <w:tcPr>
                  <w:tcW w:w="839" w:type="dxa"/>
                  <w:tcBorders>
                    <w:top w:val="single" w:color="auto" w:sz="4" w:space="0"/>
                    <w:left w:val="nil"/>
                    <w:bottom w:val="single" w:color="auto" w:sz="4" w:space="0"/>
                    <w:right w:val="single" w:color="auto" w:sz="4" w:space="0"/>
                  </w:tcBorders>
                  <w:noWrap w:val="0"/>
                  <w:vAlign w:val="center"/>
                </w:tcPr>
                <w:p w14:paraId="55C69DAB">
                  <w:pPr>
                    <w:snapToGrid w:val="0"/>
                    <w:jc w:val="center"/>
                    <w:rPr>
                      <w:rFonts w:hint="default" w:ascii="Times New Roman" w:hAnsi="Times New Roman" w:cs="Times New Roman"/>
                      <w:color w:val="auto"/>
                      <w:sz w:val="21"/>
                      <w:szCs w:val="21"/>
                      <w:u w:val="none"/>
                      <w:lang w:val="en-US"/>
                    </w:rPr>
                  </w:pPr>
                  <w:r>
                    <w:rPr>
                      <w:rFonts w:hint="default" w:ascii="Times New Roman" w:hAnsi="Times New Roman" w:eastAsia="仿宋_GB2312" w:cs="Times New Roman"/>
                      <w:color w:val="auto"/>
                      <w:sz w:val="21"/>
                      <w:szCs w:val="21"/>
                      <w:u w:val="none"/>
                      <w:lang w:val="en-US" w:eastAsia="zh-CN"/>
                    </w:rPr>
                    <w:t>365</w:t>
                  </w:r>
                </w:p>
              </w:tc>
              <w:tc>
                <w:tcPr>
                  <w:tcW w:w="839" w:type="dxa"/>
                  <w:tcBorders>
                    <w:top w:val="single" w:color="auto" w:sz="4" w:space="0"/>
                    <w:left w:val="nil"/>
                    <w:bottom w:val="single" w:color="auto" w:sz="4" w:space="0"/>
                    <w:right w:val="single" w:color="auto" w:sz="4" w:space="0"/>
                  </w:tcBorders>
                  <w:noWrap w:val="0"/>
                  <w:vAlign w:val="center"/>
                </w:tcPr>
                <w:p w14:paraId="050031A6">
                  <w:pPr>
                    <w:snapToGrid w:val="0"/>
                    <w:jc w:val="center"/>
                    <w:rPr>
                      <w:rFonts w:hint="default" w:ascii="Times New Roman" w:hAnsi="Times New Roman" w:cs="Times New Roman"/>
                      <w:color w:val="auto"/>
                      <w:sz w:val="21"/>
                      <w:szCs w:val="21"/>
                      <w:u w:val="none"/>
                      <w:lang w:val="en-US"/>
                    </w:rPr>
                  </w:pPr>
                  <w:r>
                    <w:rPr>
                      <w:rFonts w:hint="default" w:ascii="Times New Roman" w:hAnsi="Times New Roman" w:eastAsia="仿宋_GB2312" w:cs="Times New Roman"/>
                      <w:color w:val="auto"/>
                      <w:sz w:val="21"/>
                      <w:szCs w:val="21"/>
                      <w:u w:val="none"/>
                      <w:lang w:val="en-US" w:eastAsia="zh-CN"/>
                    </w:rPr>
                    <w:t>414</w:t>
                  </w:r>
                </w:p>
              </w:tc>
              <w:tc>
                <w:tcPr>
                  <w:tcW w:w="837" w:type="dxa"/>
                  <w:tcBorders>
                    <w:top w:val="single" w:color="auto" w:sz="4" w:space="0"/>
                    <w:left w:val="nil"/>
                    <w:bottom w:val="single" w:color="auto" w:sz="4" w:space="0"/>
                    <w:right w:val="single" w:color="auto" w:sz="4" w:space="0"/>
                  </w:tcBorders>
                  <w:noWrap w:val="0"/>
                  <w:vAlign w:val="center"/>
                </w:tcPr>
                <w:p w14:paraId="522A0586">
                  <w:pPr>
                    <w:snapToGrid w:val="0"/>
                    <w:jc w:val="center"/>
                    <w:rPr>
                      <w:rFonts w:hint="default" w:ascii="Times New Roman" w:hAnsi="Times New Roman" w:cs="Times New Roman"/>
                      <w:color w:val="auto"/>
                      <w:sz w:val="21"/>
                      <w:szCs w:val="21"/>
                      <w:u w:val="none"/>
                      <w:lang w:val="en-US"/>
                    </w:rPr>
                  </w:pPr>
                  <w:r>
                    <w:rPr>
                      <w:rFonts w:hint="default" w:ascii="Times New Roman" w:hAnsi="Times New Roman" w:eastAsia="仿宋_GB2312" w:cs="Times New Roman"/>
                      <w:color w:val="auto"/>
                      <w:sz w:val="21"/>
                      <w:szCs w:val="21"/>
                      <w:u w:val="none"/>
                      <w:lang w:val="en-US" w:eastAsia="zh-CN"/>
                    </w:rPr>
                    <w:t>511</w:t>
                  </w:r>
                </w:p>
              </w:tc>
            </w:tr>
            <w:tr w14:paraId="2DF6EFFB">
              <w:tblPrEx>
                <w:tblCellMar>
                  <w:top w:w="0" w:type="dxa"/>
                  <w:left w:w="108" w:type="dxa"/>
                  <w:bottom w:w="0" w:type="dxa"/>
                  <w:right w:w="108" w:type="dxa"/>
                </w:tblCellMar>
              </w:tblPrEx>
              <w:tc>
                <w:tcPr>
                  <w:tcW w:w="1638" w:type="dxa"/>
                  <w:tcBorders>
                    <w:top w:val="single" w:color="auto" w:sz="4" w:space="0"/>
                    <w:left w:val="single" w:color="auto" w:sz="4" w:space="0"/>
                    <w:bottom w:val="single" w:color="auto" w:sz="4" w:space="0"/>
                    <w:right w:val="single" w:color="auto" w:sz="4" w:space="0"/>
                  </w:tcBorders>
                  <w:noWrap w:val="0"/>
                  <w:vAlign w:val="center"/>
                </w:tcPr>
                <w:p w14:paraId="45059148">
                  <w:pPr>
                    <w:jc w:val="center"/>
                    <w:rPr>
                      <w:rFonts w:hint="default" w:ascii="Times New Roman" w:hAnsi="Times New Roman" w:cs="Times New Roman"/>
                      <w:color w:val="auto"/>
                      <w:sz w:val="21"/>
                      <w:szCs w:val="21"/>
                      <w:u w:val="none"/>
                    </w:rPr>
                  </w:pPr>
                  <w:r>
                    <w:rPr>
                      <w:rFonts w:hint="default" w:ascii="Times New Roman" w:hAnsi="Times New Roman" w:eastAsia="Tahoma" w:cs="Times New Roman"/>
                      <w:i w:val="0"/>
                      <w:color w:val="auto"/>
                      <w:kern w:val="0"/>
                      <w:sz w:val="21"/>
                      <w:szCs w:val="21"/>
                      <w:highlight w:val="none"/>
                      <w:u w:val="none"/>
                      <w:shd w:val="clear" w:color="auto" w:fill="auto"/>
                      <w:lang w:val="en-US" w:eastAsia="zh-CN" w:bidi="ar"/>
                    </w:rPr>
                    <w:t>L</w:t>
                  </w:r>
                  <w:r>
                    <w:rPr>
                      <w:rFonts w:hint="default" w:ascii="Times New Roman" w:hAnsi="Times New Roman" w:eastAsia="Tahoma" w:cs="Times New Roman"/>
                      <w:i w:val="0"/>
                      <w:color w:val="auto"/>
                      <w:kern w:val="0"/>
                      <w:sz w:val="21"/>
                      <w:szCs w:val="21"/>
                      <w:highlight w:val="none"/>
                      <w:u w:val="none"/>
                      <w:shd w:val="clear" w:color="auto" w:fill="auto"/>
                      <w:vertAlign w:val="subscript"/>
                      <w:lang w:val="en-US" w:eastAsia="zh-CN" w:bidi="ar"/>
                    </w:rPr>
                    <w:t>A</w:t>
                  </w:r>
                  <w:r>
                    <w:rPr>
                      <w:rFonts w:hint="default" w:ascii="Times New Roman" w:hAnsi="Times New Roman" w:eastAsia="Tahoma" w:cs="Times New Roman"/>
                      <w:i w:val="0"/>
                      <w:color w:val="auto"/>
                      <w:kern w:val="0"/>
                      <w:sz w:val="21"/>
                      <w:szCs w:val="21"/>
                      <w:highlight w:val="none"/>
                      <w:u w:val="none"/>
                      <w:shd w:val="clear" w:color="auto" w:fill="auto"/>
                      <w:lang w:val="en-US" w:eastAsia="zh-CN" w:bidi="ar"/>
                    </w:rPr>
                    <w:t>(r)dB(A)</w:t>
                  </w:r>
                </w:p>
                <w:p w14:paraId="01F889F7">
                  <w:pPr>
                    <w:jc w:val="center"/>
                    <w:rPr>
                      <w:rFonts w:hint="default" w:ascii="Times New Roman" w:hAnsi="Times New Roman" w:cs="Times New Roman"/>
                      <w:color w:val="auto"/>
                      <w:sz w:val="21"/>
                      <w:szCs w:val="21"/>
                      <w:u w:val="none"/>
                    </w:rPr>
                  </w:pPr>
                  <w:r>
                    <w:rPr>
                      <w:rFonts w:hint="default" w:ascii="Times New Roman" w:hAnsi="Times New Roman" w:cs="Times New Roman"/>
                      <w:color w:val="auto"/>
                      <w:sz w:val="21"/>
                      <w:szCs w:val="21"/>
                      <w:u w:val="none"/>
                    </w:rPr>
                    <w:t>贡献值</w:t>
                  </w:r>
                </w:p>
              </w:tc>
              <w:tc>
                <w:tcPr>
                  <w:tcW w:w="842" w:type="dxa"/>
                  <w:tcBorders>
                    <w:top w:val="single" w:color="auto" w:sz="4" w:space="0"/>
                    <w:left w:val="nil"/>
                    <w:bottom w:val="single" w:color="auto" w:sz="4" w:space="0"/>
                    <w:right w:val="single" w:color="auto" w:sz="4" w:space="0"/>
                  </w:tcBorders>
                  <w:noWrap w:val="0"/>
                  <w:vAlign w:val="center"/>
                </w:tcPr>
                <w:p w14:paraId="5E1D6612">
                  <w:pPr>
                    <w:snapToGrid w:val="0"/>
                    <w:jc w:val="center"/>
                    <w:rPr>
                      <w:rFonts w:hint="default" w:ascii="Times New Roman" w:hAnsi="Times New Roman" w:cs="Times New Roman"/>
                      <w:color w:val="auto"/>
                      <w:sz w:val="21"/>
                      <w:szCs w:val="21"/>
                      <w:u w:val="none"/>
                      <w:lang w:val="en-US"/>
                    </w:rPr>
                  </w:pPr>
                  <w:r>
                    <w:rPr>
                      <w:rFonts w:hint="default" w:ascii="Times New Roman" w:hAnsi="Times New Roman" w:eastAsia="仿宋_GB2312" w:cs="Times New Roman"/>
                      <w:color w:val="auto"/>
                      <w:sz w:val="21"/>
                      <w:szCs w:val="21"/>
                      <w:u w:val="none"/>
                      <w:lang w:val="en-US" w:eastAsia="zh-CN"/>
                    </w:rPr>
                    <w:t>57.7</w:t>
                  </w:r>
                </w:p>
              </w:tc>
              <w:tc>
                <w:tcPr>
                  <w:tcW w:w="839" w:type="dxa"/>
                  <w:tcBorders>
                    <w:top w:val="single" w:color="auto" w:sz="4" w:space="0"/>
                    <w:left w:val="nil"/>
                    <w:bottom w:val="single" w:color="auto" w:sz="4" w:space="0"/>
                    <w:right w:val="single" w:color="auto" w:sz="4" w:space="0"/>
                  </w:tcBorders>
                  <w:noWrap w:val="0"/>
                  <w:vAlign w:val="center"/>
                </w:tcPr>
                <w:p w14:paraId="6717B51E">
                  <w:pPr>
                    <w:snapToGrid w:val="0"/>
                    <w:jc w:val="center"/>
                    <w:rPr>
                      <w:rFonts w:hint="default" w:ascii="Times New Roman" w:hAnsi="Times New Roman" w:cs="Times New Roman"/>
                      <w:color w:val="auto"/>
                      <w:sz w:val="21"/>
                      <w:szCs w:val="21"/>
                      <w:u w:val="none"/>
                      <w:lang w:val="en-US"/>
                    </w:rPr>
                  </w:pPr>
                  <w:r>
                    <w:rPr>
                      <w:rFonts w:hint="default" w:ascii="Times New Roman" w:hAnsi="Times New Roman" w:eastAsia="仿宋_GB2312" w:cs="Times New Roman"/>
                      <w:color w:val="auto"/>
                      <w:sz w:val="21"/>
                      <w:szCs w:val="21"/>
                      <w:u w:val="none"/>
                      <w:lang w:val="en-US" w:eastAsia="zh-CN"/>
                    </w:rPr>
                    <w:t>55.7</w:t>
                  </w:r>
                </w:p>
              </w:tc>
              <w:tc>
                <w:tcPr>
                  <w:tcW w:w="839" w:type="dxa"/>
                  <w:tcBorders>
                    <w:top w:val="single" w:color="auto" w:sz="4" w:space="0"/>
                    <w:left w:val="nil"/>
                    <w:bottom w:val="single" w:color="auto" w:sz="4" w:space="0"/>
                    <w:right w:val="single" w:color="auto" w:sz="4" w:space="0"/>
                  </w:tcBorders>
                  <w:noWrap w:val="0"/>
                  <w:vAlign w:val="center"/>
                </w:tcPr>
                <w:p w14:paraId="397CE9C5">
                  <w:pPr>
                    <w:snapToGrid w:val="0"/>
                    <w:jc w:val="center"/>
                    <w:rPr>
                      <w:rFonts w:hint="default" w:ascii="Times New Roman" w:hAnsi="Times New Roman" w:cs="Times New Roman"/>
                      <w:color w:val="auto"/>
                      <w:sz w:val="21"/>
                      <w:szCs w:val="21"/>
                      <w:u w:val="none"/>
                      <w:lang w:val="en-US"/>
                    </w:rPr>
                  </w:pPr>
                  <w:r>
                    <w:rPr>
                      <w:rFonts w:hint="default" w:ascii="Times New Roman" w:hAnsi="Times New Roman" w:eastAsia="仿宋_GB2312" w:cs="Times New Roman"/>
                      <w:color w:val="auto"/>
                      <w:sz w:val="21"/>
                      <w:szCs w:val="21"/>
                      <w:u w:val="none"/>
                      <w:lang w:val="en-US" w:eastAsia="zh-CN"/>
                    </w:rPr>
                    <w:t>53.9</w:t>
                  </w:r>
                </w:p>
              </w:tc>
              <w:tc>
                <w:tcPr>
                  <w:tcW w:w="842" w:type="dxa"/>
                  <w:tcBorders>
                    <w:top w:val="single" w:color="auto" w:sz="4" w:space="0"/>
                    <w:left w:val="nil"/>
                    <w:bottom w:val="single" w:color="auto" w:sz="4" w:space="0"/>
                    <w:right w:val="single" w:color="auto" w:sz="4" w:space="0"/>
                  </w:tcBorders>
                  <w:noWrap w:val="0"/>
                  <w:vAlign w:val="center"/>
                </w:tcPr>
                <w:p w14:paraId="47DBC3DE">
                  <w:pPr>
                    <w:snapToGrid w:val="0"/>
                    <w:jc w:val="center"/>
                    <w:rPr>
                      <w:rFonts w:hint="default" w:ascii="Times New Roman" w:hAnsi="Times New Roman" w:cs="Times New Roman"/>
                      <w:color w:val="auto"/>
                      <w:sz w:val="21"/>
                      <w:szCs w:val="21"/>
                      <w:u w:val="none"/>
                      <w:lang w:val="en-US"/>
                    </w:rPr>
                  </w:pPr>
                  <w:r>
                    <w:rPr>
                      <w:rFonts w:hint="default" w:ascii="Times New Roman" w:hAnsi="Times New Roman" w:eastAsia="仿宋_GB2312" w:cs="Times New Roman"/>
                      <w:color w:val="auto"/>
                      <w:sz w:val="21"/>
                      <w:szCs w:val="21"/>
                      <w:u w:val="none"/>
                      <w:lang w:val="en-US" w:eastAsia="zh-CN"/>
                    </w:rPr>
                    <w:t>52.3</w:t>
                  </w:r>
                </w:p>
              </w:tc>
              <w:tc>
                <w:tcPr>
                  <w:tcW w:w="839" w:type="dxa"/>
                  <w:tcBorders>
                    <w:top w:val="single" w:color="auto" w:sz="4" w:space="0"/>
                    <w:left w:val="nil"/>
                    <w:bottom w:val="single" w:color="auto" w:sz="4" w:space="0"/>
                    <w:right w:val="single" w:color="auto" w:sz="4" w:space="0"/>
                  </w:tcBorders>
                  <w:noWrap w:val="0"/>
                  <w:vAlign w:val="center"/>
                </w:tcPr>
                <w:p w14:paraId="46D15B49">
                  <w:pPr>
                    <w:snapToGrid w:val="0"/>
                    <w:jc w:val="center"/>
                    <w:rPr>
                      <w:rFonts w:hint="default" w:ascii="Times New Roman" w:hAnsi="Times New Roman" w:cs="Times New Roman"/>
                      <w:color w:val="auto"/>
                      <w:sz w:val="21"/>
                      <w:szCs w:val="21"/>
                      <w:u w:val="none"/>
                      <w:lang w:val="en-US"/>
                    </w:rPr>
                  </w:pPr>
                  <w:r>
                    <w:rPr>
                      <w:rFonts w:hint="default" w:ascii="Times New Roman" w:hAnsi="Times New Roman" w:eastAsia="仿宋_GB2312" w:cs="Times New Roman"/>
                      <w:color w:val="auto"/>
                      <w:sz w:val="21"/>
                      <w:szCs w:val="21"/>
                      <w:u w:val="none"/>
                      <w:lang w:val="en-US" w:eastAsia="zh-CN"/>
                    </w:rPr>
                    <w:t>50.9</w:t>
                  </w:r>
                </w:p>
              </w:tc>
              <w:tc>
                <w:tcPr>
                  <w:tcW w:w="839" w:type="dxa"/>
                  <w:tcBorders>
                    <w:top w:val="single" w:color="auto" w:sz="4" w:space="0"/>
                    <w:left w:val="nil"/>
                    <w:bottom w:val="single" w:color="auto" w:sz="4" w:space="0"/>
                    <w:right w:val="single" w:color="auto" w:sz="4" w:space="0"/>
                  </w:tcBorders>
                  <w:noWrap w:val="0"/>
                  <w:vAlign w:val="center"/>
                </w:tcPr>
                <w:p w14:paraId="034FD9A1">
                  <w:pPr>
                    <w:snapToGrid w:val="0"/>
                    <w:jc w:val="center"/>
                    <w:rPr>
                      <w:rFonts w:hint="default" w:ascii="Times New Roman" w:hAnsi="Times New Roman" w:cs="Times New Roman"/>
                      <w:color w:val="auto"/>
                      <w:sz w:val="21"/>
                      <w:szCs w:val="21"/>
                      <w:u w:val="none"/>
                      <w:lang w:val="en-US"/>
                    </w:rPr>
                  </w:pPr>
                  <w:r>
                    <w:rPr>
                      <w:rFonts w:hint="default" w:ascii="Times New Roman" w:hAnsi="Times New Roman" w:eastAsia="仿宋_GB2312" w:cs="Times New Roman"/>
                      <w:color w:val="auto"/>
                      <w:sz w:val="21"/>
                      <w:szCs w:val="21"/>
                      <w:u w:val="none"/>
                      <w:lang w:val="en-US" w:eastAsia="zh-CN"/>
                    </w:rPr>
                    <w:t>49.7</w:t>
                  </w:r>
                </w:p>
              </w:tc>
              <w:tc>
                <w:tcPr>
                  <w:tcW w:w="839" w:type="dxa"/>
                  <w:tcBorders>
                    <w:top w:val="single" w:color="auto" w:sz="4" w:space="0"/>
                    <w:left w:val="nil"/>
                    <w:bottom w:val="single" w:color="auto" w:sz="4" w:space="0"/>
                    <w:right w:val="single" w:color="auto" w:sz="4" w:space="0"/>
                  </w:tcBorders>
                  <w:noWrap w:val="0"/>
                  <w:vAlign w:val="center"/>
                </w:tcPr>
                <w:p w14:paraId="23BA1C33">
                  <w:pPr>
                    <w:snapToGrid w:val="0"/>
                    <w:jc w:val="center"/>
                    <w:rPr>
                      <w:rFonts w:hint="default" w:ascii="Times New Roman" w:hAnsi="Times New Roman" w:cs="Times New Roman"/>
                      <w:color w:val="auto"/>
                      <w:sz w:val="21"/>
                      <w:szCs w:val="21"/>
                      <w:u w:val="none"/>
                      <w:lang w:val="en-US"/>
                    </w:rPr>
                  </w:pPr>
                  <w:r>
                    <w:rPr>
                      <w:rFonts w:hint="default" w:ascii="Times New Roman" w:hAnsi="Times New Roman" w:eastAsia="仿宋_GB2312" w:cs="Times New Roman"/>
                      <w:color w:val="auto"/>
                      <w:sz w:val="21"/>
                      <w:szCs w:val="21"/>
                      <w:u w:val="none"/>
                      <w:lang w:val="en-US" w:eastAsia="zh-CN"/>
                    </w:rPr>
                    <w:t>48.6</w:t>
                  </w:r>
                </w:p>
              </w:tc>
              <w:tc>
                <w:tcPr>
                  <w:tcW w:w="837" w:type="dxa"/>
                  <w:tcBorders>
                    <w:top w:val="single" w:color="auto" w:sz="4" w:space="0"/>
                    <w:left w:val="nil"/>
                    <w:bottom w:val="single" w:color="auto" w:sz="4" w:space="0"/>
                    <w:right w:val="single" w:color="auto" w:sz="4" w:space="0"/>
                  </w:tcBorders>
                  <w:noWrap w:val="0"/>
                  <w:vAlign w:val="center"/>
                </w:tcPr>
                <w:p w14:paraId="3EE65CCD">
                  <w:pPr>
                    <w:snapToGrid w:val="0"/>
                    <w:jc w:val="center"/>
                    <w:rPr>
                      <w:rFonts w:hint="default" w:ascii="Times New Roman" w:hAnsi="Times New Roman" w:cs="Times New Roman"/>
                      <w:color w:val="auto"/>
                      <w:sz w:val="21"/>
                      <w:szCs w:val="21"/>
                      <w:u w:val="none"/>
                      <w:lang w:val="en-US"/>
                    </w:rPr>
                  </w:pPr>
                  <w:r>
                    <w:rPr>
                      <w:rFonts w:hint="default" w:ascii="Times New Roman" w:hAnsi="Times New Roman" w:eastAsia="仿宋_GB2312" w:cs="Times New Roman"/>
                      <w:color w:val="auto"/>
                      <w:sz w:val="21"/>
                      <w:szCs w:val="21"/>
                      <w:u w:val="none"/>
                      <w:lang w:val="en-US" w:eastAsia="zh-CN"/>
                    </w:rPr>
                    <w:t>46.8</w:t>
                  </w:r>
                </w:p>
              </w:tc>
            </w:tr>
          </w:tbl>
          <w:p w14:paraId="4FBCCFCC">
            <w:pPr>
              <w:adjustRightInd w:val="0"/>
              <w:snapToGrid w:val="0"/>
              <w:spacing w:before="156" w:beforeLines="50" w:line="360" w:lineRule="auto"/>
              <w:ind w:firstLine="360" w:firstLineChars="200"/>
              <w:rPr>
                <w:rFonts w:hint="default" w:ascii="Times New Roman" w:hAnsi="Times New Roman" w:cs="Times New Roman"/>
                <w:snapToGrid w:val="0"/>
                <w:color w:val="auto"/>
                <w:kern w:val="0"/>
                <w:sz w:val="24"/>
                <w:u w:val="single"/>
              </w:rPr>
            </w:pPr>
            <w:r>
              <w:rPr>
                <w:rFonts w:hint="default" w:ascii="Times New Roman" w:hAnsi="Times New Roman" w:eastAsia="宋体" w:cs="Times New Roman"/>
                <w:b w:val="0"/>
                <w:bCs w:val="0"/>
                <w:color w:val="auto"/>
                <w:sz w:val="18"/>
                <w:szCs w:val="18"/>
                <w:u w:val="single"/>
              </w:rPr>
              <w:t>注：r2=（（r1</w:t>
            </w:r>
            <w:r>
              <w:rPr>
                <w:rFonts w:hint="default" w:ascii="Times New Roman" w:hAnsi="Times New Roman" w:eastAsia="宋体" w:cs="Times New Roman"/>
                <w:b w:val="0"/>
                <w:bCs w:val="0"/>
                <w:color w:val="auto"/>
                <w:sz w:val="18"/>
                <w:szCs w:val="18"/>
                <w:u w:val="single"/>
                <w:vertAlign w:val="superscript"/>
              </w:rPr>
              <w:t>2</w:t>
            </w:r>
            <w:r>
              <w:rPr>
                <w:rFonts w:hint="default" w:ascii="Times New Roman" w:hAnsi="Times New Roman" w:eastAsia="宋体" w:cs="Times New Roman"/>
                <w:b w:val="0"/>
                <w:bCs w:val="0"/>
                <w:color w:val="auto"/>
                <w:sz w:val="18"/>
                <w:szCs w:val="18"/>
                <w:u w:val="single"/>
              </w:rPr>
              <w:t>+</w:t>
            </w:r>
            <w:r>
              <w:rPr>
                <w:rFonts w:hint="default" w:ascii="Times New Roman" w:hAnsi="Times New Roman" w:eastAsia="宋体" w:cs="Times New Roman"/>
                <w:b w:val="0"/>
                <w:bCs w:val="0"/>
                <w:color w:val="auto"/>
                <w:sz w:val="18"/>
                <w:szCs w:val="18"/>
                <w:u w:val="single"/>
                <w:lang w:val="en-US" w:eastAsia="zh-CN"/>
              </w:rPr>
              <w:t>107</w:t>
            </w:r>
            <w:r>
              <w:rPr>
                <w:rFonts w:hint="default" w:ascii="Times New Roman" w:hAnsi="Times New Roman" w:eastAsia="宋体" w:cs="Times New Roman"/>
                <w:b w:val="0"/>
                <w:bCs w:val="0"/>
                <w:color w:val="auto"/>
                <w:sz w:val="18"/>
                <w:szCs w:val="18"/>
                <w:u w:val="single"/>
                <w:vertAlign w:val="superscript"/>
              </w:rPr>
              <w:t>2</w:t>
            </w:r>
            <w:r>
              <w:rPr>
                <w:rFonts w:hint="default" w:ascii="Times New Roman" w:hAnsi="Times New Roman" w:eastAsia="宋体" w:cs="Times New Roman"/>
                <w:b w:val="0"/>
                <w:bCs w:val="0"/>
                <w:color w:val="auto"/>
                <w:sz w:val="18"/>
                <w:szCs w:val="18"/>
                <w:u w:val="single"/>
              </w:rPr>
              <w:t>）</w:t>
            </w:r>
            <w:r>
              <w:rPr>
                <w:rFonts w:hint="default" w:ascii="Times New Roman" w:hAnsi="Times New Roman" w:eastAsia="宋体" w:cs="Times New Roman"/>
                <w:b w:val="0"/>
                <w:bCs w:val="0"/>
                <w:color w:val="auto"/>
                <w:sz w:val="18"/>
                <w:szCs w:val="18"/>
                <w:u w:val="single"/>
                <w:vertAlign w:val="superscript"/>
              </w:rPr>
              <w:t>1/2</w:t>
            </w:r>
            <w:r>
              <w:rPr>
                <w:rFonts w:hint="default" w:ascii="Times New Roman" w:hAnsi="Times New Roman" w:eastAsia="宋体" w:cs="Times New Roman"/>
                <w:b w:val="0"/>
                <w:bCs w:val="0"/>
                <w:color w:val="auto"/>
                <w:sz w:val="18"/>
                <w:szCs w:val="18"/>
                <w:u w:val="single"/>
              </w:rPr>
              <w:t>，</w:t>
            </w:r>
            <w:r>
              <w:rPr>
                <w:rFonts w:hint="default" w:ascii="Times New Roman" w:hAnsi="Times New Roman" w:eastAsia="宋体" w:cs="Times New Roman"/>
                <w:b w:val="0"/>
                <w:bCs w:val="0"/>
                <w:color w:val="auto"/>
                <w:sz w:val="18"/>
                <w:szCs w:val="18"/>
                <w:u w:val="single"/>
                <w:lang w:val="en-US" w:eastAsia="zh-CN"/>
              </w:rPr>
              <w:t>107m</w:t>
            </w:r>
            <w:r>
              <w:rPr>
                <w:rFonts w:hint="default" w:ascii="Times New Roman" w:hAnsi="Times New Roman" w:eastAsia="宋体" w:cs="Times New Roman"/>
                <w:b w:val="0"/>
                <w:bCs w:val="0"/>
                <w:color w:val="auto"/>
                <w:sz w:val="18"/>
                <w:szCs w:val="18"/>
                <w:u w:val="single"/>
              </w:rPr>
              <w:t>为垂直高度，没有考虑高程差，即为轮毂与地面的高程</w:t>
            </w:r>
            <w:r>
              <w:rPr>
                <w:rFonts w:hint="default" w:ascii="Times New Roman" w:hAnsi="Times New Roman" w:eastAsia="宋体" w:cs="Times New Roman"/>
                <w:b w:val="0"/>
                <w:bCs w:val="0"/>
                <w:color w:val="auto"/>
                <w:sz w:val="18"/>
                <w:szCs w:val="18"/>
                <w:u w:val="single"/>
                <w:lang w:eastAsia="zh-CN"/>
              </w:rPr>
              <w:t>。</w:t>
            </w:r>
          </w:p>
          <w:p w14:paraId="30F67EE2">
            <w:pPr>
              <w:pStyle w:val="13"/>
              <w:pageBreakBefore w:val="0"/>
              <w:kinsoku/>
              <w:wordWrap/>
              <w:overflowPunct/>
              <w:bidi w:val="0"/>
              <w:adjustRightInd w:val="0"/>
              <w:snapToGrid w:val="0"/>
              <w:spacing w:after="0" w:line="360" w:lineRule="auto"/>
              <w:ind w:left="0" w:leftChars="0" w:right="0" w:rightChars="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highlight w:val="none"/>
                <w:lang w:val="en-US" w:eastAsia="zh-CN"/>
              </w:rPr>
              <w:t>项目边界处风机距离场界为280-350m，</w:t>
            </w:r>
            <w:r>
              <w:rPr>
                <w:rFonts w:hint="default" w:ascii="Times New Roman" w:hAnsi="Times New Roman" w:eastAsia="宋体" w:cs="Times New Roman"/>
                <w:color w:val="auto"/>
                <w:sz w:val="24"/>
                <w:szCs w:val="24"/>
                <w:lang w:val="en-US" w:eastAsia="zh-CN"/>
              </w:rPr>
              <w:t>根据表4-7预测结果分析，本项目单台风机噪声贡献值在距风机200m外可达到</w:t>
            </w:r>
            <w:r>
              <w:rPr>
                <w:rFonts w:hint="default" w:ascii="Times New Roman" w:hAnsi="Times New Roman" w:cs="Times New Roman"/>
                <w:color w:val="auto"/>
                <w:sz w:val="24"/>
                <w:szCs w:val="22"/>
              </w:rPr>
              <w:t>《声环境质量标准》（GB3096-2008）</w:t>
            </w:r>
            <w:r>
              <w:rPr>
                <w:rFonts w:hint="default" w:ascii="Times New Roman" w:hAnsi="Times New Roman" w:eastAsia="宋体" w:cs="Times New Roman"/>
                <w:color w:val="auto"/>
                <w:sz w:val="24"/>
                <w:szCs w:val="24"/>
                <w:lang w:val="en-US" w:eastAsia="zh-CN"/>
              </w:rPr>
              <w:t>2类</w:t>
            </w:r>
            <w:r>
              <w:rPr>
                <w:rFonts w:hint="default" w:ascii="Times New Roman" w:hAnsi="Times New Roman" w:eastAsia="宋体" w:cs="Times New Roman"/>
                <w:color w:val="auto"/>
                <w:sz w:val="24"/>
                <w:szCs w:val="24"/>
                <w:lang w:val="en-US" w:eastAsia="zh-CN"/>
              </w:rPr>
              <w:t>区域标准要求（昼间65dB（A），夜间55dB（A））。</w:t>
            </w:r>
          </w:p>
          <w:p w14:paraId="53F2E1D4">
            <w:pPr>
              <w:pStyle w:val="13"/>
              <w:pageBreakBefore w:val="0"/>
              <w:kinsoku/>
              <w:wordWrap/>
              <w:overflowPunct/>
              <w:bidi w:val="0"/>
              <w:adjustRightInd w:val="0"/>
              <w:snapToGrid w:val="0"/>
              <w:spacing w:after="0" w:line="360" w:lineRule="auto"/>
              <w:ind w:left="0" w:leftChars="0"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风电场位于风能资源可开发的地区，故自然噪声较大。在风速较大时，自然噪声掩盖了风电场风机的噪声，此时风机产生的噪声对周围环境的影响也小于环境中自然风产生的噪声；而在风速较小时，风机产生的噪声相对较小，且随着距离衰减很快。</w:t>
            </w:r>
            <w:r>
              <w:rPr>
                <w:rFonts w:hint="default" w:ascii="Times New Roman" w:hAnsi="Times New Roman" w:eastAsia="宋体" w:cs="Times New Roman"/>
                <w:color w:val="auto"/>
                <w:sz w:val="24"/>
                <w:szCs w:val="24"/>
                <w:lang w:val="en-US" w:eastAsia="zh-CN"/>
              </w:rPr>
              <w:t>根据现场勘查情况，</w:t>
            </w:r>
            <w:r>
              <w:rPr>
                <w:rFonts w:hint="default" w:ascii="Times New Roman" w:hAnsi="Times New Roman" w:eastAsia="宋体" w:cs="Times New Roman"/>
                <w:color w:val="auto"/>
                <w:sz w:val="24"/>
              </w:rPr>
              <w:t>风电场附近无居民区，风电场运行期间所产生的噪声对周围环境的影响很小。</w:t>
            </w:r>
          </w:p>
          <w:p w14:paraId="51FB67D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32"/>
              </w:rPr>
            </w:pPr>
            <w:r>
              <w:rPr>
                <w:rFonts w:hint="default" w:ascii="Times New Roman" w:hAnsi="Times New Roman" w:eastAsia="宋体" w:cs="Times New Roman"/>
                <w:b/>
                <w:bCs/>
                <w:color w:val="auto"/>
                <w:sz w:val="24"/>
                <w:szCs w:val="32"/>
              </w:rPr>
              <w:t>3.2监测要求</w:t>
            </w:r>
          </w:p>
          <w:p w14:paraId="575B9D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根据《排污单位自行监测技术指南总则》</w:t>
            </w:r>
            <w:r>
              <w:rPr>
                <w:rFonts w:hint="default" w:ascii="Times New Roman" w:hAnsi="Times New Roman" w:cs="Times New Roman"/>
                <w:color w:val="auto"/>
                <w:sz w:val="24"/>
                <w:szCs w:val="32"/>
                <w:lang w:eastAsia="zh-CN"/>
              </w:rPr>
              <w:t>（</w:t>
            </w:r>
            <w:r>
              <w:rPr>
                <w:rFonts w:hint="default" w:ascii="Times New Roman" w:hAnsi="Times New Roman" w:eastAsia="宋体" w:cs="Times New Roman"/>
                <w:color w:val="auto"/>
                <w:sz w:val="24"/>
                <w:szCs w:val="32"/>
              </w:rPr>
              <w:t>HJ819-2017</w:t>
            </w:r>
            <w:r>
              <w:rPr>
                <w:rFonts w:hint="default" w:ascii="Times New Roman" w:hAnsi="Times New Roman" w:eastAsia="宋体" w:cs="Times New Roman"/>
                <w:color w:val="auto"/>
                <w:sz w:val="24"/>
                <w:szCs w:val="32"/>
                <w:lang w:eastAsia="zh-CN"/>
              </w:rPr>
              <w:t>）</w:t>
            </w:r>
            <w:r>
              <w:rPr>
                <w:rFonts w:hint="default" w:ascii="Times New Roman" w:hAnsi="Times New Roman" w:eastAsia="宋体" w:cs="Times New Roman"/>
                <w:color w:val="auto"/>
                <w:sz w:val="24"/>
                <w:szCs w:val="32"/>
              </w:rPr>
              <w:t>中的相关规定开展本项目的自行监测工作。本项目投产后，企业应重点搞好厂内污染源监测工作，根据本项目特点，评价提出本项目投产后污染源监测方案。噪声监测点位、监测项目及监测频率见表4-</w:t>
            </w:r>
            <w:r>
              <w:rPr>
                <w:rFonts w:hint="default" w:ascii="Times New Roman" w:hAnsi="Times New Roman" w:cs="Times New Roman"/>
                <w:color w:val="auto"/>
                <w:sz w:val="24"/>
                <w:szCs w:val="32"/>
                <w:lang w:val="en-US" w:eastAsia="zh-CN"/>
              </w:rPr>
              <w:t>7</w:t>
            </w:r>
            <w:r>
              <w:rPr>
                <w:rFonts w:hint="default" w:ascii="Times New Roman" w:hAnsi="Times New Roman" w:eastAsia="宋体" w:cs="Times New Roman"/>
                <w:color w:val="auto"/>
                <w:sz w:val="24"/>
                <w:szCs w:val="32"/>
              </w:rPr>
              <w:t>。</w:t>
            </w:r>
          </w:p>
          <w:p w14:paraId="782E9539">
            <w:pPr>
              <w:autoSpaceDE w:val="0"/>
              <w:autoSpaceDN w:val="0"/>
              <w:adjustRightInd w:val="0"/>
              <w:spacing w:line="300" w:lineRule="auto"/>
              <w:jc w:val="center"/>
              <w:rPr>
                <w:rFonts w:hint="default" w:ascii="Times New Roman" w:hAnsi="Times New Roman" w:eastAsia="宋体" w:cs="Times New Roman"/>
                <w:b/>
                <w:bCs/>
                <w:color w:val="auto"/>
                <w:u w:val="none"/>
              </w:rPr>
            </w:pPr>
            <w:r>
              <w:rPr>
                <w:rFonts w:hint="default" w:ascii="Times New Roman" w:hAnsi="Times New Roman" w:eastAsia="宋体" w:cs="Times New Roman"/>
                <w:b/>
                <w:bCs/>
                <w:color w:val="auto"/>
                <w:u w:val="none"/>
              </w:rPr>
              <w:t>表4-</w:t>
            </w:r>
            <w:r>
              <w:rPr>
                <w:rFonts w:hint="default" w:ascii="Times New Roman" w:hAnsi="Times New Roman" w:eastAsia="宋体" w:cs="Times New Roman"/>
                <w:b/>
                <w:bCs/>
                <w:color w:val="auto"/>
                <w:u w:val="none"/>
                <w:lang w:val="en-US" w:eastAsia="zh-CN"/>
              </w:rPr>
              <w:t>7</w:t>
            </w:r>
            <w:r>
              <w:rPr>
                <w:rFonts w:hint="default" w:ascii="Times New Roman" w:hAnsi="Times New Roman" w:eastAsia="宋体" w:cs="Times New Roman"/>
                <w:b/>
                <w:bCs/>
                <w:color w:val="auto"/>
                <w:u w:val="none"/>
              </w:rPr>
              <w:t>噪声监测计划一览表</w:t>
            </w:r>
          </w:p>
          <w:tbl>
            <w:tblPr>
              <w:tblStyle w:val="22"/>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1242"/>
              <w:gridCol w:w="1640"/>
              <w:gridCol w:w="1444"/>
              <w:gridCol w:w="1675"/>
              <w:gridCol w:w="1522"/>
            </w:tblGrid>
            <w:tr w14:paraId="555994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674" w:type="dxa"/>
                  <w:tcBorders>
                    <w:left w:val="single" w:color="auto" w:sz="0" w:space="0"/>
                  </w:tcBorders>
                  <w:noWrap w:val="0"/>
                  <w:vAlign w:val="center"/>
                </w:tcPr>
                <w:p w14:paraId="0BCBAEB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序号</w:t>
                  </w:r>
                </w:p>
              </w:tc>
              <w:tc>
                <w:tcPr>
                  <w:tcW w:w="1242" w:type="dxa"/>
                  <w:noWrap w:val="0"/>
                  <w:vAlign w:val="center"/>
                </w:tcPr>
                <w:p w14:paraId="41B7642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监测项目</w:t>
                  </w:r>
                </w:p>
              </w:tc>
              <w:tc>
                <w:tcPr>
                  <w:tcW w:w="1640" w:type="dxa"/>
                  <w:noWrap w:val="0"/>
                  <w:vAlign w:val="center"/>
                </w:tcPr>
                <w:p w14:paraId="646B6E8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监测因子</w:t>
                  </w:r>
                </w:p>
              </w:tc>
              <w:tc>
                <w:tcPr>
                  <w:tcW w:w="1444" w:type="dxa"/>
                  <w:noWrap w:val="0"/>
                  <w:vAlign w:val="center"/>
                </w:tcPr>
                <w:p w14:paraId="36E454F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监测点位</w:t>
                  </w:r>
                </w:p>
              </w:tc>
              <w:tc>
                <w:tcPr>
                  <w:tcW w:w="1675" w:type="dxa"/>
                  <w:noWrap w:val="0"/>
                  <w:vAlign w:val="center"/>
                </w:tcPr>
                <w:p w14:paraId="3D2F7FF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监测频率</w:t>
                  </w:r>
                </w:p>
              </w:tc>
              <w:tc>
                <w:tcPr>
                  <w:tcW w:w="1522" w:type="dxa"/>
                  <w:tcBorders>
                    <w:right w:val="single" w:color="auto" w:sz="4" w:space="0"/>
                  </w:tcBorders>
                  <w:noWrap w:val="0"/>
                  <w:vAlign w:val="center"/>
                </w:tcPr>
                <w:p w14:paraId="34F42F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实施机构</w:t>
                  </w:r>
                </w:p>
              </w:tc>
            </w:tr>
            <w:tr w14:paraId="36201C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674" w:type="dxa"/>
                  <w:tcBorders>
                    <w:left w:val="single" w:color="auto" w:sz="4" w:space="0"/>
                  </w:tcBorders>
                  <w:noWrap w:val="0"/>
                  <w:vAlign w:val="center"/>
                </w:tcPr>
                <w:p w14:paraId="41C4336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1</w:t>
                  </w:r>
                </w:p>
              </w:tc>
              <w:tc>
                <w:tcPr>
                  <w:tcW w:w="1242" w:type="dxa"/>
                  <w:noWrap w:val="0"/>
                  <w:vAlign w:val="center"/>
                </w:tcPr>
                <w:p w14:paraId="78D10FA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噪声</w:t>
                  </w:r>
                </w:p>
              </w:tc>
              <w:tc>
                <w:tcPr>
                  <w:tcW w:w="1640" w:type="dxa"/>
                  <w:noWrap w:val="0"/>
                  <w:vAlign w:val="center"/>
                </w:tcPr>
                <w:p w14:paraId="4043E3B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厂界噪声</w:t>
                  </w:r>
                </w:p>
              </w:tc>
              <w:tc>
                <w:tcPr>
                  <w:tcW w:w="1444" w:type="dxa"/>
                  <w:noWrap w:val="0"/>
                  <w:vAlign w:val="center"/>
                </w:tcPr>
                <w:p w14:paraId="0BDB33B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4"/>
                      <w:lang w:eastAsia="zh-CN"/>
                    </w:rPr>
                  </w:pPr>
                  <w:r>
                    <w:rPr>
                      <w:rFonts w:hint="default" w:ascii="Times New Roman" w:hAnsi="Times New Roman" w:eastAsia="宋体" w:cs="Times New Roman"/>
                      <w:color w:val="auto"/>
                      <w:sz w:val="21"/>
                      <w:szCs w:val="24"/>
                    </w:rPr>
                    <w:t>厂界四周</w:t>
                  </w:r>
                </w:p>
              </w:tc>
              <w:tc>
                <w:tcPr>
                  <w:tcW w:w="1675" w:type="dxa"/>
                  <w:noWrap w:val="0"/>
                  <w:vAlign w:val="center"/>
                </w:tcPr>
                <w:p w14:paraId="21EBB6D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次/年</w:t>
                  </w:r>
                </w:p>
              </w:tc>
              <w:tc>
                <w:tcPr>
                  <w:tcW w:w="1522" w:type="dxa"/>
                  <w:tcBorders>
                    <w:right w:val="single" w:color="auto" w:sz="4" w:space="0"/>
                  </w:tcBorders>
                  <w:noWrap w:val="0"/>
                  <w:vAlign w:val="center"/>
                </w:tcPr>
                <w:p w14:paraId="122C04A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委托监测</w:t>
                  </w:r>
                </w:p>
              </w:tc>
            </w:tr>
          </w:tbl>
          <w:p w14:paraId="5B6416C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32"/>
              </w:rPr>
            </w:pPr>
            <w:r>
              <w:rPr>
                <w:rFonts w:hint="default" w:ascii="Times New Roman" w:hAnsi="Times New Roman" w:eastAsia="宋体" w:cs="Times New Roman"/>
                <w:b/>
                <w:bCs/>
                <w:color w:val="auto"/>
                <w:sz w:val="24"/>
                <w:szCs w:val="32"/>
                <w:lang w:val="en-US" w:eastAsia="zh-CN"/>
              </w:rPr>
              <w:t>4、</w:t>
            </w:r>
            <w:r>
              <w:rPr>
                <w:rFonts w:hint="default" w:ascii="Times New Roman" w:hAnsi="Times New Roman" w:eastAsia="宋体" w:cs="Times New Roman"/>
                <w:b/>
                <w:bCs/>
                <w:color w:val="auto"/>
                <w:sz w:val="24"/>
                <w:szCs w:val="32"/>
              </w:rPr>
              <w:t>固废环境影响分析</w:t>
            </w:r>
          </w:p>
          <w:p w14:paraId="0AA879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本项目营运期产生的固体废物主要是</w:t>
            </w:r>
            <w:r>
              <w:rPr>
                <w:rFonts w:hint="default" w:ascii="Times New Roman" w:hAnsi="Times New Roman" w:cs="Times New Roman"/>
                <w:color w:val="auto"/>
                <w:sz w:val="24"/>
                <w:szCs w:val="32"/>
                <w:lang w:val="en-US" w:eastAsia="zh-CN"/>
              </w:rPr>
              <w:t>废油</w:t>
            </w:r>
            <w:r>
              <w:rPr>
                <w:rFonts w:hint="default" w:ascii="Times New Roman" w:hAnsi="Times New Roman" w:eastAsia="宋体" w:cs="Times New Roman"/>
                <w:color w:val="auto"/>
                <w:sz w:val="24"/>
                <w:szCs w:val="32"/>
                <w:lang w:val="en-US" w:eastAsia="zh-CN"/>
              </w:rPr>
              <w:t>和含油抹布。</w:t>
            </w:r>
          </w:p>
          <w:p w14:paraId="61BE26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lang w:val="en-US" w:eastAsia="zh-CN"/>
              </w:rPr>
              <w:t>（1）</w:t>
            </w:r>
            <w:r>
              <w:rPr>
                <w:rFonts w:hint="default" w:ascii="Times New Roman" w:hAnsi="Times New Roman" w:eastAsia="宋体" w:cs="Times New Roman"/>
                <w:color w:val="auto"/>
                <w:sz w:val="24"/>
                <w:szCs w:val="32"/>
              </w:rPr>
              <w:t>含油抹布</w:t>
            </w:r>
          </w:p>
          <w:p w14:paraId="0142F3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含油抹布在设备维修维护过</w:t>
            </w:r>
            <w:r>
              <w:rPr>
                <w:rFonts w:hint="default" w:ascii="Times New Roman" w:hAnsi="Times New Roman" w:cs="Times New Roman"/>
                <w:color w:val="auto"/>
                <w:sz w:val="24"/>
                <w:szCs w:val="32"/>
                <w:lang w:val="en-US" w:eastAsia="zh-CN"/>
              </w:rPr>
              <w:t>程中</w:t>
            </w:r>
            <w:r>
              <w:rPr>
                <w:rFonts w:hint="default" w:ascii="Times New Roman" w:hAnsi="Times New Roman" w:eastAsia="宋体" w:cs="Times New Roman"/>
                <w:color w:val="auto"/>
                <w:sz w:val="24"/>
                <w:szCs w:val="32"/>
                <w:lang w:val="en-US" w:eastAsia="zh-CN"/>
              </w:rPr>
              <w:t>产生，根据建设单位提供资料，产生量约为0.01t/a，根据</w:t>
            </w:r>
            <w:r>
              <w:rPr>
                <w:rFonts w:hint="default" w:ascii="Times New Roman" w:hAnsi="Times New Roman" w:cs="Times New Roman"/>
                <w:color w:val="auto"/>
                <w:sz w:val="24"/>
                <w:szCs w:val="32"/>
                <w:lang w:val="en-US" w:eastAsia="zh-CN"/>
              </w:rPr>
              <w:t>《国家危险废物名录》（2025年）</w:t>
            </w:r>
            <w:r>
              <w:rPr>
                <w:rFonts w:hint="default" w:ascii="Times New Roman" w:hAnsi="Times New Roman" w:eastAsia="宋体" w:cs="Times New Roman"/>
                <w:color w:val="auto"/>
                <w:sz w:val="24"/>
                <w:szCs w:val="32"/>
                <w:lang w:val="en-US" w:eastAsia="zh-CN"/>
              </w:rPr>
              <w:t>，</w:t>
            </w:r>
            <w:r>
              <w:rPr>
                <w:rFonts w:hint="default" w:ascii="Times New Roman" w:hAnsi="Times New Roman" w:eastAsia="宋体" w:cs="Times New Roman"/>
                <w:color w:val="auto"/>
                <w:kern w:val="2"/>
                <w:sz w:val="24"/>
                <w:szCs w:val="24"/>
                <w:lang w:val="en-US" w:eastAsia="zh-CN" w:bidi="ar-SA"/>
              </w:rPr>
              <w:t>属于危险废物，废物代码为900-041-49（废弃的含油抹布、劳保用品），</w:t>
            </w:r>
            <w:r>
              <w:rPr>
                <w:rFonts w:hint="default" w:ascii="Times New Roman" w:hAnsi="Times New Roman" w:eastAsia="宋体" w:cs="Times New Roman"/>
                <w:color w:val="auto"/>
                <w:sz w:val="24"/>
                <w:szCs w:val="32"/>
                <w:lang w:val="en-US" w:eastAsia="zh-CN"/>
              </w:rPr>
              <w:t>收集暂存于危废暂存间</w:t>
            </w:r>
            <w:r>
              <w:rPr>
                <w:rFonts w:hint="default" w:ascii="Times New Roman" w:hAnsi="Times New Roman" w:cs="Times New Roman"/>
                <w:color w:val="auto"/>
                <w:sz w:val="24"/>
                <w:szCs w:val="32"/>
                <w:lang w:val="en-US" w:eastAsia="zh-CN"/>
              </w:rPr>
              <w:t>（10m</w:t>
            </w:r>
            <w:r>
              <w:rPr>
                <w:rFonts w:hint="default" w:ascii="Times New Roman" w:hAnsi="Times New Roman" w:cs="Times New Roman"/>
                <w:color w:val="auto"/>
                <w:sz w:val="24"/>
                <w:szCs w:val="32"/>
                <w:vertAlign w:val="superscript"/>
                <w:lang w:val="en-US" w:eastAsia="zh-CN"/>
              </w:rPr>
              <w:t>2</w:t>
            </w:r>
            <w:r>
              <w:rPr>
                <w:rFonts w:hint="default" w:ascii="Times New Roman" w:hAnsi="Times New Roman" w:cs="Times New Roman"/>
                <w:color w:val="auto"/>
                <w:sz w:val="24"/>
                <w:szCs w:val="32"/>
                <w:lang w:val="en-US" w:eastAsia="zh-CN"/>
              </w:rPr>
              <w:t>）</w:t>
            </w:r>
            <w:r>
              <w:rPr>
                <w:rFonts w:hint="default" w:ascii="Times New Roman" w:hAnsi="Times New Roman" w:eastAsia="宋体" w:cs="Times New Roman"/>
                <w:color w:val="auto"/>
                <w:sz w:val="24"/>
                <w:szCs w:val="32"/>
                <w:lang w:val="en-US" w:eastAsia="zh-CN"/>
              </w:rPr>
              <w:t>内，定期交由有资质单位处理。</w:t>
            </w:r>
          </w:p>
          <w:p w14:paraId="699C57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w:t>
            </w:r>
            <w:r>
              <w:rPr>
                <w:rFonts w:hint="default" w:ascii="Times New Roman" w:hAnsi="Times New Roman" w:cs="Times New Roman"/>
                <w:color w:val="auto"/>
                <w:sz w:val="24"/>
                <w:szCs w:val="32"/>
                <w:lang w:val="en-US" w:eastAsia="zh-CN"/>
              </w:rPr>
              <w:t>2</w:t>
            </w:r>
            <w:r>
              <w:rPr>
                <w:rFonts w:hint="default" w:ascii="Times New Roman" w:hAnsi="Times New Roman" w:eastAsia="宋体" w:cs="Times New Roman"/>
                <w:color w:val="auto"/>
                <w:sz w:val="24"/>
                <w:szCs w:val="32"/>
                <w:lang w:val="en-US" w:eastAsia="zh-CN"/>
              </w:rPr>
              <w:t>）</w:t>
            </w:r>
            <w:r>
              <w:rPr>
                <w:rFonts w:hint="default" w:ascii="Times New Roman" w:hAnsi="Times New Roman" w:eastAsia="宋体" w:cs="Times New Roman"/>
                <w:color w:val="auto"/>
                <w:sz w:val="24"/>
                <w:szCs w:val="32"/>
                <w:lang w:val="en-US" w:eastAsia="zh-CN"/>
              </w:rPr>
              <w:t>废油</w:t>
            </w:r>
          </w:p>
          <w:p w14:paraId="42CD82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本项目</w:t>
            </w:r>
            <w:r>
              <w:rPr>
                <w:rFonts w:hint="default" w:ascii="Times New Roman" w:hAnsi="Times New Roman" w:cs="Times New Roman"/>
                <w:color w:val="auto"/>
                <w:sz w:val="24"/>
                <w:szCs w:val="32"/>
                <w:lang w:val="en-US" w:eastAsia="zh-CN"/>
              </w:rPr>
              <w:t>箱式</w:t>
            </w:r>
            <w:r>
              <w:rPr>
                <w:rFonts w:hint="default" w:ascii="Times New Roman" w:hAnsi="Times New Roman" w:eastAsia="宋体" w:cs="Times New Roman"/>
                <w:color w:val="auto"/>
                <w:sz w:val="24"/>
                <w:szCs w:val="32"/>
                <w:lang w:val="en-US" w:eastAsia="zh-CN"/>
              </w:rPr>
              <w:t>变压器为了冷却和绝缘的需要，其外壳装有少量冷却油。冷却油分矿物油和合成油两种。矿物油是由天然石油加工炼制而成，其成分有烷烃、环烷烃及芳香烃三大类。合成油是用人工合成的方法生产出来的绝缘油，它在某些特性上优于矿物变压器油，如硅油、三甲醇基丙烷酯和季戍四醇酯等都具有难燃或不燃的特性。按照国家有关规定，目前变压器的生产设备均不得含多氯联苯。本项目使用的为合成油，当变电器出现事故和检修时，会排出其外壳的冷却油。通常来说变压器油的更换没有具体的时间规定，一般可使用20年以上，根据变压器油的检测规范，运行中的变压器油每过一段时间就要进行油质分析的检测，根据检测分析的结果或运行状态考虑是否需要更换变压器油，因此评价按最不利情形1年1次的更换周期考虑。</w:t>
            </w:r>
          </w:p>
          <w:p w14:paraId="2BC063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根据建设单位介绍，项目35kV箱式升压变压器单台冷却油量约为</w:t>
            </w:r>
            <w:r>
              <w:rPr>
                <w:rFonts w:hint="default" w:ascii="Times New Roman" w:hAnsi="Times New Roman" w:cs="Times New Roman"/>
                <w:color w:val="auto"/>
                <w:sz w:val="24"/>
                <w:szCs w:val="32"/>
                <w:lang w:val="en-US" w:eastAsia="zh-CN"/>
              </w:rPr>
              <w:t>0.</w:t>
            </w:r>
            <w:r>
              <w:rPr>
                <w:rFonts w:hint="default" w:ascii="Times New Roman" w:hAnsi="Times New Roman" w:eastAsia="宋体" w:cs="Times New Roman"/>
                <w:color w:val="auto"/>
                <w:sz w:val="24"/>
                <w:szCs w:val="32"/>
                <w:lang w:val="en-US" w:eastAsia="zh-CN"/>
              </w:rPr>
              <w:t>1t，则变压器废油最大产生量</w:t>
            </w:r>
            <w:r>
              <w:rPr>
                <w:rFonts w:hint="default" w:ascii="Times New Roman" w:hAnsi="Times New Roman" w:cs="Times New Roman"/>
                <w:color w:val="auto"/>
                <w:sz w:val="24"/>
                <w:szCs w:val="32"/>
                <w:lang w:val="en-US" w:eastAsia="zh-CN"/>
              </w:rPr>
              <w:t>3.1</w:t>
            </w:r>
            <w:r>
              <w:rPr>
                <w:rFonts w:hint="default" w:ascii="Times New Roman" w:hAnsi="Times New Roman" w:eastAsia="宋体" w:cs="Times New Roman"/>
                <w:color w:val="auto"/>
                <w:sz w:val="24"/>
                <w:szCs w:val="32"/>
                <w:lang w:val="en-US" w:eastAsia="zh-CN"/>
              </w:rPr>
              <w:t>t/a。经查，冷却油密度约为0.895t/m</w:t>
            </w:r>
            <w:r>
              <w:rPr>
                <w:rFonts w:hint="default" w:ascii="Times New Roman" w:hAnsi="Times New Roman" w:eastAsia="宋体" w:cs="Times New Roman"/>
                <w:color w:val="auto"/>
                <w:sz w:val="24"/>
                <w:szCs w:val="32"/>
                <w:vertAlign w:val="superscript"/>
                <w:lang w:val="en-US" w:eastAsia="zh-CN"/>
              </w:rPr>
              <w:t>3</w:t>
            </w:r>
            <w:r>
              <w:rPr>
                <w:rFonts w:hint="default" w:ascii="Times New Roman" w:hAnsi="Times New Roman" w:eastAsia="宋体" w:cs="Times New Roman"/>
                <w:color w:val="auto"/>
                <w:sz w:val="24"/>
                <w:szCs w:val="32"/>
                <w:lang w:val="en-US" w:eastAsia="zh-CN"/>
              </w:rPr>
              <w:t>，并按1.2的变化系数预留一定容量后取整，在箱式变压器周边各建设一座容积为</w:t>
            </w:r>
            <w:r>
              <w:rPr>
                <w:rFonts w:hint="default" w:ascii="Times New Roman" w:hAnsi="Times New Roman" w:cs="Times New Roman"/>
                <w:color w:val="auto"/>
                <w:sz w:val="24"/>
                <w:szCs w:val="32"/>
                <w:lang w:val="en-US" w:eastAsia="zh-CN"/>
              </w:rPr>
              <w:t>1</w:t>
            </w:r>
            <w:r>
              <w:rPr>
                <w:rFonts w:hint="default" w:ascii="Times New Roman" w:hAnsi="Times New Roman" w:eastAsia="宋体" w:cs="Times New Roman"/>
                <w:color w:val="auto"/>
                <w:sz w:val="24"/>
                <w:szCs w:val="32"/>
                <w:lang w:val="en-US" w:eastAsia="zh-CN"/>
              </w:rPr>
              <w:t>m</w:t>
            </w:r>
            <w:r>
              <w:rPr>
                <w:rFonts w:hint="default" w:ascii="Times New Roman" w:hAnsi="Times New Roman" w:eastAsia="宋体" w:cs="Times New Roman"/>
                <w:color w:val="auto"/>
                <w:sz w:val="24"/>
                <w:szCs w:val="32"/>
                <w:vertAlign w:val="superscript"/>
                <w:lang w:val="en-US" w:eastAsia="zh-CN"/>
              </w:rPr>
              <w:t>3</w:t>
            </w:r>
            <w:r>
              <w:rPr>
                <w:rFonts w:hint="default" w:ascii="Times New Roman" w:hAnsi="Times New Roman" w:eastAsia="宋体" w:cs="Times New Roman"/>
                <w:color w:val="auto"/>
                <w:sz w:val="24"/>
                <w:szCs w:val="32"/>
                <w:lang w:val="en-US" w:eastAsia="zh-CN"/>
              </w:rPr>
              <w:t>的事故油池，共建设</w:t>
            </w:r>
            <w:r>
              <w:rPr>
                <w:rFonts w:hint="default" w:ascii="Times New Roman" w:hAnsi="Times New Roman" w:cs="Times New Roman"/>
                <w:color w:val="auto"/>
                <w:sz w:val="24"/>
                <w:szCs w:val="32"/>
                <w:lang w:val="en-US" w:eastAsia="zh-CN"/>
              </w:rPr>
              <w:t>30</w:t>
            </w:r>
            <w:r>
              <w:rPr>
                <w:rFonts w:hint="default" w:ascii="Times New Roman" w:hAnsi="Times New Roman" w:eastAsia="宋体" w:cs="Times New Roman"/>
                <w:color w:val="auto"/>
                <w:sz w:val="24"/>
                <w:szCs w:val="32"/>
                <w:lang w:val="en-US" w:eastAsia="zh-CN"/>
              </w:rPr>
              <w:t>座，事故油池应当按照《危险废物贮存污染控制标准》（GB18597-2023）的要求进行建设，基础必须防渗，防渗层采用2mm厚高密度聚乙烯，或至少2mm厚的其他人工材料（渗透系数≤10</w:t>
            </w:r>
            <w:r>
              <w:rPr>
                <w:rFonts w:hint="default" w:ascii="Times New Roman" w:hAnsi="Times New Roman" w:eastAsia="宋体" w:cs="Times New Roman"/>
                <w:color w:val="auto"/>
                <w:sz w:val="24"/>
                <w:szCs w:val="32"/>
                <w:vertAlign w:val="superscript"/>
                <w:lang w:val="en-US" w:eastAsia="zh-CN"/>
              </w:rPr>
              <w:t>-10</w:t>
            </w:r>
            <w:r>
              <w:rPr>
                <w:rFonts w:hint="default" w:ascii="Times New Roman" w:hAnsi="Times New Roman" w:eastAsia="宋体" w:cs="Times New Roman"/>
                <w:color w:val="auto"/>
                <w:sz w:val="24"/>
                <w:szCs w:val="32"/>
                <w:lang w:val="en-US" w:eastAsia="zh-CN"/>
              </w:rPr>
              <w:t>cm/s）。根据《国家危险废物名录（2021版）》，变压器废油属于危险废物，废物类别属“HW08废矿物油与含矿物油废物”，废物代码为900-220-08，危险特性为T、I，物理性状为液态。变压器废油应严格按照《危</w:t>
            </w:r>
            <w:r>
              <w:rPr>
                <w:rFonts w:hint="default" w:ascii="Times New Roman" w:hAnsi="Times New Roman" w:cs="Times New Roman"/>
                <w:color w:val="auto"/>
                <w:sz w:val="24"/>
                <w:szCs w:val="32"/>
                <w:lang w:val="en-US" w:eastAsia="zh-CN"/>
              </w:rPr>
              <w:t>险废</w:t>
            </w:r>
            <w:r>
              <w:rPr>
                <w:rFonts w:hint="default" w:ascii="Times New Roman" w:hAnsi="Times New Roman" w:eastAsia="宋体" w:cs="Times New Roman"/>
                <w:color w:val="auto"/>
                <w:sz w:val="24"/>
                <w:szCs w:val="32"/>
                <w:lang w:val="en-US" w:eastAsia="zh-CN"/>
              </w:rPr>
              <w:t>物贮存污染控制标准》（GB18597-2023）要求进行贮存及管理，使用专用废液收集容器盛装收集，并贴上危险废物标签，经危废暂存间暂存后定期交由有资质的单位处理。</w:t>
            </w:r>
          </w:p>
          <w:p w14:paraId="0BC4BF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cs="Times New Roman"/>
                <w:color w:val="auto"/>
                <w:sz w:val="24"/>
                <w:szCs w:val="32"/>
                <w:lang w:val="en-US" w:eastAsia="zh-CN"/>
              </w:rPr>
              <w:t>（3）</w:t>
            </w:r>
            <w:r>
              <w:rPr>
                <w:rFonts w:hint="default" w:ascii="Times New Roman" w:hAnsi="Times New Roman" w:eastAsia="宋体" w:cs="Times New Roman"/>
                <w:color w:val="auto"/>
                <w:sz w:val="24"/>
                <w:szCs w:val="32"/>
                <w:lang w:val="en-US" w:eastAsia="zh-CN"/>
              </w:rPr>
              <w:t>生活垃圾：</w:t>
            </w:r>
          </w:p>
          <w:p w14:paraId="689CA9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项目营运期临时检修人员按2人计，生活垃圾产生量按0.</w:t>
            </w:r>
            <w:r>
              <w:rPr>
                <w:rFonts w:hint="default" w:ascii="Times New Roman" w:hAnsi="Times New Roman" w:cs="Times New Roman"/>
                <w:color w:val="auto"/>
                <w:sz w:val="24"/>
                <w:szCs w:val="32"/>
                <w:lang w:val="en-US" w:eastAsia="zh-CN"/>
              </w:rPr>
              <w:t>5</w:t>
            </w:r>
            <w:r>
              <w:rPr>
                <w:rFonts w:hint="default" w:ascii="Times New Roman" w:hAnsi="Times New Roman" w:eastAsia="宋体" w:cs="Times New Roman"/>
                <w:color w:val="auto"/>
                <w:sz w:val="24"/>
                <w:szCs w:val="32"/>
                <w:lang w:val="en-US" w:eastAsia="zh-CN"/>
              </w:rPr>
              <w:t>kg/（人•d）计算</w:t>
            </w:r>
            <w:r>
              <w:rPr>
                <w:rFonts w:hint="default" w:ascii="Times New Roman" w:hAnsi="Times New Roman" w:cs="Times New Roman"/>
                <w:color w:val="auto"/>
                <w:sz w:val="24"/>
                <w:szCs w:val="32"/>
                <w:lang w:val="en-US" w:eastAsia="zh-CN"/>
              </w:rPr>
              <w:t>，生活垃圾产生量0.365t/a，</w:t>
            </w:r>
            <w:r>
              <w:rPr>
                <w:rFonts w:hint="default" w:ascii="Times New Roman" w:hAnsi="Times New Roman" w:eastAsia="宋体" w:cs="Times New Roman"/>
                <w:color w:val="auto"/>
                <w:sz w:val="24"/>
                <w:szCs w:val="32"/>
                <w:lang w:val="en-US" w:eastAsia="zh-CN"/>
              </w:rPr>
              <w:t>集中收集后，定期清运至环卫部门指定地点。</w:t>
            </w:r>
          </w:p>
          <w:p w14:paraId="61BA49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综上分析，对固体废弃物采取相应治理措施后，固废可以得到合理</w:t>
            </w:r>
            <w:r>
              <w:rPr>
                <w:rFonts w:hint="default" w:ascii="Times New Roman" w:hAnsi="Times New Roman" w:cs="Times New Roman"/>
                <w:color w:val="auto"/>
                <w:sz w:val="24"/>
                <w:szCs w:val="32"/>
                <w:lang w:val="en-US" w:eastAsia="zh-CN"/>
              </w:rPr>
              <w:t>地</w:t>
            </w:r>
            <w:r>
              <w:rPr>
                <w:rFonts w:hint="default" w:ascii="Times New Roman" w:hAnsi="Times New Roman" w:eastAsia="宋体" w:cs="Times New Roman"/>
                <w:color w:val="auto"/>
                <w:sz w:val="24"/>
                <w:szCs w:val="32"/>
                <w:lang w:val="en-US" w:eastAsia="zh-CN"/>
              </w:rPr>
              <w:t>处置，产生的固体废物对周围环境的影响不大。</w:t>
            </w:r>
          </w:p>
          <w:p w14:paraId="704F092E">
            <w:pPr>
              <w:widowControl/>
              <w:snapToGrid w:val="0"/>
              <w:spacing w:line="360" w:lineRule="auto"/>
              <w:ind w:firstLine="482" w:firstLineChars="200"/>
              <w:jc w:val="left"/>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4.</w:t>
            </w:r>
            <w:r>
              <w:rPr>
                <w:rFonts w:hint="default" w:ascii="Times New Roman" w:hAnsi="Times New Roman" w:eastAsia="宋体" w:cs="Times New Roman"/>
                <w:b/>
                <w:bCs/>
                <w:color w:val="auto"/>
                <w:sz w:val="24"/>
                <w:lang w:val="en-US" w:eastAsia="zh-CN"/>
              </w:rPr>
              <w:t>1危险废物</w:t>
            </w:r>
            <w:r>
              <w:rPr>
                <w:rFonts w:hint="default" w:ascii="Times New Roman" w:hAnsi="Times New Roman" w:eastAsia="宋体" w:cs="Times New Roman"/>
                <w:b/>
                <w:bCs/>
                <w:color w:val="auto"/>
                <w:sz w:val="24"/>
              </w:rPr>
              <w:t>固体废物环境管理要求</w:t>
            </w:r>
          </w:p>
          <w:p w14:paraId="1EAF52B4">
            <w:pPr>
              <w:widowControl/>
              <w:snapToGrid w:val="0"/>
              <w:spacing w:line="360" w:lineRule="auto"/>
              <w:ind w:firstLine="480" w:firstLineChars="200"/>
              <w:jc w:val="left"/>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rPr>
              <w:t>根据分析，本项目危险废物产生量较小，因此本次评价要求建设单位设置危废暂存间（1</w:t>
            </w:r>
            <w:r>
              <w:rPr>
                <w:rFonts w:hint="default" w:ascii="Times New Roman" w:hAnsi="Times New Roman" w:eastAsia="宋体" w:cs="Times New Roman"/>
                <w:color w:val="auto"/>
                <w:sz w:val="24"/>
                <w:lang w:val="en-US" w:eastAsia="zh-CN"/>
              </w:rPr>
              <w:t>0</w:t>
            </w:r>
            <w:r>
              <w:rPr>
                <w:rFonts w:hint="default" w:ascii="Times New Roman" w:hAnsi="Times New Roman" w:eastAsia="宋体" w:cs="Times New Roman"/>
                <w:color w:val="auto"/>
                <w:sz w:val="24"/>
              </w:rPr>
              <w:t>m</w:t>
            </w:r>
            <w:r>
              <w:rPr>
                <w:rFonts w:hint="default" w:ascii="Times New Roman" w:hAnsi="Times New Roman" w:eastAsia="宋体" w:cs="Times New Roman"/>
                <w:color w:val="auto"/>
                <w:sz w:val="24"/>
                <w:vertAlign w:val="superscript"/>
              </w:rPr>
              <w:t>2</w:t>
            </w:r>
            <w:r>
              <w:rPr>
                <w:rFonts w:hint="default" w:ascii="Times New Roman" w:hAnsi="Times New Roman" w:eastAsia="宋体" w:cs="Times New Roman"/>
                <w:color w:val="auto"/>
                <w:sz w:val="24"/>
              </w:rPr>
              <w:t>），用于暂存废润滑油，定期交由有资质单位处置。危废暂存间的设置严格按照</w:t>
            </w:r>
            <w:r>
              <w:rPr>
                <w:rFonts w:hint="default" w:ascii="Times New Roman" w:hAnsi="Times New Roman" w:eastAsia="Helvetica" w:cs="Times New Roman"/>
                <w:i w:val="0"/>
                <w:iCs w:val="0"/>
                <w:caps w:val="0"/>
                <w:color w:val="auto"/>
                <w:spacing w:val="0"/>
                <w:sz w:val="21"/>
                <w:szCs w:val="21"/>
                <w:shd w:val="clear" w:color="auto" w:fill="FFFFFF"/>
              </w:rPr>
              <w:t>《</w:t>
            </w:r>
            <w:r>
              <w:rPr>
                <w:rFonts w:hint="default" w:ascii="Times New Roman" w:hAnsi="Times New Roman" w:eastAsia="宋体" w:cs="Times New Roman"/>
                <w:color w:val="auto"/>
                <w:kern w:val="0"/>
                <w:sz w:val="24"/>
              </w:rPr>
              <w:t>危险废物贮存污染控制标准》（GB18597-2023）</w:t>
            </w:r>
            <w:r>
              <w:rPr>
                <w:rFonts w:hint="default" w:ascii="Times New Roman" w:hAnsi="Times New Roman" w:eastAsia="宋体" w:cs="Times New Roman"/>
                <w:color w:val="auto"/>
                <w:sz w:val="24"/>
              </w:rPr>
              <w:t>中有关规定</w:t>
            </w:r>
            <w:r>
              <w:rPr>
                <w:rFonts w:hint="default" w:ascii="Times New Roman" w:hAnsi="Times New Roman" w:eastAsia="宋体" w:cs="Times New Roman"/>
                <w:color w:val="auto"/>
                <w:sz w:val="24"/>
                <w:lang w:eastAsia="zh-CN"/>
              </w:rPr>
              <w:t>：</w:t>
            </w:r>
          </w:p>
          <w:p w14:paraId="751015AA">
            <w:pPr>
              <w:widowControl/>
              <w:numPr>
                <w:ilvl w:val="0"/>
                <w:numId w:val="5"/>
              </w:numPr>
              <w:snapToGrid w:val="0"/>
              <w:spacing w:line="360" w:lineRule="auto"/>
              <w:ind w:firstLine="480" w:firstLineChars="200"/>
              <w:jc w:val="left"/>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贮存危险废物应根据危险废物的类别、数量、形态、物理化学性质和环境风险等因素，确定贮存设施或场所类型和规模。</w:t>
            </w:r>
          </w:p>
          <w:p w14:paraId="0C8BD870">
            <w:pPr>
              <w:widowControl/>
              <w:numPr>
                <w:ilvl w:val="0"/>
                <w:numId w:val="5"/>
              </w:numPr>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贮存危险废物应根据危险废物的类别、形态、物理化学性质和污染防治要求进行分类贮存，且应避免危险废物与不相容的物质或材料接触。</w:t>
            </w:r>
          </w:p>
          <w:p w14:paraId="5E6C26F2">
            <w:pPr>
              <w:widowControl/>
              <w:numPr>
                <w:ilvl w:val="0"/>
                <w:numId w:val="5"/>
              </w:numPr>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贮存危险废物应根据危险废物的形态、物理化学性质、包装形式和污染物迁移途径，采取措施减少渗滤液及其衍生废物、渗漏的液态废物（简称渗漏液）、粉尘、VOCs、酸雾、有毒有害大气污染物和刺激性气味气体等污染物的产生，防止其污染环境。</w:t>
            </w:r>
          </w:p>
          <w:p w14:paraId="6A9887F6">
            <w:pPr>
              <w:widowControl/>
              <w:numPr>
                <w:ilvl w:val="0"/>
                <w:numId w:val="5"/>
              </w:numPr>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危险废物贮存过</w:t>
            </w:r>
            <w:r>
              <w:rPr>
                <w:rFonts w:hint="default" w:ascii="Times New Roman" w:hAnsi="Times New Roman" w:cs="Times New Roman"/>
                <w:color w:val="auto"/>
                <w:sz w:val="24"/>
                <w:lang w:val="en-US" w:eastAsia="zh-CN"/>
              </w:rPr>
              <w:t>程中</w:t>
            </w:r>
            <w:r>
              <w:rPr>
                <w:rFonts w:hint="default" w:ascii="Times New Roman" w:hAnsi="Times New Roman" w:eastAsia="宋体" w:cs="Times New Roman"/>
                <w:color w:val="auto"/>
                <w:sz w:val="24"/>
                <w:lang w:val="en-US" w:eastAsia="zh-CN"/>
              </w:rPr>
              <w:t>产生的液态废物和固态废物应分类收集，</w:t>
            </w:r>
            <w:r>
              <w:rPr>
                <w:rFonts w:hint="default" w:ascii="Times New Roman" w:hAnsi="Times New Roman" w:cs="Times New Roman"/>
                <w:color w:val="auto"/>
                <w:sz w:val="24"/>
                <w:lang w:val="en-US" w:eastAsia="zh-CN"/>
              </w:rPr>
              <w:t>按</w:t>
            </w:r>
            <w:r>
              <w:rPr>
                <w:rFonts w:hint="default" w:ascii="Times New Roman" w:hAnsi="Times New Roman" w:eastAsia="宋体" w:cs="Times New Roman"/>
                <w:color w:val="auto"/>
                <w:sz w:val="24"/>
                <w:lang w:val="en-US" w:eastAsia="zh-CN"/>
              </w:rPr>
              <w:t>环境管理要求妥善处理。</w:t>
            </w:r>
          </w:p>
          <w:p w14:paraId="77160C74">
            <w:pPr>
              <w:widowControl/>
              <w:numPr>
                <w:ilvl w:val="0"/>
                <w:numId w:val="5"/>
              </w:numPr>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贮存设施或场所、容器和包装物应按HJ1276要求设置危险废物贮存设施或场所标志、危险废物贮存分区标志和危险废物标签等危险废物识别标志。</w:t>
            </w:r>
          </w:p>
          <w:p w14:paraId="565D47AE">
            <w:pPr>
              <w:widowControl/>
              <w:numPr>
                <w:ilvl w:val="0"/>
                <w:numId w:val="5"/>
              </w:numPr>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HJ1259规定的危险废物环境重点监管单位，应采用电子地磅、电子标签、电子管理台账等技术手段对危险废物贮存过程进行信息化管理，确保数据完整、真实、准确；采用视频监控的应确保监控画面清晰，视频记录保存时间至少为3个月。</w:t>
            </w:r>
          </w:p>
          <w:p w14:paraId="18287B8A">
            <w:pPr>
              <w:widowControl/>
              <w:numPr>
                <w:ilvl w:val="0"/>
                <w:numId w:val="5"/>
              </w:numPr>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贮存设施退役时，所有者或运营者应依法履行环境保护责任，退役前应妥善处理处置贮存设施内剩余的危险废物，并对贮存设施进行清理，消除污染；还应依据土壤污染防治相关法律法规履行场地环境风险防控责任。</w:t>
            </w:r>
          </w:p>
          <w:p w14:paraId="3295CE99">
            <w:pPr>
              <w:widowControl/>
              <w:numPr>
                <w:ilvl w:val="0"/>
                <w:numId w:val="5"/>
              </w:numPr>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在常温常压下易爆、易燃及排出有毒气体的危险废物应进行预处理，使之稳定后贮存，否则应按易爆、易燃危险品贮存。</w:t>
            </w:r>
          </w:p>
          <w:p w14:paraId="67AD1FF4">
            <w:pPr>
              <w:widowControl/>
              <w:numPr>
                <w:ilvl w:val="0"/>
                <w:numId w:val="5"/>
              </w:numPr>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危险废物贮存除应满足环境保护相关要求外，还应执行国家安全生产、职业健康、交通运输、消防等法律法规和标准的相关要求。</w:t>
            </w:r>
          </w:p>
          <w:p w14:paraId="147510AE">
            <w:pPr>
              <w:widowControl/>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1）本项目贮存库内采取液体泄漏堵截设施，堵截设施</w:t>
            </w:r>
            <w:r>
              <w:rPr>
                <w:rFonts w:hint="default" w:ascii="Times New Roman" w:hAnsi="Times New Roman" w:cs="Times New Roman"/>
                <w:color w:val="auto"/>
                <w:sz w:val="24"/>
                <w:lang w:val="en-US" w:eastAsia="zh-CN"/>
              </w:rPr>
              <w:t>最大</w:t>
            </w:r>
            <w:r>
              <w:rPr>
                <w:rFonts w:hint="default" w:ascii="Times New Roman" w:hAnsi="Times New Roman" w:eastAsia="宋体" w:cs="Times New Roman"/>
                <w:color w:val="auto"/>
                <w:sz w:val="24"/>
                <w:lang w:val="en-US" w:eastAsia="zh-CN"/>
              </w:rPr>
              <w:t>容积不应低于对应贮存区域最大液态废物容器容积或液态废物总储量1/10（二者取较大者）；</w:t>
            </w:r>
          </w:p>
          <w:p w14:paraId="62984856">
            <w:pPr>
              <w:widowControl/>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2）容器和包装物材质、内衬应与盛装的危险废物相容。针对不同类别、形态、物理化学性质的危险废物，其容器和包装物应满足相应的防渗、防漏、防腐和强度等要求。硬质容器和包装物及其支护结构堆叠码放时不应有明显变形，无破损泄漏。柔性容器和包装物堆叠码放时应封口严密，无破损泄漏。使用容器盛装液态、半固态危险废物时，容器内部应留有适当的空间，以适应因温度变化等可能引发的收缩和膨胀，防止其导致容器渗漏或永久变形。容器和包装物外表面应保持清洁。</w:t>
            </w:r>
          </w:p>
          <w:p w14:paraId="177CEADA">
            <w:pPr>
              <w:widowControl/>
              <w:snapToGrid w:val="0"/>
              <w:spacing w:line="360" w:lineRule="auto"/>
              <w:ind w:firstLine="482" w:firstLineChars="200"/>
              <w:jc w:val="left"/>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4.2</w:t>
            </w:r>
            <w:r>
              <w:rPr>
                <w:rFonts w:hint="default" w:ascii="Times New Roman" w:hAnsi="Times New Roman" w:eastAsia="宋体" w:cs="Times New Roman"/>
                <w:b/>
                <w:bCs/>
                <w:color w:val="auto"/>
                <w:sz w:val="24"/>
                <w:lang w:val="en-US" w:eastAsia="zh-CN"/>
              </w:rPr>
              <w:t>贮存设施运行环境管理要求</w:t>
            </w:r>
          </w:p>
          <w:p w14:paraId="42854951">
            <w:pPr>
              <w:widowControl/>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（1）危险废物存入贮存设施前应对危险废物类别和特性与危险废物标签等危险废物识别标志的一致性进行核验，不一致的或类别、特性不明的不应存入。</w:t>
            </w:r>
          </w:p>
          <w:p w14:paraId="39C75B31">
            <w:pPr>
              <w:widowControl/>
              <w:snapToGrid w:val="0"/>
              <w:spacing w:line="360" w:lineRule="auto"/>
              <w:ind w:firstLine="480" w:firstLineChars="200"/>
              <w:jc w:val="left"/>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（2）应定期检查危险废物的贮存状况，及时清理贮存设施地面，更换破损泄漏的危险废物贮存容器和包装物，保证堆存危险废物的防雨、防风、防扬尘等设施功能完好。</w:t>
            </w:r>
          </w:p>
          <w:p w14:paraId="5F8E2D90">
            <w:pPr>
              <w:widowControl/>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（3）作业设备及车辆等结束作业离开贮存设施时，应对其残留的危险废物进行清理，清理的废物或清洗废水应收集处理。</w:t>
            </w:r>
          </w:p>
          <w:p w14:paraId="116E6293">
            <w:pPr>
              <w:widowControl/>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（4）贮存设施运行期间，应按国家有关标准和规定建立危险废物管理台账并保存。</w:t>
            </w:r>
          </w:p>
          <w:p w14:paraId="11AA957A">
            <w:pPr>
              <w:widowControl/>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（5）贮存设施所有者或运营者应建立贮存设施环境管理制度、管理人员岗位职责制度、设施运行操作制度、人员岗位培训制度等。</w:t>
            </w:r>
          </w:p>
          <w:p w14:paraId="2C30F513">
            <w:pPr>
              <w:widowControl/>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（6）贮存设施所有者或运营者应依据国家土壤和地下水污染防治的有关规定，结合贮存设施特点建立土壤和地下水污染隐患排查制度，并定期开展隐患排查；发现隐患应及时采取措施消除隐患，并建立档案。</w:t>
            </w:r>
          </w:p>
          <w:p w14:paraId="63D4073F">
            <w:pPr>
              <w:widowControl/>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（7）贮存设施所有者或运营者应建立贮存设施全部档案，包括设计、施工、验收、运行、监测和环境应急等，应按国家有关档案管理的法律法规进行整理和归档</w:t>
            </w:r>
          </w:p>
          <w:p w14:paraId="44A8F8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rPr>
              <w:t>危险废物转存前建设单位须在新疆维吾尔自治区固体废物动态信息管理平台注册账号后，对公司信息进行完善填报，每次清运危险废物前需在此平台进行申报，申请电子转运单，待取得电子转运联单后由专门运输单位将危险废物转运至指定危废处置单位进行处置。</w:t>
            </w:r>
          </w:p>
          <w:p w14:paraId="7BFBF2D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32"/>
              </w:rPr>
            </w:pPr>
            <w:r>
              <w:rPr>
                <w:rFonts w:hint="default" w:ascii="Times New Roman" w:hAnsi="Times New Roman" w:eastAsia="宋体" w:cs="Times New Roman"/>
                <w:b/>
                <w:bCs/>
                <w:color w:val="auto"/>
                <w:sz w:val="24"/>
                <w:szCs w:val="32"/>
                <w:lang w:val="en-US" w:eastAsia="zh-CN"/>
              </w:rPr>
              <w:t>4.3</w:t>
            </w:r>
            <w:r>
              <w:rPr>
                <w:rFonts w:hint="default" w:ascii="Times New Roman" w:hAnsi="Times New Roman" w:eastAsia="宋体" w:cs="Times New Roman"/>
                <w:b/>
                <w:bCs/>
                <w:color w:val="auto"/>
                <w:sz w:val="24"/>
                <w:szCs w:val="32"/>
                <w:lang w:val="en-US" w:eastAsia="zh-CN"/>
              </w:rPr>
              <w:t>危险废物环境管理台账记录要求</w:t>
            </w:r>
          </w:p>
          <w:p w14:paraId="0AD8BA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lang w:val="en-US" w:eastAsia="zh-CN"/>
              </w:rPr>
              <w:t>排污单位应建立环境管理台账，危险废物环境管理台账记录应符合《危险废物产生单位管理计划制定指南》等标准及管理文件的相关要求。待危险废物环境管理台账相关标准或管理文件发布实施后，从其规定。</w:t>
            </w:r>
          </w:p>
          <w:p w14:paraId="7F417A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eastAsia="zh-CN"/>
              </w:rPr>
            </w:pPr>
            <w:r>
              <w:rPr>
                <w:rFonts w:hint="default" w:ascii="Times New Roman" w:hAnsi="Times New Roman" w:eastAsia="宋体" w:cs="Times New Roman"/>
                <w:color w:val="auto"/>
                <w:sz w:val="24"/>
                <w:szCs w:val="32"/>
              </w:rPr>
              <w:t>（一）</w:t>
            </w:r>
            <w:r>
              <w:rPr>
                <w:rFonts w:hint="default" w:ascii="Times New Roman" w:hAnsi="Times New Roman" w:eastAsia="宋体" w:cs="Times New Roman"/>
                <w:color w:val="auto"/>
                <w:sz w:val="24"/>
                <w:szCs w:val="32"/>
                <w:lang w:val="en-US" w:eastAsia="zh-CN"/>
              </w:rPr>
              <w:t>危险废物</w:t>
            </w:r>
            <w:r>
              <w:rPr>
                <w:rFonts w:hint="default" w:ascii="Times New Roman" w:hAnsi="Times New Roman" w:eastAsia="宋体" w:cs="Times New Roman"/>
                <w:color w:val="auto"/>
                <w:sz w:val="24"/>
                <w:szCs w:val="32"/>
              </w:rPr>
              <w:t>管理台账实施分级管理。附表1至附表3为必填信息，主要用于记录</w:t>
            </w:r>
            <w:r>
              <w:rPr>
                <w:rFonts w:hint="default" w:ascii="Times New Roman" w:hAnsi="Times New Roman" w:eastAsia="宋体" w:cs="Times New Roman"/>
                <w:color w:val="auto"/>
                <w:sz w:val="24"/>
                <w:szCs w:val="32"/>
                <w:lang w:val="en-US" w:eastAsia="zh-CN"/>
              </w:rPr>
              <w:t>危险废物</w:t>
            </w:r>
            <w:r>
              <w:rPr>
                <w:rFonts w:hint="default" w:ascii="Times New Roman" w:hAnsi="Times New Roman" w:eastAsia="宋体" w:cs="Times New Roman"/>
                <w:color w:val="auto"/>
                <w:sz w:val="24"/>
                <w:szCs w:val="32"/>
              </w:rPr>
              <w:t>的基础信息及流向信息，所有产废单位均应当填写。附表1按年填写，应当结合环境影响评价、排污许可等材料，根据实际生产运营情况记录</w:t>
            </w:r>
            <w:r>
              <w:rPr>
                <w:rFonts w:hint="default" w:ascii="Times New Roman" w:hAnsi="Times New Roman" w:eastAsia="宋体" w:cs="Times New Roman"/>
                <w:color w:val="auto"/>
                <w:sz w:val="24"/>
                <w:szCs w:val="32"/>
                <w:lang w:val="en-US" w:eastAsia="zh-CN"/>
              </w:rPr>
              <w:t>危险废物</w:t>
            </w:r>
            <w:r>
              <w:rPr>
                <w:rFonts w:hint="default" w:ascii="Times New Roman" w:hAnsi="Times New Roman" w:eastAsia="宋体" w:cs="Times New Roman"/>
                <w:color w:val="auto"/>
                <w:sz w:val="24"/>
                <w:szCs w:val="32"/>
              </w:rPr>
              <w:t>产生信息，生产工艺发生重大变动等原因导致</w:t>
            </w:r>
            <w:r>
              <w:rPr>
                <w:rFonts w:hint="default" w:ascii="Times New Roman" w:hAnsi="Times New Roman" w:eastAsia="宋体" w:cs="Times New Roman"/>
                <w:color w:val="auto"/>
                <w:sz w:val="24"/>
                <w:szCs w:val="32"/>
                <w:lang w:val="en-US" w:eastAsia="zh-CN"/>
              </w:rPr>
              <w:t>危险废物</w:t>
            </w:r>
            <w:r>
              <w:rPr>
                <w:rFonts w:hint="default" w:ascii="Times New Roman" w:hAnsi="Times New Roman" w:eastAsia="宋体" w:cs="Times New Roman"/>
                <w:color w:val="auto"/>
                <w:sz w:val="24"/>
                <w:szCs w:val="32"/>
              </w:rPr>
              <w:t>产生种类等发生变化的，应当及时另行填写附表1；附表2按月填写，记录</w:t>
            </w:r>
            <w:r>
              <w:rPr>
                <w:rFonts w:hint="default" w:ascii="Times New Roman" w:hAnsi="Times New Roman" w:eastAsia="宋体" w:cs="Times New Roman"/>
                <w:color w:val="auto"/>
                <w:sz w:val="24"/>
                <w:szCs w:val="32"/>
                <w:lang w:val="en-US" w:eastAsia="zh-CN"/>
              </w:rPr>
              <w:t>危险废物</w:t>
            </w:r>
            <w:r>
              <w:rPr>
                <w:rFonts w:hint="default" w:ascii="Times New Roman" w:hAnsi="Times New Roman" w:eastAsia="宋体" w:cs="Times New Roman"/>
                <w:color w:val="auto"/>
                <w:sz w:val="24"/>
                <w:szCs w:val="32"/>
              </w:rPr>
              <w:t>的产生、贮存、利用、处置数量和利用、处置方式等信息；附表3按批次填写，每一批次固体废物的出厂以及转移信息均应当如实记录。</w:t>
            </w:r>
          </w:p>
          <w:p w14:paraId="695F14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eastAsia="zh-CN"/>
              </w:rPr>
            </w:pPr>
            <w:r>
              <w:rPr>
                <w:rFonts w:hint="default" w:ascii="Times New Roman" w:hAnsi="Times New Roman" w:eastAsia="宋体" w:cs="Times New Roman"/>
                <w:color w:val="auto"/>
                <w:sz w:val="24"/>
                <w:szCs w:val="32"/>
              </w:rPr>
              <w:t>（二）附表4至附表7为选填信息，主要用于记录</w:t>
            </w:r>
            <w:r>
              <w:rPr>
                <w:rFonts w:hint="default" w:ascii="Times New Roman" w:hAnsi="Times New Roman" w:eastAsia="宋体" w:cs="Times New Roman"/>
                <w:color w:val="auto"/>
                <w:sz w:val="24"/>
                <w:szCs w:val="32"/>
                <w:lang w:val="en-US" w:eastAsia="zh-CN"/>
              </w:rPr>
              <w:t>危险废物</w:t>
            </w:r>
            <w:r>
              <w:rPr>
                <w:rFonts w:hint="default" w:ascii="Times New Roman" w:hAnsi="Times New Roman" w:eastAsia="宋体" w:cs="Times New Roman"/>
                <w:color w:val="auto"/>
                <w:sz w:val="24"/>
                <w:szCs w:val="32"/>
              </w:rPr>
              <w:t>在产废单位内部的贮存、利用、处置等信息。附表4至附表7，根据地方及企业管理需要填写，省级生态环境主管部门可根据工作需要另行规定具体适用范围和记录要求。填写时应确保固体废物的来源信息、流向信息完整准确；根据固体废物产生周期，可按日或按班次、批次填写。</w:t>
            </w:r>
          </w:p>
          <w:p w14:paraId="7B6249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（三）产废单位填写台账记录表时，应当根据自身</w:t>
            </w:r>
            <w:r>
              <w:rPr>
                <w:rFonts w:hint="default" w:ascii="Times New Roman" w:hAnsi="Times New Roman" w:eastAsia="宋体" w:cs="Times New Roman"/>
                <w:color w:val="auto"/>
                <w:sz w:val="24"/>
                <w:szCs w:val="32"/>
                <w:lang w:val="en-US" w:eastAsia="zh-CN"/>
              </w:rPr>
              <w:t>危险废物</w:t>
            </w:r>
            <w:r>
              <w:rPr>
                <w:rFonts w:hint="default" w:ascii="Times New Roman" w:hAnsi="Times New Roman" w:eastAsia="宋体" w:cs="Times New Roman"/>
                <w:color w:val="auto"/>
                <w:sz w:val="24"/>
                <w:szCs w:val="32"/>
              </w:rPr>
              <w:t>产生情况，从附表8中选择对应的固体废物种类和代码，并根据固体废物种类确定固体废物的具体名称。</w:t>
            </w:r>
          </w:p>
          <w:p w14:paraId="4EEBD8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eastAsia="zh-CN"/>
              </w:rPr>
            </w:pPr>
            <w:r>
              <w:rPr>
                <w:rFonts w:hint="default" w:ascii="Times New Roman" w:hAnsi="Times New Roman" w:eastAsia="宋体" w:cs="Times New Roman"/>
                <w:color w:val="auto"/>
                <w:sz w:val="24"/>
                <w:szCs w:val="32"/>
              </w:rPr>
              <w:t>（四）鼓励产废单位采用国家建立的</w:t>
            </w:r>
            <w:r>
              <w:rPr>
                <w:rFonts w:hint="default" w:ascii="Times New Roman" w:hAnsi="Times New Roman" w:eastAsia="宋体" w:cs="Times New Roman"/>
                <w:color w:val="auto"/>
                <w:sz w:val="24"/>
                <w:szCs w:val="32"/>
                <w:lang w:val="en-US" w:eastAsia="zh-CN"/>
              </w:rPr>
              <w:t>危险废物</w:t>
            </w:r>
            <w:r>
              <w:rPr>
                <w:rFonts w:hint="default" w:ascii="Times New Roman" w:hAnsi="Times New Roman" w:eastAsia="宋体" w:cs="Times New Roman"/>
                <w:color w:val="auto"/>
                <w:sz w:val="24"/>
                <w:szCs w:val="32"/>
              </w:rPr>
              <w:t>管理电子台账，简化数据填写、台账管理等工作。地方和企业自行开发的电子台账要实现与国家系统对接。建立电子台账的产废单位，可不再记录纸质台账</w:t>
            </w:r>
            <w:r>
              <w:rPr>
                <w:rFonts w:hint="default" w:ascii="Times New Roman" w:hAnsi="Times New Roman" w:eastAsia="宋体" w:cs="Times New Roman"/>
                <w:color w:val="auto"/>
                <w:sz w:val="24"/>
                <w:szCs w:val="32"/>
                <w:lang w:eastAsia="zh-CN"/>
              </w:rPr>
              <w:t>。</w:t>
            </w:r>
          </w:p>
          <w:p w14:paraId="02CF43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eastAsia="zh-CN"/>
              </w:rPr>
            </w:pPr>
            <w:r>
              <w:rPr>
                <w:rFonts w:hint="default" w:ascii="Times New Roman" w:hAnsi="Times New Roman" w:eastAsia="宋体" w:cs="Times New Roman"/>
                <w:color w:val="auto"/>
                <w:sz w:val="24"/>
                <w:szCs w:val="32"/>
              </w:rPr>
              <w:t>（五）台账记录表各表单的负责人对记录信息的真实性、完整性和规范性负责。</w:t>
            </w:r>
          </w:p>
          <w:p w14:paraId="2E85F4FE">
            <w:pPr>
              <w:widowControl/>
              <w:snapToGrid w:val="0"/>
              <w:spacing w:line="360" w:lineRule="auto"/>
              <w:ind w:firstLine="480" w:firstLineChars="200"/>
              <w:jc w:val="left"/>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（六）产废单位应当设立专人负责台账的管理与归档，</w:t>
            </w:r>
            <w:r>
              <w:rPr>
                <w:rFonts w:hint="default" w:ascii="Times New Roman" w:hAnsi="Times New Roman" w:eastAsia="宋体" w:cs="Times New Roman"/>
                <w:color w:val="auto"/>
                <w:sz w:val="24"/>
                <w:szCs w:val="32"/>
                <w:lang w:val="en-US" w:eastAsia="zh-CN"/>
              </w:rPr>
              <w:t>危险</w:t>
            </w:r>
            <w:r>
              <w:rPr>
                <w:rFonts w:hint="default" w:ascii="Times New Roman" w:hAnsi="Times New Roman" w:eastAsia="宋体" w:cs="Times New Roman"/>
                <w:color w:val="auto"/>
                <w:sz w:val="24"/>
                <w:szCs w:val="32"/>
              </w:rPr>
              <w:t>废物管理台账保存期限不少于5年。</w:t>
            </w:r>
          </w:p>
          <w:p w14:paraId="5726E98D">
            <w:pPr>
              <w:keepNext w:val="0"/>
              <w:keepLines w:val="0"/>
              <w:pageBreakBefore w:val="0"/>
              <w:widowControl/>
              <w:suppressAutoHyphens/>
              <w:kinsoku/>
              <w:wordWrap/>
              <w:overflowPunct/>
              <w:topLinePunct/>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pacing w:val="0"/>
                <w:sz w:val="24"/>
                <w:lang w:eastAsia="zh-CN" w:bidi="ar"/>
              </w:rPr>
            </w:pPr>
            <w:r>
              <w:rPr>
                <w:rFonts w:hint="default" w:ascii="Times New Roman" w:hAnsi="Times New Roman" w:eastAsia="宋体" w:cs="Times New Roman"/>
                <w:b/>
                <w:bCs/>
                <w:color w:val="auto"/>
                <w:spacing w:val="0"/>
                <w:sz w:val="24"/>
                <w:lang w:val="en-US" w:eastAsia="zh-CN" w:bidi="ar"/>
              </w:rPr>
              <w:t>4.4</w:t>
            </w:r>
            <w:r>
              <w:rPr>
                <w:rFonts w:hint="default" w:ascii="Times New Roman" w:hAnsi="Times New Roman" w:eastAsia="宋体" w:cs="Times New Roman"/>
                <w:b/>
                <w:bCs/>
                <w:color w:val="auto"/>
                <w:spacing w:val="0"/>
                <w:sz w:val="24"/>
                <w:lang w:bidi="ar"/>
              </w:rPr>
              <w:t>危险废物管理计划制定要求</w:t>
            </w:r>
          </w:p>
          <w:p w14:paraId="0B2BC80A">
            <w:pPr>
              <w:keepNext w:val="0"/>
              <w:keepLines w:val="0"/>
              <w:pageBreakBefore w:val="0"/>
              <w:widowControl/>
              <w:numPr>
                <w:ilvl w:val="0"/>
                <w:numId w:val="6"/>
              </w:numPr>
              <w:suppressAutoHyphens/>
              <w:kinsoku/>
              <w:wordWrap/>
              <w:overflowPunct/>
              <w:topLinePunct/>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sz w:val="24"/>
                <w:lang w:bidi="ar"/>
              </w:rPr>
            </w:pPr>
            <w:r>
              <w:rPr>
                <w:rFonts w:hint="default" w:ascii="Times New Roman" w:hAnsi="Times New Roman" w:eastAsia="宋体" w:cs="Times New Roman"/>
                <w:color w:val="auto"/>
                <w:spacing w:val="0"/>
                <w:sz w:val="24"/>
                <w:lang w:bidi="ar"/>
              </w:rPr>
              <w:t>制定单位</w:t>
            </w:r>
          </w:p>
          <w:p w14:paraId="04AC32AE">
            <w:pPr>
              <w:keepNext w:val="0"/>
              <w:keepLines w:val="0"/>
              <w:pageBreakBefore w:val="0"/>
              <w:widowControl/>
              <w:numPr>
                <w:ilvl w:val="0"/>
                <w:numId w:val="0"/>
              </w:numPr>
              <w:suppressAutoHyphens/>
              <w:kinsoku/>
              <w:wordWrap/>
              <w:overflowPunct/>
              <w:topLinePunct/>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sz w:val="24"/>
                <w:lang w:bidi="ar"/>
              </w:rPr>
            </w:pPr>
            <w:r>
              <w:rPr>
                <w:rFonts w:hint="default" w:ascii="Times New Roman" w:hAnsi="Times New Roman" w:eastAsia="宋体" w:cs="Times New Roman"/>
                <w:color w:val="auto"/>
                <w:spacing w:val="0"/>
                <w:sz w:val="24"/>
                <w:lang w:bidi="ar"/>
              </w:rPr>
              <w:t>同一法人单位或者其他组织所属但位于不同生产经营场所的单位，应当以每个生产经营场所为单位，分别制定危险废物管理计划，并通过国家危险废物信息管理系统向生产经营场所所在地生态环境主管部门备案。</w:t>
            </w:r>
          </w:p>
          <w:p w14:paraId="2F7A2AB8">
            <w:pPr>
              <w:keepNext w:val="0"/>
              <w:keepLines w:val="0"/>
              <w:pageBreakBefore w:val="0"/>
              <w:widowControl/>
              <w:numPr>
                <w:ilvl w:val="0"/>
                <w:numId w:val="6"/>
              </w:numPr>
              <w:suppressAutoHyphens/>
              <w:kinsoku/>
              <w:wordWrap/>
              <w:overflowPunct/>
              <w:topLinePunct/>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color w:val="auto"/>
                <w:spacing w:val="0"/>
                <w:sz w:val="24"/>
                <w:lang w:bidi="ar"/>
              </w:rPr>
            </w:pPr>
            <w:r>
              <w:rPr>
                <w:rFonts w:hint="default" w:ascii="Times New Roman" w:hAnsi="Times New Roman" w:eastAsia="宋体" w:cs="Times New Roman"/>
                <w:color w:val="auto"/>
                <w:spacing w:val="0"/>
                <w:sz w:val="24"/>
                <w:lang w:bidi="ar"/>
              </w:rPr>
              <w:t>制定形式及时限要求</w:t>
            </w:r>
          </w:p>
          <w:p w14:paraId="25544E5B">
            <w:pPr>
              <w:keepNext w:val="0"/>
              <w:keepLines w:val="0"/>
              <w:pageBreakBefore w:val="0"/>
              <w:widowControl/>
              <w:numPr>
                <w:ilvl w:val="0"/>
                <w:numId w:val="0"/>
              </w:numPr>
              <w:suppressAutoHyphens/>
              <w:kinsoku/>
              <w:wordWrap/>
              <w:overflowPunct/>
              <w:topLinePunct/>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sz w:val="24"/>
                <w:lang w:bidi="ar"/>
              </w:rPr>
            </w:pPr>
            <w:r>
              <w:rPr>
                <w:rFonts w:hint="default" w:ascii="Times New Roman" w:hAnsi="Times New Roman" w:eastAsia="宋体" w:cs="Times New Roman"/>
                <w:color w:val="auto"/>
                <w:spacing w:val="0"/>
                <w:sz w:val="24"/>
                <w:lang w:val="en-US" w:eastAsia="zh-CN" w:bidi="ar"/>
              </w:rPr>
              <w:t>1</w:t>
            </w:r>
            <w:r>
              <w:rPr>
                <w:rFonts w:hint="default" w:ascii="Times New Roman" w:hAnsi="Times New Roman" w:eastAsia="宋体" w:cs="Times New Roman"/>
                <w:color w:val="auto"/>
                <w:spacing w:val="0"/>
                <w:sz w:val="24"/>
                <w:lang w:eastAsia="zh-CN" w:bidi="ar"/>
              </w:rPr>
              <w:t>）</w:t>
            </w:r>
            <w:r>
              <w:rPr>
                <w:rFonts w:hint="default" w:ascii="Times New Roman" w:hAnsi="Times New Roman" w:eastAsia="宋体" w:cs="Times New Roman"/>
                <w:color w:val="auto"/>
                <w:spacing w:val="0"/>
                <w:sz w:val="24"/>
                <w:lang w:bidi="ar"/>
              </w:rPr>
              <w:t>产生危险废物的单位应当按年度制定危险废物管理计划。</w:t>
            </w:r>
          </w:p>
          <w:p w14:paraId="4E9F146D">
            <w:pPr>
              <w:keepNext w:val="0"/>
              <w:keepLines w:val="0"/>
              <w:pageBreakBefore w:val="0"/>
              <w:widowControl/>
              <w:numPr>
                <w:ilvl w:val="0"/>
                <w:numId w:val="0"/>
              </w:numPr>
              <w:suppressAutoHyphens/>
              <w:kinsoku/>
              <w:wordWrap/>
              <w:overflowPunct/>
              <w:topLinePunct/>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sz w:val="24"/>
                <w:lang w:bidi="ar"/>
              </w:rPr>
            </w:pPr>
            <w:r>
              <w:rPr>
                <w:rFonts w:hint="default" w:ascii="Times New Roman" w:hAnsi="Times New Roman" w:eastAsia="宋体" w:cs="Times New Roman"/>
                <w:color w:val="auto"/>
                <w:spacing w:val="0"/>
                <w:sz w:val="24"/>
                <w:lang w:val="en-US" w:eastAsia="zh-CN" w:bidi="ar"/>
              </w:rPr>
              <w:t>2</w:t>
            </w:r>
            <w:r>
              <w:rPr>
                <w:rFonts w:hint="default" w:ascii="Times New Roman" w:hAnsi="Times New Roman" w:eastAsia="宋体" w:cs="Times New Roman"/>
                <w:color w:val="auto"/>
                <w:spacing w:val="0"/>
                <w:sz w:val="24"/>
                <w:lang w:eastAsia="zh-CN" w:bidi="ar"/>
              </w:rPr>
              <w:t>）</w:t>
            </w:r>
            <w:r>
              <w:rPr>
                <w:rFonts w:hint="default" w:ascii="Times New Roman" w:hAnsi="Times New Roman" w:eastAsia="宋体" w:cs="Times New Roman"/>
                <w:color w:val="auto"/>
                <w:spacing w:val="0"/>
                <w:sz w:val="24"/>
                <w:lang w:bidi="ar"/>
              </w:rPr>
              <w:t>产生危险废物的单位应当于每年3月31日前通过国家危险废物信息管理系统在线填写并提交当年度的危险废物管理计划，由国家危险废物信息管理系统自动生成备案编号和回执，完成备案。</w:t>
            </w:r>
          </w:p>
          <w:p w14:paraId="564DFC57">
            <w:pPr>
              <w:keepNext w:val="0"/>
              <w:keepLines w:val="0"/>
              <w:pageBreakBefore w:val="0"/>
              <w:widowControl/>
              <w:numPr>
                <w:ilvl w:val="0"/>
                <w:numId w:val="0"/>
              </w:numPr>
              <w:suppressAutoHyphens/>
              <w:kinsoku/>
              <w:wordWrap/>
              <w:overflowPunct/>
              <w:topLinePunct/>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sz w:val="24"/>
                <w:lang w:bidi="ar"/>
              </w:rPr>
            </w:pPr>
            <w:r>
              <w:rPr>
                <w:rFonts w:hint="default" w:ascii="Times New Roman" w:hAnsi="Times New Roman" w:eastAsia="宋体" w:cs="Times New Roman"/>
                <w:color w:val="auto"/>
                <w:spacing w:val="0"/>
                <w:sz w:val="24"/>
                <w:lang w:val="en-US" w:eastAsia="zh-CN" w:bidi="ar"/>
              </w:rPr>
              <w:t>3</w:t>
            </w:r>
            <w:r>
              <w:rPr>
                <w:rFonts w:hint="default" w:ascii="Times New Roman" w:hAnsi="Times New Roman" w:eastAsia="宋体" w:cs="Times New Roman"/>
                <w:color w:val="auto"/>
                <w:spacing w:val="0"/>
                <w:sz w:val="24"/>
                <w:lang w:eastAsia="zh-CN" w:bidi="ar"/>
              </w:rPr>
              <w:t>）</w:t>
            </w:r>
            <w:r>
              <w:rPr>
                <w:rFonts w:hint="default" w:ascii="Times New Roman" w:hAnsi="Times New Roman" w:eastAsia="宋体" w:cs="Times New Roman"/>
                <w:color w:val="auto"/>
                <w:spacing w:val="0"/>
                <w:sz w:val="24"/>
                <w:lang w:bidi="ar"/>
              </w:rPr>
              <w:t>危险废物管理计划备案内容需要调整的，产生危险废物的单位应当及时变更。</w:t>
            </w:r>
          </w:p>
          <w:p w14:paraId="3F83F92F">
            <w:pPr>
              <w:keepNext w:val="0"/>
              <w:keepLines w:val="0"/>
              <w:pageBreakBefore w:val="0"/>
              <w:widowControl/>
              <w:numPr>
                <w:ilvl w:val="0"/>
                <w:numId w:val="0"/>
              </w:numPr>
              <w:suppressAutoHyphens/>
              <w:kinsoku/>
              <w:wordWrap/>
              <w:overflowPunct/>
              <w:topLinePunct/>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sz w:val="24"/>
                <w:lang w:bidi="ar"/>
              </w:rPr>
            </w:pPr>
            <w:r>
              <w:rPr>
                <w:rFonts w:hint="default" w:ascii="Times New Roman" w:hAnsi="Times New Roman" w:eastAsia="宋体" w:cs="Times New Roman"/>
                <w:color w:val="auto"/>
                <w:spacing w:val="0"/>
                <w:sz w:val="24"/>
                <w:lang w:eastAsia="zh-CN" w:bidi="ar"/>
              </w:rPr>
              <w:t>（</w:t>
            </w:r>
            <w:r>
              <w:rPr>
                <w:rFonts w:hint="default" w:ascii="Times New Roman" w:hAnsi="Times New Roman" w:eastAsia="宋体" w:cs="Times New Roman"/>
                <w:color w:val="auto"/>
                <w:spacing w:val="0"/>
                <w:sz w:val="24"/>
                <w:lang w:val="en-US" w:eastAsia="zh-CN" w:bidi="ar"/>
              </w:rPr>
              <w:t>3</w:t>
            </w:r>
            <w:r>
              <w:rPr>
                <w:rFonts w:hint="default" w:ascii="Times New Roman" w:hAnsi="Times New Roman" w:eastAsia="宋体" w:cs="Times New Roman"/>
                <w:color w:val="auto"/>
                <w:spacing w:val="0"/>
                <w:sz w:val="24"/>
                <w:lang w:eastAsia="zh-CN" w:bidi="ar"/>
              </w:rPr>
              <w:t>）</w:t>
            </w:r>
            <w:r>
              <w:rPr>
                <w:rFonts w:hint="default" w:ascii="Times New Roman" w:hAnsi="Times New Roman" w:eastAsia="宋体" w:cs="Times New Roman"/>
                <w:color w:val="auto"/>
                <w:spacing w:val="0"/>
                <w:sz w:val="24"/>
                <w:lang w:bidi="ar"/>
              </w:rPr>
              <w:t>一般原则</w:t>
            </w:r>
          </w:p>
          <w:p w14:paraId="25B5190D">
            <w:pPr>
              <w:keepNext w:val="0"/>
              <w:keepLines w:val="0"/>
              <w:pageBreakBefore w:val="0"/>
              <w:widowControl/>
              <w:numPr>
                <w:ilvl w:val="0"/>
                <w:numId w:val="0"/>
              </w:numPr>
              <w:suppressAutoHyphens/>
              <w:kinsoku/>
              <w:wordWrap/>
              <w:overflowPunct/>
              <w:topLinePunct/>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sz w:val="24"/>
                <w:lang w:eastAsia="zh-CN" w:bidi="ar"/>
              </w:rPr>
            </w:pPr>
            <w:r>
              <w:rPr>
                <w:rFonts w:hint="default" w:ascii="Times New Roman" w:hAnsi="Times New Roman" w:eastAsia="宋体" w:cs="Times New Roman"/>
                <w:color w:val="auto"/>
                <w:spacing w:val="0"/>
                <w:sz w:val="24"/>
                <w:lang w:val="en-US" w:eastAsia="zh-CN" w:bidi="ar"/>
              </w:rPr>
              <w:t>1</w:t>
            </w:r>
            <w:r>
              <w:rPr>
                <w:rFonts w:hint="default" w:ascii="Times New Roman" w:hAnsi="Times New Roman" w:eastAsia="宋体" w:cs="Times New Roman"/>
                <w:color w:val="auto"/>
                <w:spacing w:val="0"/>
                <w:sz w:val="24"/>
                <w:lang w:eastAsia="zh-CN" w:bidi="ar"/>
              </w:rPr>
              <w:t>）</w:t>
            </w:r>
            <w:r>
              <w:rPr>
                <w:rFonts w:hint="default" w:ascii="Times New Roman" w:hAnsi="Times New Roman" w:eastAsia="宋体" w:cs="Times New Roman"/>
                <w:color w:val="auto"/>
                <w:spacing w:val="0"/>
                <w:sz w:val="24"/>
                <w:lang w:bidi="ar"/>
              </w:rPr>
              <w:t>危险废物环境重点监管单位的管理计划制定内容应包括单位基本信息、设施信息、危险废物产生情况信息、危险废物贮存情况信息、危险废物自行利用/处置情况信息、危险废物减量化计划和措施、危险废物转移情况信息。</w:t>
            </w:r>
          </w:p>
          <w:p w14:paraId="51B0E916">
            <w:pPr>
              <w:keepNext w:val="0"/>
              <w:keepLines w:val="0"/>
              <w:pageBreakBefore w:val="0"/>
              <w:widowControl/>
              <w:numPr>
                <w:ilvl w:val="0"/>
                <w:numId w:val="0"/>
              </w:numPr>
              <w:suppressAutoHyphens/>
              <w:kinsoku/>
              <w:wordWrap/>
              <w:overflowPunct/>
              <w:topLinePunct/>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sz w:val="24"/>
                <w:lang w:bidi="ar"/>
              </w:rPr>
            </w:pPr>
            <w:r>
              <w:rPr>
                <w:rFonts w:hint="default" w:ascii="Times New Roman" w:hAnsi="Times New Roman" w:eastAsia="宋体" w:cs="Times New Roman"/>
                <w:color w:val="auto"/>
                <w:spacing w:val="0"/>
                <w:sz w:val="24"/>
                <w:lang w:val="en-US" w:eastAsia="zh-CN" w:bidi="ar"/>
              </w:rPr>
              <w:t>2</w:t>
            </w:r>
            <w:r>
              <w:rPr>
                <w:rFonts w:hint="default" w:ascii="Times New Roman" w:hAnsi="Times New Roman" w:eastAsia="宋体" w:cs="Times New Roman"/>
                <w:color w:val="auto"/>
                <w:spacing w:val="0"/>
                <w:sz w:val="24"/>
                <w:lang w:eastAsia="zh-CN" w:bidi="ar"/>
              </w:rPr>
              <w:t>）</w:t>
            </w:r>
            <w:r>
              <w:rPr>
                <w:rFonts w:hint="default" w:ascii="Times New Roman" w:hAnsi="Times New Roman" w:eastAsia="宋体" w:cs="Times New Roman"/>
                <w:color w:val="auto"/>
                <w:spacing w:val="0"/>
                <w:sz w:val="24"/>
                <w:lang w:bidi="ar"/>
              </w:rPr>
              <w:t>危险废物简化管理单位的管理计划制定内容应包括单位基本信息、危险废物产生情况信息、危险废物贮存情况信息、危险废物减量化计划和措施、危险废物转移情况信息。</w:t>
            </w:r>
          </w:p>
          <w:p w14:paraId="4DA1492D">
            <w:pPr>
              <w:keepNext w:val="0"/>
              <w:keepLines w:val="0"/>
              <w:pageBreakBefore w:val="0"/>
              <w:widowControl/>
              <w:numPr>
                <w:ilvl w:val="0"/>
                <w:numId w:val="0"/>
              </w:numPr>
              <w:suppressAutoHyphens/>
              <w:kinsoku/>
              <w:wordWrap/>
              <w:overflowPunct/>
              <w:topLinePunct/>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sz w:val="24"/>
                <w:lang w:bidi="ar"/>
              </w:rPr>
            </w:pPr>
            <w:r>
              <w:rPr>
                <w:rFonts w:hint="default" w:ascii="Times New Roman" w:hAnsi="Times New Roman" w:eastAsia="宋体" w:cs="Times New Roman"/>
                <w:color w:val="auto"/>
                <w:spacing w:val="0"/>
                <w:sz w:val="24"/>
                <w:lang w:val="en-US" w:eastAsia="zh-CN" w:bidi="ar"/>
              </w:rPr>
              <w:t>3</w:t>
            </w:r>
            <w:r>
              <w:rPr>
                <w:rFonts w:hint="default" w:ascii="Times New Roman" w:hAnsi="Times New Roman" w:eastAsia="宋体" w:cs="Times New Roman"/>
                <w:color w:val="auto"/>
                <w:spacing w:val="0"/>
                <w:sz w:val="24"/>
                <w:lang w:eastAsia="zh-CN" w:bidi="ar"/>
              </w:rPr>
              <w:t>）</w:t>
            </w:r>
            <w:r>
              <w:rPr>
                <w:rFonts w:hint="default" w:ascii="Times New Roman" w:hAnsi="Times New Roman" w:eastAsia="宋体" w:cs="Times New Roman"/>
                <w:color w:val="auto"/>
                <w:spacing w:val="0"/>
                <w:sz w:val="24"/>
                <w:lang w:bidi="ar"/>
              </w:rPr>
              <w:t>危险废物登记管理单位的管理计划制定内容应包括单位基本信息、危险废物产生情况信息、危险废物转移情况信息。</w:t>
            </w:r>
          </w:p>
          <w:p w14:paraId="3945FBCC">
            <w:pPr>
              <w:keepNext w:val="0"/>
              <w:keepLines w:val="0"/>
              <w:pageBreakBefore w:val="0"/>
              <w:widowControl/>
              <w:numPr>
                <w:ilvl w:val="0"/>
                <w:numId w:val="0"/>
              </w:numPr>
              <w:suppressAutoHyphens/>
              <w:kinsoku/>
              <w:wordWrap/>
              <w:overflowPunct/>
              <w:topLinePunct/>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sz w:val="24"/>
                <w:lang w:val="en-US" w:eastAsia="zh-CN" w:bidi="ar"/>
              </w:rPr>
            </w:pPr>
            <w:r>
              <w:rPr>
                <w:rFonts w:hint="default" w:ascii="Times New Roman" w:hAnsi="Times New Roman" w:eastAsia="宋体" w:cs="Times New Roman"/>
                <w:color w:val="auto"/>
                <w:spacing w:val="0"/>
                <w:sz w:val="24"/>
                <w:lang w:eastAsia="zh-CN" w:bidi="ar"/>
              </w:rPr>
              <w:t>（</w:t>
            </w:r>
            <w:r>
              <w:rPr>
                <w:rFonts w:hint="default" w:ascii="Times New Roman" w:hAnsi="Times New Roman" w:eastAsia="宋体" w:cs="Times New Roman"/>
                <w:color w:val="auto"/>
                <w:spacing w:val="0"/>
                <w:sz w:val="24"/>
                <w:lang w:val="en-US" w:eastAsia="zh-CN" w:bidi="ar"/>
              </w:rPr>
              <w:t>4</w:t>
            </w:r>
            <w:r>
              <w:rPr>
                <w:rFonts w:hint="default" w:ascii="Times New Roman" w:hAnsi="Times New Roman" w:eastAsia="宋体" w:cs="Times New Roman"/>
                <w:color w:val="auto"/>
                <w:spacing w:val="0"/>
                <w:sz w:val="24"/>
                <w:lang w:eastAsia="zh-CN" w:bidi="ar"/>
              </w:rPr>
              <w:t>）</w:t>
            </w:r>
            <w:r>
              <w:rPr>
                <w:rFonts w:hint="default" w:ascii="Times New Roman" w:hAnsi="Times New Roman" w:eastAsia="宋体" w:cs="Times New Roman"/>
                <w:color w:val="auto"/>
                <w:spacing w:val="0"/>
                <w:sz w:val="24"/>
                <w:lang w:bidi="ar"/>
              </w:rPr>
              <w:t>单位基本</w:t>
            </w:r>
            <w:r>
              <w:rPr>
                <w:rFonts w:hint="default" w:ascii="Times New Roman" w:hAnsi="Times New Roman" w:eastAsia="宋体" w:cs="Times New Roman"/>
                <w:color w:val="auto"/>
                <w:spacing w:val="0"/>
                <w:sz w:val="24"/>
                <w:lang w:val="en-US" w:eastAsia="zh-CN" w:bidi="ar"/>
              </w:rPr>
              <w:t>情况填写要求</w:t>
            </w:r>
          </w:p>
          <w:p w14:paraId="4C2F7D75">
            <w:pPr>
              <w:keepNext w:val="0"/>
              <w:keepLines w:val="0"/>
              <w:pageBreakBefore w:val="0"/>
              <w:widowControl/>
              <w:numPr>
                <w:ilvl w:val="0"/>
                <w:numId w:val="0"/>
              </w:numPr>
              <w:suppressAutoHyphens/>
              <w:kinsoku/>
              <w:wordWrap/>
              <w:overflowPunct/>
              <w:topLinePunct/>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sz w:val="24"/>
                <w:lang w:val="en-US" w:eastAsia="zh-CN" w:bidi="ar"/>
              </w:rPr>
            </w:pPr>
            <w:r>
              <w:rPr>
                <w:rFonts w:hint="default" w:ascii="Times New Roman" w:hAnsi="Times New Roman" w:eastAsia="宋体" w:cs="Times New Roman"/>
                <w:color w:val="auto"/>
                <w:spacing w:val="0"/>
                <w:sz w:val="24"/>
                <w:lang w:val="en-US" w:eastAsia="zh-CN" w:bidi="ar"/>
              </w:rPr>
              <w:t>1）</w:t>
            </w:r>
            <w:r>
              <w:rPr>
                <w:rFonts w:hint="default" w:ascii="Times New Roman" w:hAnsi="Times New Roman" w:eastAsia="宋体" w:cs="Times New Roman"/>
                <w:color w:val="auto"/>
                <w:spacing w:val="0"/>
                <w:sz w:val="24"/>
                <w:lang w:val="en-US" w:eastAsia="zh-CN" w:bidi="ar"/>
              </w:rPr>
              <w:t>单位基本信息单位基本信息填写内容参见附录A.1，填写应满足以下要求。a）行业类别：根据GB/T4754中对应的类别和代码填写。b）管理类别：指危险废物环境重点监管单位、危险废物简化管理单位或者危险废物登记管理单位。</w:t>
            </w:r>
          </w:p>
          <w:p w14:paraId="258E571C">
            <w:pPr>
              <w:keepNext w:val="0"/>
              <w:keepLines w:val="0"/>
              <w:pageBreakBefore w:val="0"/>
              <w:widowControl/>
              <w:numPr>
                <w:ilvl w:val="0"/>
                <w:numId w:val="0"/>
              </w:numPr>
              <w:suppressAutoHyphens/>
              <w:kinsoku/>
              <w:wordWrap/>
              <w:overflowPunct/>
              <w:topLinePunct/>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sz w:val="24"/>
                <w:lang w:bidi="ar"/>
              </w:rPr>
            </w:pPr>
            <w:r>
              <w:rPr>
                <w:rFonts w:hint="default" w:ascii="Times New Roman" w:hAnsi="Times New Roman" w:eastAsia="宋体" w:cs="Times New Roman"/>
                <w:color w:val="auto"/>
                <w:spacing w:val="0"/>
                <w:sz w:val="24"/>
                <w:lang w:val="en-US" w:eastAsia="zh-CN" w:bidi="ar"/>
              </w:rPr>
              <w:t>2）设施信息</w:t>
            </w:r>
            <w:r>
              <w:rPr>
                <w:rFonts w:hint="default" w:ascii="Times New Roman" w:hAnsi="Times New Roman" w:eastAsia="宋体" w:cs="Times New Roman"/>
                <w:color w:val="auto"/>
                <w:spacing w:val="0"/>
                <w:sz w:val="24"/>
                <w:lang w:val="en-US" w:eastAsia="zh-CN" w:bidi="ar"/>
              </w:rPr>
              <w:t>填写内容参见附录A.2，填写应满足以下要求。a）主要生产单元、主要工艺、生产设施及设施参数、产品名称、生产能力、原辅材料：与排污许可证副本中载明的内容保持一致。b）设施编码：填写排污许可证副本中载明的编码。若无编码，则根据HJ608进行编码并填写。HJ1259—20224对于产生环节不固定的危险废物，选取其中一个产生该类别危险废物的设施编码填写。c）污染防治</w:t>
            </w:r>
            <w:r>
              <w:rPr>
                <w:rFonts w:hint="default" w:ascii="Times New Roman" w:hAnsi="Times New Roman" w:eastAsia="宋体" w:cs="Times New Roman"/>
                <w:color w:val="auto"/>
                <w:spacing w:val="0"/>
                <w:sz w:val="24"/>
                <w:lang w:bidi="ar"/>
              </w:rPr>
              <w:t>设施参数：指危险废物自行利用设施、自行处置设施和贮存设施的参数。</w:t>
            </w:r>
          </w:p>
          <w:p w14:paraId="1C430EF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32"/>
                <w:lang w:val="en-US" w:eastAsia="zh-CN"/>
              </w:rPr>
            </w:pPr>
            <w:r>
              <w:rPr>
                <w:rFonts w:hint="default" w:ascii="Times New Roman" w:hAnsi="Times New Roman" w:eastAsia="宋体" w:cs="Times New Roman"/>
                <w:b/>
                <w:bCs/>
                <w:color w:val="auto"/>
                <w:sz w:val="24"/>
                <w:szCs w:val="32"/>
                <w:lang w:val="en-US" w:eastAsia="zh-CN"/>
              </w:rPr>
              <w:t>5、电磁辐射影响</w:t>
            </w:r>
          </w:p>
          <w:p w14:paraId="30A080AF">
            <w:pPr>
              <w:pStyle w:val="47"/>
              <w:rPr>
                <w:rFonts w:hint="default" w:ascii="Times New Roman" w:hAnsi="Times New Roman" w:cs="Times New Roman"/>
                <w:color w:val="auto"/>
                <w:sz w:val="24"/>
                <w:lang w:eastAsia="zh-CN"/>
              </w:rPr>
            </w:pPr>
            <w:r>
              <w:rPr>
                <w:rFonts w:hint="default" w:ascii="Times New Roman" w:hAnsi="Times New Roman" w:cs="Times New Roman"/>
                <w:color w:val="auto"/>
                <w:sz w:val="24"/>
              </w:rPr>
              <w:t>本项目辐射源有</w:t>
            </w:r>
            <w:r>
              <w:rPr>
                <w:rFonts w:hint="default" w:ascii="Times New Roman" w:hAnsi="Times New Roman" w:cs="Times New Roman"/>
                <w:color w:val="auto"/>
                <w:sz w:val="24"/>
                <w:lang w:val="en-US" w:eastAsia="zh-CN"/>
              </w:rPr>
              <w:t>35</w:t>
            </w:r>
            <w:r>
              <w:rPr>
                <w:rFonts w:hint="default" w:ascii="Times New Roman" w:hAnsi="Times New Roman" w:cs="Times New Roman"/>
                <w:color w:val="auto"/>
                <w:sz w:val="24"/>
              </w:rPr>
              <w:t>KV开关柜、</w:t>
            </w:r>
            <w:r>
              <w:rPr>
                <w:rFonts w:hint="default" w:ascii="Times New Roman" w:hAnsi="Times New Roman" w:cs="Times New Roman"/>
                <w:color w:val="auto"/>
                <w:sz w:val="24"/>
                <w:lang w:val="en-US" w:eastAsia="zh-CN"/>
              </w:rPr>
              <w:t>35</w:t>
            </w:r>
            <w:r>
              <w:rPr>
                <w:rFonts w:hint="default" w:ascii="Times New Roman" w:hAnsi="Times New Roman" w:cs="Times New Roman"/>
                <w:color w:val="auto"/>
                <w:sz w:val="24"/>
              </w:rPr>
              <w:t>kV集电线路，根据《建设项目环境影响评价分类管理（2021版本）》</w:t>
            </w:r>
            <w:r>
              <w:rPr>
                <w:rFonts w:hint="default" w:ascii="Times New Roman" w:hAnsi="Times New Roman" w:cs="Times New Roman"/>
                <w:color w:val="auto"/>
                <w:sz w:val="24"/>
                <w:lang w:eastAsia="zh-CN"/>
              </w:rPr>
              <w:t>、</w:t>
            </w:r>
            <w:r>
              <w:rPr>
                <w:rFonts w:hint="default" w:ascii="Times New Roman" w:hAnsi="Times New Roman" w:cs="Times New Roman"/>
                <w:b w:val="0"/>
                <w:bCs w:val="0"/>
                <w:color w:val="auto"/>
              </w:rPr>
              <w:t>《环境影响评价技术导则输变电》（HJ24-2020）</w:t>
            </w:r>
            <w:r>
              <w:rPr>
                <w:rFonts w:hint="default" w:ascii="Times New Roman" w:hAnsi="Times New Roman" w:cs="Times New Roman"/>
                <w:color w:val="auto"/>
                <w:sz w:val="24"/>
              </w:rPr>
              <w:t>，100kV及以下输变电电磁辐射属于豁免范围。本项目发电场内的</w:t>
            </w:r>
            <w:r>
              <w:rPr>
                <w:rFonts w:hint="default" w:ascii="Times New Roman" w:hAnsi="Times New Roman" w:cs="Times New Roman"/>
                <w:color w:val="auto"/>
                <w:sz w:val="24"/>
                <w:lang w:val="en-US" w:eastAsia="zh-CN"/>
              </w:rPr>
              <w:t>35</w:t>
            </w:r>
            <w:r>
              <w:rPr>
                <w:rFonts w:hint="default" w:ascii="Times New Roman" w:hAnsi="Times New Roman" w:cs="Times New Roman"/>
                <w:color w:val="auto"/>
                <w:sz w:val="24"/>
              </w:rPr>
              <w:t>KV开关柜、</w:t>
            </w:r>
            <w:r>
              <w:rPr>
                <w:rFonts w:hint="default" w:ascii="Times New Roman" w:hAnsi="Times New Roman" w:cs="Times New Roman"/>
                <w:color w:val="auto"/>
                <w:sz w:val="24"/>
                <w:lang w:val="en-US" w:eastAsia="zh-CN"/>
              </w:rPr>
              <w:t>35</w:t>
            </w:r>
            <w:r>
              <w:rPr>
                <w:rFonts w:hint="default" w:ascii="Times New Roman" w:hAnsi="Times New Roman" w:cs="Times New Roman"/>
                <w:color w:val="auto"/>
                <w:sz w:val="24"/>
              </w:rPr>
              <w:t>kV集电线路均属于豁免范围</w:t>
            </w:r>
            <w:r>
              <w:rPr>
                <w:rFonts w:hint="default" w:ascii="Times New Roman" w:hAnsi="Times New Roman" w:cs="Times New Roman"/>
                <w:color w:val="auto"/>
                <w:sz w:val="24"/>
                <w:lang w:eastAsia="zh-CN"/>
              </w:rPr>
              <w:t>。</w:t>
            </w:r>
          </w:p>
          <w:p w14:paraId="7070205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32"/>
              </w:rPr>
            </w:pPr>
            <w:r>
              <w:rPr>
                <w:rFonts w:hint="default" w:ascii="Times New Roman" w:hAnsi="Times New Roman" w:eastAsia="宋体" w:cs="Times New Roman"/>
                <w:b/>
                <w:bCs/>
                <w:color w:val="auto"/>
                <w:sz w:val="24"/>
                <w:szCs w:val="32"/>
                <w:lang w:val="en-US" w:eastAsia="zh-CN"/>
              </w:rPr>
              <w:t>6、</w:t>
            </w:r>
            <w:r>
              <w:rPr>
                <w:rFonts w:hint="default" w:ascii="Times New Roman" w:hAnsi="Times New Roman" w:eastAsia="宋体" w:cs="Times New Roman"/>
                <w:b/>
                <w:bCs/>
                <w:color w:val="auto"/>
                <w:sz w:val="24"/>
                <w:szCs w:val="32"/>
              </w:rPr>
              <w:t>生态环境影响分析</w:t>
            </w:r>
          </w:p>
          <w:p w14:paraId="55A038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（1）设备维修、巡检等活动对砾幕稳定结构的影响。</w:t>
            </w:r>
          </w:p>
          <w:p w14:paraId="5B4BFC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本项目的设备维修、巡检等日常活动，对区域生态环境产生较小的影响，随着</w:t>
            </w:r>
            <w:r>
              <w:rPr>
                <w:rFonts w:hint="default" w:ascii="Times New Roman" w:hAnsi="Times New Roman" w:eastAsia="宋体" w:cs="Times New Roman"/>
                <w:color w:val="auto"/>
                <w:sz w:val="24"/>
                <w:szCs w:val="32"/>
                <w:lang w:eastAsia="zh-CN"/>
              </w:rPr>
              <w:t>环境</w:t>
            </w:r>
            <w:r>
              <w:rPr>
                <w:rFonts w:hint="default" w:ascii="Times New Roman" w:hAnsi="Times New Roman" w:eastAsia="宋体" w:cs="Times New Roman"/>
                <w:color w:val="auto"/>
                <w:sz w:val="24"/>
                <w:szCs w:val="32"/>
              </w:rPr>
              <w:t>保护力度的加强，可能有利于区域生态环境的改善。</w:t>
            </w:r>
          </w:p>
          <w:p w14:paraId="350A80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w:t>
            </w:r>
            <w:r>
              <w:rPr>
                <w:rFonts w:hint="default" w:ascii="Times New Roman" w:hAnsi="Times New Roman" w:eastAsia="宋体" w:cs="Times New Roman"/>
                <w:color w:val="auto"/>
                <w:sz w:val="24"/>
                <w:szCs w:val="32"/>
                <w:lang w:val="en-US" w:eastAsia="zh-CN"/>
              </w:rPr>
              <w:t>2</w:t>
            </w:r>
            <w:r>
              <w:rPr>
                <w:rFonts w:hint="default" w:ascii="Times New Roman" w:hAnsi="Times New Roman" w:eastAsia="宋体" w:cs="Times New Roman"/>
                <w:color w:val="auto"/>
                <w:sz w:val="24"/>
                <w:szCs w:val="32"/>
              </w:rPr>
              <w:t>）对植物的影响分析</w:t>
            </w:r>
          </w:p>
          <w:p w14:paraId="71289A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本项目运行后，永久占地会减少地表植被数量，本项目采取在变、配电室等建筑物周围进行混播种草绿化，可增加场地周边植被覆盖率，因此，本项目的建设对区域植被的生态环境影响较小。</w:t>
            </w:r>
          </w:p>
          <w:p w14:paraId="1B347F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w:t>
            </w:r>
            <w:r>
              <w:rPr>
                <w:rFonts w:hint="default" w:ascii="Times New Roman" w:hAnsi="Times New Roman" w:cs="Times New Roman"/>
                <w:color w:val="auto"/>
                <w:sz w:val="24"/>
                <w:szCs w:val="32"/>
                <w:lang w:val="en-US" w:eastAsia="zh-CN"/>
              </w:rPr>
              <w:t>3</w:t>
            </w:r>
            <w:r>
              <w:rPr>
                <w:rFonts w:hint="default" w:ascii="Times New Roman" w:hAnsi="Times New Roman" w:eastAsia="宋体" w:cs="Times New Roman"/>
                <w:color w:val="auto"/>
                <w:sz w:val="24"/>
                <w:szCs w:val="32"/>
              </w:rPr>
              <w:t>）对野生动物的影响分析</w:t>
            </w:r>
          </w:p>
          <w:p w14:paraId="4C94C716">
            <w:pPr>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①对鸟类飞行及数量的影响</w:t>
            </w:r>
          </w:p>
          <w:p w14:paraId="39AB7025">
            <w:pPr>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风机叶片旋转的范围在离地面20-200m之间，是鸟类飞行通过风机的高风险区域，有被风机叶片撞击的危险，风力发电场对鸟类影响最严重的后果是鸟类飞行中由于不能避让风机而被撞死或撞伤，尤其是鸟类于夜间及天气恶劣多雾时飞过风力发电场区域，可能因视线不良而撞击风力发电机叶片或塔架。</w:t>
            </w:r>
          </w:p>
          <w:p w14:paraId="193CB686">
            <w:pPr>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据有关资料，对内陆型风电场，鸟类日常活动的范围一般较低，在20m高的范围内，平均约18.8m，雀形目约5.5m，鸽形目约6.6m。鸟类的飞行高度，通常呈季节性变化，夏季平均飞行高度最低，春季次之，秋季则最高。拟建风电场风机塔筒高度10</w:t>
            </w:r>
            <w:r>
              <w:rPr>
                <w:rFonts w:hint="default" w:ascii="Times New Roman" w:hAnsi="Times New Roman" w:eastAsia="宋体" w:cs="Times New Roman"/>
                <w:bCs/>
                <w:color w:val="auto"/>
                <w:sz w:val="24"/>
                <w:lang w:val="en-US" w:eastAsia="zh-CN"/>
              </w:rPr>
              <w:t>7</w:t>
            </w:r>
            <w:r>
              <w:rPr>
                <w:rFonts w:hint="default" w:ascii="Times New Roman" w:hAnsi="Times New Roman" w:eastAsia="宋体" w:cs="Times New Roman"/>
                <w:bCs/>
                <w:color w:val="auto"/>
                <w:sz w:val="24"/>
              </w:rPr>
              <w:t>m，叶片直径为19</w:t>
            </w:r>
            <w:r>
              <w:rPr>
                <w:rFonts w:hint="default" w:ascii="Times New Roman" w:hAnsi="Times New Roman" w:eastAsia="宋体" w:cs="Times New Roman"/>
                <w:bCs/>
                <w:color w:val="auto"/>
                <w:sz w:val="24"/>
                <w:lang w:val="en-US" w:eastAsia="zh-CN"/>
              </w:rPr>
              <w:t>5</w:t>
            </w:r>
            <w:r>
              <w:rPr>
                <w:rFonts w:hint="default" w:ascii="Times New Roman" w:hAnsi="Times New Roman" w:eastAsia="宋体" w:cs="Times New Roman"/>
                <w:bCs/>
                <w:color w:val="auto"/>
                <w:sz w:val="24"/>
              </w:rPr>
              <w:t>m，叶片扫过区域的高度在20-200m之间。项目区主要野生鸟类为</w:t>
            </w:r>
            <w:r>
              <w:rPr>
                <w:rFonts w:hint="default" w:ascii="Times New Roman" w:hAnsi="Times New Roman" w:eastAsia="宋体" w:cs="Times New Roman"/>
                <w:bCs/>
                <w:color w:val="auto"/>
                <w:sz w:val="24"/>
                <w:lang w:val="zh-CN"/>
              </w:rPr>
              <w:t>漠雀</w:t>
            </w:r>
            <w:r>
              <w:rPr>
                <w:rFonts w:hint="default" w:ascii="Times New Roman" w:hAnsi="Times New Roman" w:eastAsia="宋体" w:cs="Times New Roman"/>
                <w:bCs/>
                <w:color w:val="auto"/>
                <w:sz w:val="24"/>
              </w:rPr>
              <w:t>等常见体型较小的鸟类，活动范围一般在20m高的范围内，加之鸟类的视觉极为敏锐，反应机警，对运动中的物体会产生规避反应，而远离这一物体，因此发生鸟类撞击风机致死现象的可能性很小。因此，风电场运转对其影响较小，鸟类的数量将不会因此下降。</w:t>
            </w:r>
          </w:p>
          <w:p w14:paraId="48788F3C">
            <w:pPr>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②对候鸟迁徙的影响</w:t>
            </w:r>
          </w:p>
          <w:p w14:paraId="05FAD1C2">
            <w:pPr>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rPr>
            </w:pPr>
            <w:r>
              <w:rPr>
                <w:rFonts w:hint="default" w:ascii="Times New Roman" w:hAnsi="Times New Roman" w:eastAsia="宋体" w:cs="Times New Roman"/>
                <w:bCs/>
                <w:color w:val="auto"/>
                <w:sz w:val="24"/>
              </w:rPr>
              <w:t>由于候鸟迁徙飞行高度往往高于150m，一般鸣禽类为150m以上，水禽和涉禽为200m-1500m之间，日间迁飞的高度，大多在200m-1000m之间，夜间的迁飞高度，大多在150m-1000m之间或更高。本项目风电场风机塔筒高度10</w:t>
            </w:r>
            <w:r>
              <w:rPr>
                <w:rFonts w:hint="default" w:ascii="Times New Roman" w:hAnsi="Times New Roman" w:eastAsia="宋体" w:cs="Times New Roman"/>
                <w:bCs/>
                <w:color w:val="auto"/>
                <w:sz w:val="24"/>
                <w:lang w:val="en-US" w:eastAsia="zh-CN"/>
              </w:rPr>
              <w:t>7</w:t>
            </w:r>
            <w:r>
              <w:rPr>
                <w:rFonts w:hint="default" w:ascii="Times New Roman" w:hAnsi="Times New Roman" w:eastAsia="宋体" w:cs="Times New Roman"/>
                <w:bCs/>
                <w:color w:val="auto"/>
                <w:sz w:val="24"/>
              </w:rPr>
              <w:t>m，叶片直径为19</w:t>
            </w:r>
            <w:r>
              <w:rPr>
                <w:rFonts w:hint="default" w:ascii="Times New Roman" w:hAnsi="Times New Roman" w:eastAsia="宋体" w:cs="Times New Roman"/>
                <w:bCs/>
                <w:color w:val="auto"/>
                <w:sz w:val="24"/>
                <w:lang w:val="en-US" w:eastAsia="zh-CN"/>
              </w:rPr>
              <w:t>5</w:t>
            </w:r>
            <w:r>
              <w:rPr>
                <w:rFonts w:hint="default" w:ascii="Times New Roman" w:hAnsi="Times New Roman" w:eastAsia="宋体" w:cs="Times New Roman"/>
                <w:bCs/>
                <w:color w:val="auto"/>
                <w:sz w:val="24"/>
              </w:rPr>
              <w:t>m，叶片扫过区域的高度在20-170m之间，</w:t>
            </w:r>
            <w:r>
              <w:rPr>
                <w:rFonts w:hint="default" w:ascii="Times New Roman" w:hAnsi="Times New Roman" w:eastAsia="宋体" w:cs="Times New Roman"/>
                <w:color w:val="auto"/>
                <w:sz w:val="24"/>
                <w:szCs w:val="32"/>
              </w:rPr>
              <w:t>根据可研报告提供资料，本项目不属于候鸟栖息地，也不在候鸟主要线路，因此</w:t>
            </w:r>
            <w:r>
              <w:rPr>
                <w:rFonts w:hint="default" w:ascii="Times New Roman" w:hAnsi="Times New Roman" w:eastAsia="宋体" w:cs="Times New Roman"/>
                <w:bCs/>
                <w:color w:val="auto"/>
                <w:sz w:val="24"/>
              </w:rPr>
              <w:t>对于迁徙飞行中的鸟类不会造成太大的影响。</w:t>
            </w:r>
          </w:p>
          <w:p w14:paraId="56DC13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本项目的建设对一些小型动物活动有一定阻隔作用，使其活动范围受到限制，对其觅食、交偶等存在一定影响。但本项目营运后，随着自然植被的恢复，施工时的</w:t>
            </w:r>
            <w:r>
              <w:rPr>
                <w:rFonts w:hint="default" w:ascii="Times New Roman" w:hAnsi="Times New Roman" w:eastAsia="宋体" w:cs="Times New Roman"/>
                <w:color w:val="auto"/>
                <w:sz w:val="24"/>
                <w:szCs w:val="32"/>
                <w:lang w:eastAsia="zh-CN"/>
              </w:rPr>
              <w:t>人为</w:t>
            </w:r>
            <w:r>
              <w:rPr>
                <w:rFonts w:hint="default" w:ascii="Times New Roman" w:hAnsi="Times New Roman" w:eastAsia="宋体" w:cs="Times New Roman"/>
                <w:color w:val="auto"/>
                <w:sz w:val="24"/>
                <w:szCs w:val="32"/>
              </w:rPr>
              <w:t>干扰消失，一部分外迁动物又会回归到原地，特别是一些小型动物会较快的在此重新出现。因此，营运期基本不会影响野生动物的生存、活动空间。</w:t>
            </w:r>
          </w:p>
          <w:p w14:paraId="0EE004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w:t>
            </w:r>
            <w:r>
              <w:rPr>
                <w:rFonts w:hint="default" w:ascii="Times New Roman" w:hAnsi="Times New Roman" w:eastAsia="宋体" w:cs="Times New Roman"/>
                <w:color w:val="auto"/>
                <w:sz w:val="24"/>
                <w:szCs w:val="32"/>
                <w:lang w:val="en-US" w:eastAsia="zh-CN"/>
              </w:rPr>
              <w:t>5</w:t>
            </w:r>
            <w:r>
              <w:rPr>
                <w:rFonts w:hint="default" w:ascii="Times New Roman" w:hAnsi="Times New Roman" w:eastAsia="宋体" w:cs="Times New Roman"/>
                <w:color w:val="auto"/>
                <w:sz w:val="24"/>
                <w:szCs w:val="32"/>
              </w:rPr>
              <w:t>）对土地利用的影响分析</w:t>
            </w:r>
          </w:p>
          <w:p w14:paraId="0DFE05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工程建设将征占当地一定数量的土地，本工程的建设用地包括永久用地和施工临时用地两部分。永久占用土地用于布置箱变等；临时用地包括施工中临时堆放建筑材料占地、施工人员临时居住处占地、设备临时储存所占场地、风力发电机组吊装时的临时占地和其他施工过程中所需临时占地。施工后期，施工临时设施将被拆除并清理地面、进行场地平整，因此不会影响被临时占用土地的再利用。</w:t>
            </w:r>
          </w:p>
          <w:p w14:paraId="5C40A523">
            <w:pPr>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b w:val="0"/>
                <w:bCs/>
                <w:color w:val="auto"/>
                <w:kern w:val="0"/>
                <w:sz w:val="24"/>
              </w:rPr>
            </w:pPr>
            <w:r>
              <w:rPr>
                <w:rFonts w:hint="default" w:ascii="Times New Roman" w:hAnsi="Times New Roman" w:eastAsia="宋体" w:cs="Times New Roman"/>
                <w:b w:val="0"/>
                <w:bCs/>
                <w:color w:val="auto"/>
                <w:sz w:val="24"/>
              </w:rPr>
              <w:t>（</w:t>
            </w:r>
            <w:r>
              <w:rPr>
                <w:rFonts w:hint="default" w:ascii="Times New Roman" w:hAnsi="Times New Roman" w:eastAsia="宋体" w:cs="Times New Roman"/>
                <w:b w:val="0"/>
                <w:bCs/>
                <w:color w:val="auto"/>
                <w:sz w:val="24"/>
                <w:lang w:val="en-US" w:eastAsia="zh-CN"/>
              </w:rPr>
              <w:t>5</w:t>
            </w:r>
            <w:r>
              <w:rPr>
                <w:rFonts w:hint="default" w:ascii="Times New Roman" w:hAnsi="Times New Roman" w:eastAsia="宋体" w:cs="Times New Roman"/>
                <w:b w:val="0"/>
                <w:bCs/>
                <w:color w:val="auto"/>
                <w:sz w:val="24"/>
              </w:rPr>
              <w:t>）</w:t>
            </w:r>
            <w:r>
              <w:rPr>
                <w:rFonts w:hint="default" w:ascii="Times New Roman" w:hAnsi="Times New Roman" w:eastAsia="宋体" w:cs="Times New Roman"/>
                <w:b w:val="0"/>
                <w:bCs/>
                <w:color w:val="auto"/>
                <w:kern w:val="0"/>
                <w:sz w:val="24"/>
              </w:rPr>
              <w:t>闪烁及阴影影响分析</w:t>
            </w:r>
          </w:p>
          <w:p w14:paraId="0A0F96EB">
            <w:pPr>
              <w:pageBreakBefore w:val="0"/>
              <w:widowControl w:val="0"/>
              <w:kinsoku/>
              <w:wordWrap/>
              <w:overflowPunct/>
              <w:bidi w:val="0"/>
              <w:snapToGrid w:val="0"/>
              <w:spacing w:before="0" w:beforeLines="0" w:after="0" w:afterLines="0" w:line="360" w:lineRule="auto"/>
              <w:ind w:left="0" w:leftChars="0" w:right="0" w:rightChars="0" w:firstLine="480" w:firstLineChars="200"/>
              <w:jc w:val="left"/>
              <w:rPr>
                <w:rFonts w:hint="default" w:ascii="Times New Roman" w:hAnsi="Times New Roman" w:eastAsia="宋体" w:cs="Times New Roman"/>
                <w:bCs/>
                <w:color w:val="auto"/>
                <w:kern w:val="2"/>
                <w:sz w:val="24"/>
                <w:szCs w:val="24"/>
                <w:vertAlign w:val="baseline"/>
                <w:lang w:val="en-US" w:eastAsia="zh-CN" w:bidi="ar-SA"/>
              </w:rPr>
            </w:pPr>
            <w:r>
              <w:rPr>
                <w:rFonts w:hint="default" w:ascii="Times New Roman" w:hAnsi="Times New Roman" w:eastAsia="宋体" w:cs="Times New Roman"/>
                <w:bCs/>
                <w:color w:val="auto"/>
                <w:kern w:val="2"/>
                <w:sz w:val="24"/>
                <w:szCs w:val="24"/>
                <w:vertAlign w:val="baseline"/>
                <w:lang w:val="en-US" w:eastAsia="zh-CN" w:bidi="ar-SA"/>
              </w:rPr>
              <w:t>风机在运行时会不断反射太阳光以及造成阴影和闪烁，会对周边人群（若有）产生一定影响。</w:t>
            </w:r>
          </w:p>
          <w:p w14:paraId="45D4C9B6">
            <w:pPr>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地球绕太阳公转，由于地轴的倾斜，地轴与轨道平面始终保持着大概66°34′的夹角，这样，才引起太阳直射点在南北纬23°26′之间往返移动。冬至日，太阳直射南回归线—即直射点的纬度为南纬23°26′；夏至日，太阳直射北回归线—即直射点的纬度为北纬23°26′。如果某地的纬度已经知道，依据下面的公式就可以计算出此地的太阳高度角的大小H</w:t>
            </w:r>
            <w:r>
              <w:rPr>
                <w:rFonts w:hint="default" w:ascii="Times New Roman" w:hAnsi="Times New Roman" w:eastAsia="宋体" w:cs="Times New Roman"/>
                <w:color w:val="auto"/>
                <w:sz w:val="24"/>
                <w:vertAlign w:val="subscript"/>
              </w:rPr>
              <w:t>0</w:t>
            </w:r>
            <w:r>
              <w:rPr>
                <w:rFonts w:hint="default" w:ascii="Times New Roman" w:hAnsi="Times New Roman" w:eastAsia="宋体" w:cs="Times New Roman"/>
                <w:color w:val="auto"/>
                <w:sz w:val="24"/>
              </w:rPr>
              <w:t>：</w:t>
            </w:r>
          </w:p>
          <w:p w14:paraId="082D2833">
            <w:pPr>
              <w:pageBreakBefore w:val="0"/>
              <w:kinsoku/>
              <w:wordWrap/>
              <w:overflowPunct/>
              <w:autoSpaceDE w:val="0"/>
              <w:autoSpaceDN w:val="0"/>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H</w:t>
            </w:r>
            <w:r>
              <w:rPr>
                <w:rFonts w:hint="default" w:ascii="Times New Roman" w:hAnsi="Times New Roman" w:eastAsia="宋体" w:cs="Times New Roman"/>
                <w:color w:val="auto"/>
                <w:sz w:val="24"/>
                <w:vertAlign w:val="subscript"/>
              </w:rPr>
              <w:t>0</w:t>
            </w:r>
            <w:r>
              <w:rPr>
                <w:rFonts w:hint="default" w:ascii="Times New Roman" w:hAnsi="Times New Roman" w:eastAsia="宋体" w:cs="Times New Roman"/>
                <w:color w:val="auto"/>
                <w:sz w:val="24"/>
              </w:rPr>
              <w:t>=90°－纬度</w:t>
            </w:r>
          </w:p>
          <w:p w14:paraId="192CFEE6">
            <w:pPr>
              <w:pageBreakBefore w:val="0"/>
              <w:kinsoku/>
              <w:wordWrap/>
              <w:overflowPunct/>
              <w:autoSpaceDE w:val="0"/>
              <w:autoSpaceDN w:val="0"/>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根据太阳高度角的数值即可计算出物体的阴影长度L</w:t>
            </w:r>
            <w:r>
              <w:rPr>
                <w:rFonts w:hint="default" w:ascii="Times New Roman" w:hAnsi="Times New Roman" w:eastAsia="宋体" w:cs="Times New Roman"/>
                <w:color w:val="auto"/>
                <w:sz w:val="24"/>
                <w:vertAlign w:val="subscript"/>
              </w:rPr>
              <w:t>0</w:t>
            </w:r>
            <w:r>
              <w:rPr>
                <w:rFonts w:hint="default" w:ascii="Times New Roman" w:hAnsi="Times New Roman" w:eastAsia="宋体" w:cs="Times New Roman"/>
                <w:color w:val="auto"/>
                <w:sz w:val="24"/>
              </w:rPr>
              <w:t>：</w:t>
            </w:r>
          </w:p>
          <w:p w14:paraId="6C0E223A">
            <w:pPr>
              <w:pageBreakBefore w:val="0"/>
              <w:kinsoku/>
              <w:wordWrap/>
              <w:overflowPunct/>
              <w:autoSpaceDE w:val="0"/>
              <w:autoSpaceDN w:val="0"/>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L</w:t>
            </w:r>
            <w:r>
              <w:rPr>
                <w:rFonts w:hint="default" w:ascii="Times New Roman" w:hAnsi="Times New Roman" w:eastAsia="宋体" w:cs="Times New Roman"/>
                <w:color w:val="auto"/>
                <w:sz w:val="24"/>
                <w:vertAlign w:val="subscript"/>
              </w:rPr>
              <w:t>0</w:t>
            </w:r>
            <w:r>
              <w:rPr>
                <w:rFonts w:hint="default" w:ascii="Times New Roman" w:hAnsi="Times New Roman" w:eastAsia="宋体" w:cs="Times New Roman"/>
                <w:color w:val="auto"/>
                <w:sz w:val="24"/>
              </w:rPr>
              <w:t>=D/tanH</w:t>
            </w:r>
            <w:r>
              <w:rPr>
                <w:rFonts w:hint="default" w:ascii="Times New Roman" w:hAnsi="Times New Roman" w:eastAsia="宋体" w:cs="Times New Roman"/>
                <w:color w:val="auto"/>
                <w:sz w:val="24"/>
                <w:vertAlign w:val="subscript"/>
              </w:rPr>
              <w:t>0</w:t>
            </w:r>
            <w:r>
              <w:rPr>
                <w:rFonts w:hint="default" w:ascii="Times New Roman" w:hAnsi="Times New Roman" w:eastAsia="宋体" w:cs="Times New Roman"/>
                <w:color w:val="auto"/>
                <w:sz w:val="24"/>
              </w:rPr>
              <w:t>(D为物体高度</w:t>
            </w:r>
            <w:r>
              <w:rPr>
                <w:rFonts w:hint="default" w:ascii="Times New Roman" w:hAnsi="Times New Roman" w:cs="Times New Roman"/>
                <w:color w:val="auto"/>
                <w:sz w:val="24"/>
                <w:lang w:eastAsia="zh-CN"/>
              </w:rPr>
              <w:t>）</w:t>
            </w:r>
          </w:p>
          <w:p w14:paraId="4D203561">
            <w:pPr>
              <w:pageBreakBefore w:val="0"/>
              <w:kinsoku/>
              <w:wordWrap/>
              <w:overflowPunct/>
              <w:autoSpaceDE w:val="0"/>
              <w:autoSpaceDN w:val="0"/>
              <w:bidi w:val="0"/>
              <w:adjustRightInd w:val="0"/>
              <w:snapToGrid w:val="0"/>
              <w:spacing w:line="360" w:lineRule="auto"/>
              <w:ind w:left="0" w:leftChars="0" w:right="0" w:rightChars="0" w:firstLine="480" w:firstLineChars="200"/>
              <w:rPr>
                <w:rFonts w:hint="default" w:ascii="Times New Roman" w:hAnsi="Times New Roman" w:eastAsia="宋体" w:cs="Times New Roman"/>
                <w:b/>
                <w:bCs/>
                <w:color w:val="auto"/>
                <w:sz w:val="24"/>
                <w:szCs w:val="32"/>
                <w:lang w:val="en-US" w:eastAsia="zh-CN"/>
              </w:rPr>
            </w:pPr>
            <w:r>
              <w:rPr>
                <w:rFonts w:hint="default" w:ascii="Times New Roman" w:hAnsi="Times New Roman" w:eastAsia="宋体" w:cs="Times New Roman"/>
                <w:color w:val="auto"/>
                <w:sz w:val="24"/>
              </w:rPr>
              <w:t>本风力发电机组</w:t>
            </w:r>
            <w:r>
              <w:rPr>
                <w:rFonts w:hint="default" w:ascii="Times New Roman" w:hAnsi="Times New Roman" w:cs="Times New Roman"/>
                <w:color w:val="auto"/>
                <w:sz w:val="24"/>
                <w:lang w:eastAsia="zh-CN"/>
              </w:rPr>
              <w:t>轮毂</w:t>
            </w:r>
            <w:r>
              <w:rPr>
                <w:rFonts w:hint="default" w:ascii="Times New Roman" w:hAnsi="Times New Roman" w:eastAsia="宋体" w:cs="Times New Roman"/>
                <w:color w:val="auto"/>
                <w:sz w:val="24"/>
              </w:rPr>
              <w:t>高度约为1</w:t>
            </w:r>
            <w:r>
              <w:rPr>
                <w:rFonts w:hint="default" w:ascii="Times New Roman" w:hAnsi="Times New Roman" w:eastAsia="宋体" w:cs="Times New Roman"/>
                <w:color w:val="auto"/>
                <w:sz w:val="24"/>
                <w:lang w:val="en-US" w:eastAsia="zh-CN"/>
              </w:rPr>
              <w:t>07</w:t>
            </w:r>
            <w:r>
              <w:rPr>
                <w:rFonts w:hint="default" w:ascii="Times New Roman" w:hAnsi="Times New Roman" w:eastAsia="宋体" w:cs="Times New Roman"/>
                <w:color w:val="auto"/>
                <w:sz w:val="24"/>
              </w:rPr>
              <w:t>m，风叶直径为19</w:t>
            </w:r>
            <w:r>
              <w:rPr>
                <w:rFonts w:hint="default" w:ascii="Times New Roman" w:hAnsi="Times New Roman" w:eastAsia="宋体" w:cs="Times New Roman"/>
                <w:color w:val="auto"/>
                <w:sz w:val="24"/>
                <w:lang w:val="en-US" w:eastAsia="zh-CN"/>
              </w:rPr>
              <w:t>5</w:t>
            </w:r>
            <w:r>
              <w:rPr>
                <w:rFonts w:hint="default" w:ascii="Times New Roman" w:hAnsi="Times New Roman" w:eastAsia="宋体" w:cs="Times New Roman"/>
                <w:color w:val="auto"/>
                <w:sz w:val="24"/>
              </w:rPr>
              <w:t>m，最大高度为</w:t>
            </w:r>
            <w:r>
              <w:rPr>
                <w:rFonts w:hint="default" w:ascii="Times New Roman" w:hAnsi="Times New Roman" w:eastAsia="宋体" w:cs="Times New Roman"/>
                <w:color w:val="auto"/>
                <w:sz w:val="24"/>
                <w:lang w:val="en-US" w:eastAsia="zh-CN"/>
              </w:rPr>
              <w:t>302</w:t>
            </w:r>
            <w:r>
              <w:rPr>
                <w:rFonts w:hint="default" w:ascii="Times New Roman" w:hAnsi="Times New Roman" w:eastAsia="宋体" w:cs="Times New Roman"/>
                <w:color w:val="auto"/>
                <w:sz w:val="24"/>
              </w:rPr>
              <w:t>m经计算，风力发电机组形成的计算光影长度最大约为2</w:t>
            </w:r>
            <w:r>
              <w:rPr>
                <w:rFonts w:hint="default" w:ascii="Times New Roman" w:hAnsi="Times New Roman" w:eastAsia="宋体" w:cs="Times New Roman"/>
                <w:color w:val="auto"/>
                <w:sz w:val="24"/>
                <w:lang w:val="en-US" w:eastAsia="zh-CN"/>
              </w:rPr>
              <w:t>44</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6</w:t>
            </w:r>
            <w:r>
              <w:rPr>
                <w:rFonts w:hint="default" w:ascii="Times New Roman" w:hAnsi="Times New Roman" w:eastAsia="宋体" w:cs="Times New Roman"/>
                <w:color w:val="auto"/>
                <w:sz w:val="24"/>
              </w:rPr>
              <w:t>m。在风力发电机组优化布置设计过程中充分考虑到机组的光影及闪烁对常驻人群及野生动物种群的栖息无影响。据现场调查可知，本项目周围无居民区存在，因此不</w:t>
            </w:r>
            <w:r>
              <w:rPr>
                <w:rFonts w:hint="default" w:ascii="Times New Roman" w:hAnsi="Times New Roman" w:eastAsia="宋体" w:cs="Times New Roman"/>
                <w:color w:val="auto"/>
                <w:sz w:val="24"/>
                <w:lang w:eastAsia="zh-CN"/>
              </w:rPr>
              <w:t>产生</w:t>
            </w:r>
            <w:r>
              <w:rPr>
                <w:rFonts w:hint="default" w:ascii="Times New Roman" w:hAnsi="Times New Roman" w:eastAsia="宋体" w:cs="Times New Roman"/>
                <w:color w:val="auto"/>
                <w:sz w:val="24"/>
              </w:rPr>
              <w:t>闪烁及阴影的扰民现象。</w:t>
            </w:r>
          </w:p>
          <w:p w14:paraId="3AE1737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32"/>
              </w:rPr>
            </w:pPr>
            <w:r>
              <w:rPr>
                <w:rFonts w:hint="default" w:ascii="Times New Roman" w:hAnsi="Times New Roman" w:cs="Times New Roman"/>
                <w:b/>
                <w:bCs/>
                <w:color w:val="auto"/>
                <w:sz w:val="24"/>
                <w:szCs w:val="32"/>
                <w:lang w:val="en-US" w:eastAsia="zh-CN"/>
              </w:rPr>
              <w:t>8、</w:t>
            </w:r>
            <w:r>
              <w:rPr>
                <w:rFonts w:hint="default" w:ascii="Times New Roman" w:hAnsi="Times New Roman" w:eastAsia="宋体" w:cs="Times New Roman"/>
                <w:b/>
                <w:bCs/>
                <w:color w:val="auto"/>
                <w:sz w:val="24"/>
                <w:szCs w:val="32"/>
              </w:rPr>
              <w:t>环境风险分析</w:t>
            </w:r>
          </w:p>
          <w:p w14:paraId="554084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（1）主要危险物质及分布情况</w:t>
            </w:r>
          </w:p>
          <w:p w14:paraId="66A345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本项目涉及的危险物质包括废变压器油等主要在检修时产生。</w:t>
            </w:r>
          </w:p>
          <w:p w14:paraId="5F39C4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（2）可能影响环境的途径</w:t>
            </w:r>
          </w:p>
          <w:p w14:paraId="3E8CD5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本项目涉及的危险化学品均为油品类物质，若遇到明火将引发火灾，火灾产生的次生环境污染主要为CO，将对人体健康产生危害。另外，若润滑油发生泄漏，油品流入地表水体将对地表水产生严重污染。</w:t>
            </w:r>
          </w:p>
          <w:p w14:paraId="793CCC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（3）大气环境风险事故分析</w:t>
            </w:r>
          </w:p>
          <w:p w14:paraId="6FE037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本项目涉及的油品物质储存量较小且处于密闭常温状态，不会对大气环境产生不良影响。本项目涉及的危险化学品均为油品类物质，若遇到明火将引发火灾，火灾产生的燃烧产物主要为CO</w:t>
            </w:r>
            <w:r>
              <w:rPr>
                <w:rFonts w:hint="default" w:ascii="Times New Roman" w:hAnsi="Times New Roman" w:eastAsia="宋体" w:cs="Times New Roman"/>
                <w:color w:val="auto"/>
                <w:sz w:val="24"/>
                <w:szCs w:val="32"/>
                <w:vertAlign w:val="subscript"/>
                <w:lang w:val="en-US" w:eastAsia="zh-CN"/>
              </w:rPr>
              <w:t>2</w:t>
            </w:r>
            <w:r>
              <w:rPr>
                <w:rFonts w:hint="default" w:ascii="Times New Roman" w:hAnsi="Times New Roman" w:eastAsia="宋体" w:cs="Times New Roman"/>
                <w:color w:val="auto"/>
                <w:sz w:val="24"/>
                <w:szCs w:val="32"/>
                <w:lang w:val="en-US" w:eastAsia="zh-CN"/>
              </w:rPr>
              <w:t>和水蒸气，但不完全燃烧的产物中会含有一氧化碳、二氧化碳、硫化物和氮氧化物等气体，同时伴随浓烟挥发至空气中，会造成大气污染，对人的健康造成危害；局部的燃烧还会进一步引发爆炸，进而扩大事故的危害。由于硫化物和CO有毒性，当达到一定的浓度时，会影响人的造血功能和神经系统功能。所以发生火灾时，要注意防范对人群的危害。</w:t>
            </w:r>
          </w:p>
          <w:p w14:paraId="4DB3BC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（4）地下水环境风险事故分析</w:t>
            </w:r>
          </w:p>
          <w:p w14:paraId="1A057C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地下水环境风险事故主要是</w:t>
            </w:r>
            <w:r>
              <w:rPr>
                <w:rFonts w:hint="default" w:ascii="Times New Roman" w:hAnsi="Times New Roman" w:eastAsia="宋体" w:cs="Times New Roman"/>
                <w:color w:val="auto"/>
                <w:sz w:val="24"/>
                <w:szCs w:val="32"/>
                <w:lang w:val="en-US" w:eastAsia="zh-CN"/>
              </w:rPr>
              <w:t>废油</w:t>
            </w:r>
            <w:r>
              <w:rPr>
                <w:rFonts w:hint="default" w:ascii="Times New Roman" w:hAnsi="Times New Roman" w:eastAsia="宋体" w:cs="Times New Roman"/>
                <w:color w:val="auto"/>
                <w:sz w:val="24"/>
                <w:szCs w:val="32"/>
                <w:lang w:val="en-US" w:eastAsia="zh-CN"/>
              </w:rPr>
              <w:t>泄漏。变压器等机电设备底部采取了防渗、防雨、防晒处理，且堆存量较小。若发生泄漏，抢险人员应立即对其进行清理，使用砂石等对其覆盖，待事故结束后，将被污染的</w:t>
            </w:r>
            <w:r>
              <w:rPr>
                <w:rFonts w:hint="default" w:ascii="Times New Roman" w:hAnsi="Times New Roman" w:eastAsia="宋体" w:cs="Times New Roman"/>
                <w:color w:val="auto"/>
                <w:sz w:val="24"/>
                <w:szCs w:val="32"/>
                <w:lang w:val="en-US" w:eastAsia="zh-CN"/>
              </w:rPr>
              <w:t>废油交由有资质的单位处理。</w:t>
            </w:r>
            <w:r>
              <w:rPr>
                <w:rFonts w:hint="default" w:ascii="Times New Roman" w:hAnsi="Times New Roman" w:eastAsia="宋体" w:cs="Times New Roman"/>
                <w:color w:val="auto"/>
                <w:sz w:val="24"/>
                <w:szCs w:val="32"/>
                <w:lang w:val="en-US" w:eastAsia="zh-CN"/>
              </w:rPr>
              <w:t>因此，</w:t>
            </w:r>
            <w:r>
              <w:rPr>
                <w:rFonts w:hint="default" w:ascii="Times New Roman" w:hAnsi="Times New Roman" w:eastAsia="宋体" w:cs="Times New Roman"/>
                <w:color w:val="auto"/>
                <w:sz w:val="24"/>
                <w:szCs w:val="32"/>
                <w:lang w:val="en-US" w:eastAsia="zh-CN"/>
              </w:rPr>
              <w:t>废油</w:t>
            </w:r>
            <w:r>
              <w:rPr>
                <w:rFonts w:hint="default" w:ascii="Times New Roman" w:hAnsi="Times New Roman" w:eastAsia="宋体" w:cs="Times New Roman"/>
                <w:color w:val="auto"/>
                <w:sz w:val="24"/>
                <w:szCs w:val="32"/>
                <w:lang w:val="en-US" w:eastAsia="zh-CN"/>
              </w:rPr>
              <w:t>泄漏对地下水影响较小。</w:t>
            </w:r>
          </w:p>
          <w:p w14:paraId="55AE7E22">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（5）变压器事故油风险分析</w:t>
            </w:r>
            <w:r>
              <w:rPr>
                <w:rFonts w:hint="default" w:ascii="Times New Roman" w:hAnsi="Times New Roman" w:eastAsia="宋体" w:cs="Times New Roman"/>
                <w:color w:val="auto"/>
                <w:sz w:val="24"/>
                <w:szCs w:val="32"/>
                <w:lang w:val="en-US" w:eastAsia="zh-CN"/>
              </w:rPr>
              <w:br w:type="textWrapping"/>
            </w:r>
            <w:r>
              <w:rPr>
                <w:rFonts w:hint="default" w:ascii="Times New Roman" w:hAnsi="Times New Roman" w:eastAsia="宋体" w:cs="Times New Roman"/>
                <w:color w:val="auto"/>
                <w:sz w:val="24"/>
                <w:szCs w:val="32"/>
                <w:lang w:val="en-US" w:eastAsia="zh-CN"/>
              </w:rPr>
              <w:t>①</w:t>
            </w:r>
            <w:r>
              <w:rPr>
                <w:rFonts w:hint="default" w:ascii="Times New Roman" w:hAnsi="Times New Roman" w:eastAsia="宋体" w:cs="Times New Roman"/>
                <w:color w:val="auto"/>
                <w:sz w:val="24"/>
                <w:szCs w:val="32"/>
                <w:lang w:val="en-US" w:eastAsia="zh-CN"/>
              </w:rPr>
              <w:t>环境风险源调查</w:t>
            </w:r>
          </w:p>
          <w:p w14:paraId="1C18FB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按照《建设项目环境风险评价技术导则》（HJ169-2018）附录B，进行本项目物质危险性（燃爆性、毒理毒性）的识别，经判定本项目涉及的危险物质为变压器油，属于油类物质，不属于重大危险源。</w:t>
            </w:r>
          </w:p>
          <w:p w14:paraId="081271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②</w:t>
            </w:r>
            <w:r>
              <w:rPr>
                <w:rFonts w:hint="default" w:ascii="Times New Roman" w:hAnsi="Times New Roman" w:eastAsia="宋体" w:cs="Times New Roman"/>
                <w:color w:val="auto"/>
                <w:sz w:val="24"/>
                <w:szCs w:val="32"/>
                <w:lang w:val="en-US" w:eastAsia="zh-CN"/>
              </w:rPr>
              <w:t>风险潜势判定</w:t>
            </w:r>
          </w:p>
          <w:p w14:paraId="0A2E6C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本项目油量总计约</w:t>
            </w:r>
            <w:r>
              <w:rPr>
                <w:rFonts w:hint="default" w:ascii="Times New Roman" w:hAnsi="Times New Roman" w:cs="Times New Roman"/>
                <w:color w:val="auto"/>
                <w:sz w:val="24"/>
                <w:szCs w:val="32"/>
                <w:lang w:val="en-US" w:eastAsia="zh-CN"/>
              </w:rPr>
              <w:t>30</w:t>
            </w:r>
            <w:r>
              <w:rPr>
                <w:rFonts w:hint="default" w:ascii="Times New Roman" w:hAnsi="Times New Roman" w:eastAsia="宋体" w:cs="Times New Roman"/>
                <w:color w:val="auto"/>
                <w:sz w:val="24"/>
                <w:szCs w:val="32"/>
                <w:lang w:val="en-US" w:eastAsia="zh-CN"/>
              </w:rPr>
              <w:t>t。对照《建设项目环境风险评价技术导则》（HJ169-2018）附录B中油类物质临界量2500t，本工程危险物质数量与临界量比较Q＜1，本项目环境风险潜势为I。</w:t>
            </w:r>
          </w:p>
          <w:p w14:paraId="574F70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③</w:t>
            </w:r>
            <w:r>
              <w:rPr>
                <w:rFonts w:hint="default" w:ascii="Times New Roman" w:hAnsi="Times New Roman" w:eastAsia="宋体" w:cs="Times New Roman"/>
                <w:color w:val="auto"/>
                <w:sz w:val="24"/>
                <w:szCs w:val="32"/>
                <w:lang w:val="en-US" w:eastAsia="zh-CN"/>
              </w:rPr>
              <w:t>风险等级判定</w:t>
            </w:r>
          </w:p>
          <w:p w14:paraId="68E253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根据《建设项目环境风险评价技术导则》（HJ169-2018）中有关内容，具体风险等级判定如下表所示。</w:t>
            </w:r>
          </w:p>
          <w:p w14:paraId="225CB530">
            <w:pPr>
              <w:keepNext w:val="0"/>
              <w:keepLines w:val="0"/>
              <w:pageBreakBefore w:val="0"/>
              <w:widowControl w:val="0"/>
              <w:kinsoku/>
              <w:wordWrap/>
              <w:overflowPunct/>
              <w:topLinePunct w:val="0"/>
              <w:autoSpaceDE/>
              <w:autoSpaceDN/>
              <w:bidi w:val="0"/>
              <w:adjustRightInd/>
              <w:snapToGrid/>
              <w:spacing w:line="240" w:lineRule="auto"/>
              <w:ind w:firstLine="422" w:firstLineChars="200"/>
              <w:jc w:val="center"/>
              <w:textAlignment w:val="auto"/>
              <w:rPr>
                <w:rFonts w:hint="default" w:ascii="Times New Roman" w:hAnsi="Times New Roman" w:eastAsia="宋体" w:cs="Times New Roman"/>
                <w:b/>
                <w:bCs/>
                <w:color w:val="auto"/>
                <w:sz w:val="21"/>
                <w:szCs w:val="24"/>
              </w:rPr>
            </w:pPr>
          </w:p>
          <w:p w14:paraId="7E2FFD6D">
            <w:pPr>
              <w:keepNext w:val="0"/>
              <w:keepLines w:val="0"/>
              <w:pageBreakBefore w:val="0"/>
              <w:widowControl w:val="0"/>
              <w:kinsoku/>
              <w:wordWrap/>
              <w:overflowPunct/>
              <w:topLinePunct w:val="0"/>
              <w:autoSpaceDE/>
              <w:autoSpaceDN/>
              <w:bidi w:val="0"/>
              <w:adjustRightInd/>
              <w:snapToGrid/>
              <w:spacing w:line="240" w:lineRule="auto"/>
              <w:ind w:firstLine="422" w:firstLineChars="200"/>
              <w:jc w:val="center"/>
              <w:textAlignment w:val="auto"/>
              <w:rPr>
                <w:rFonts w:hint="default" w:ascii="Times New Roman" w:hAnsi="Times New Roman" w:eastAsia="宋体" w:cs="Times New Roman"/>
                <w:b/>
                <w:bCs/>
                <w:color w:val="auto"/>
                <w:sz w:val="21"/>
                <w:szCs w:val="24"/>
              </w:rPr>
            </w:pPr>
            <w:r>
              <w:rPr>
                <w:rFonts w:hint="default" w:ascii="Times New Roman" w:hAnsi="Times New Roman" w:eastAsia="宋体" w:cs="Times New Roman"/>
                <w:b/>
                <w:bCs/>
                <w:color w:val="auto"/>
                <w:sz w:val="21"/>
                <w:szCs w:val="24"/>
              </w:rPr>
              <w:t>表</w:t>
            </w:r>
            <w:r>
              <w:rPr>
                <w:rFonts w:hint="default" w:ascii="Times New Roman" w:hAnsi="Times New Roman" w:eastAsia="宋体" w:cs="Times New Roman"/>
                <w:b/>
                <w:bCs/>
                <w:color w:val="auto"/>
                <w:sz w:val="21"/>
                <w:szCs w:val="24"/>
                <w:lang w:val="en-US" w:eastAsia="zh-CN"/>
              </w:rPr>
              <w:t>4-9</w:t>
            </w:r>
            <w:r>
              <w:rPr>
                <w:rFonts w:hint="default" w:ascii="Times New Roman" w:hAnsi="Times New Roman" w:eastAsia="宋体" w:cs="Times New Roman"/>
                <w:b/>
                <w:bCs/>
                <w:color w:val="auto"/>
                <w:sz w:val="21"/>
                <w:szCs w:val="24"/>
              </w:rPr>
              <w:t>环境风险评价工作级别</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7"/>
              <w:gridCol w:w="1532"/>
              <w:gridCol w:w="1670"/>
              <w:gridCol w:w="1670"/>
              <w:gridCol w:w="1670"/>
            </w:tblGrid>
            <w:tr w14:paraId="794DF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noWrap w:val="0"/>
                  <w:vAlign w:val="top"/>
                </w:tcPr>
                <w:p w14:paraId="235DEDBD">
                  <w:pPr>
                    <w:bidi w:val="0"/>
                    <w:rPr>
                      <w:rFonts w:hint="default" w:ascii="Times New Roman" w:hAnsi="Times New Roman" w:eastAsia="宋体" w:cs="Times New Roman"/>
                      <w:color w:val="auto"/>
                      <w:lang w:val="zh-CN" w:eastAsia="zh-CN"/>
                    </w:rPr>
                  </w:pPr>
                  <w:r>
                    <w:rPr>
                      <w:rFonts w:hint="default" w:ascii="Times New Roman" w:hAnsi="Times New Roman" w:eastAsia="宋体" w:cs="Times New Roman"/>
                      <w:color w:val="auto"/>
                      <w:lang w:val="zh-CN" w:eastAsia="zh-CN"/>
                    </w:rPr>
                    <w:t>环境风险潜势力</w:t>
                  </w:r>
                </w:p>
              </w:tc>
              <w:tc>
                <w:tcPr>
                  <w:tcW w:w="1532" w:type="dxa"/>
                  <w:noWrap w:val="0"/>
                  <w:vAlign w:val="top"/>
                </w:tcPr>
                <w:p w14:paraId="3BEBACBF">
                  <w:pPr>
                    <w:bidi w:val="0"/>
                    <w:rPr>
                      <w:rFonts w:hint="default" w:ascii="Times New Roman" w:hAnsi="Times New Roman" w:eastAsia="宋体" w:cs="Times New Roman"/>
                      <w:color w:val="auto"/>
                      <w:lang w:val="zh-CN" w:eastAsia="zh-CN"/>
                    </w:rPr>
                  </w:pPr>
                  <w:r>
                    <w:rPr>
                      <w:rFonts w:hint="default" w:ascii="Times New Roman" w:hAnsi="Times New Roman" w:cs="Times New Roman"/>
                      <w:color w:val="auto"/>
                      <w:lang w:eastAsia="zh-CN"/>
                    </w:rPr>
                    <w:t>Ⅳ</w:t>
                  </w:r>
                  <w:r>
                    <w:rPr>
                      <w:rFonts w:hint="default" w:ascii="Times New Roman" w:hAnsi="Times New Roman" w:eastAsia="宋体" w:cs="Times New Roman"/>
                      <w:color w:val="auto"/>
                    </w:rPr>
                    <w:t>、IV+</w:t>
                  </w:r>
                </w:p>
              </w:tc>
              <w:tc>
                <w:tcPr>
                  <w:tcW w:w="1670" w:type="dxa"/>
                  <w:noWrap w:val="0"/>
                  <w:vAlign w:val="top"/>
                </w:tcPr>
                <w:p w14:paraId="19987FC7">
                  <w:pPr>
                    <w:bidi w:val="0"/>
                    <w:rPr>
                      <w:rFonts w:hint="default" w:ascii="Times New Roman" w:hAnsi="Times New Roman" w:eastAsia="宋体" w:cs="Times New Roman"/>
                      <w:color w:val="auto"/>
                      <w:lang w:val="zh-CN" w:eastAsia="zh-CN"/>
                    </w:rPr>
                  </w:pPr>
                  <w:r>
                    <w:rPr>
                      <w:rFonts w:hint="default" w:ascii="Times New Roman" w:hAnsi="Times New Roman" w:cs="Times New Roman"/>
                      <w:color w:val="auto"/>
                      <w:lang w:eastAsia="zh-CN"/>
                    </w:rPr>
                    <w:t>Ⅲ</w:t>
                  </w:r>
                  <w:r>
                    <w:rPr>
                      <w:rFonts w:hint="default" w:ascii="Times New Roman" w:hAnsi="Times New Roman" w:eastAsia="宋体" w:cs="Times New Roman"/>
                      <w:color w:val="auto"/>
                    </w:rPr>
                    <w:t>危险物质</w:t>
                  </w:r>
                </w:p>
              </w:tc>
              <w:tc>
                <w:tcPr>
                  <w:tcW w:w="1670" w:type="dxa"/>
                  <w:noWrap w:val="0"/>
                  <w:vAlign w:val="top"/>
                </w:tcPr>
                <w:p w14:paraId="3BBA5DD7">
                  <w:pPr>
                    <w:bidi w:val="0"/>
                    <w:rPr>
                      <w:rFonts w:hint="default" w:ascii="Times New Roman" w:hAnsi="Times New Roman" w:eastAsia="宋体" w:cs="Times New Roman"/>
                      <w:color w:val="auto"/>
                      <w:lang w:val="zh-CN" w:eastAsia="zh-CN"/>
                    </w:rPr>
                  </w:pPr>
                  <w:r>
                    <w:rPr>
                      <w:rFonts w:hint="default" w:ascii="Times New Roman" w:hAnsi="Times New Roman" w:cs="Times New Roman"/>
                      <w:color w:val="auto"/>
                      <w:lang w:eastAsia="zh-CN"/>
                    </w:rPr>
                    <w:t>Ⅱ</w:t>
                  </w:r>
                  <w:r>
                    <w:rPr>
                      <w:rFonts w:hint="default" w:ascii="Times New Roman" w:hAnsi="Times New Roman" w:eastAsia="宋体" w:cs="Times New Roman"/>
                      <w:color w:val="auto"/>
                    </w:rPr>
                    <w:t>危险性物质</w:t>
                  </w:r>
                </w:p>
              </w:tc>
              <w:tc>
                <w:tcPr>
                  <w:tcW w:w="1670" w:type="dxa"/>
                  <w:noWrap w:val="0"/>
                  <w:vAlign w:val="top"/>
                </w:tcPr>
                <w:p w14:paraId="041E4145">
                  <w:pPr>
                    <w:bidi w:val="0"/>
                    <w:rPr>
                      <w:rFonts w:hint="default" w:ascii="Times New Roman" w:hAnsi="Times New Roman" w:eastAsia="宋体" w:cs="Times New Roman"/>
                      <w:color w:val="auto"/>
                      <w:lang w:val="zh-CN" w:eastAsia="zh-CN"/>
                    </w:rPr>
                  </w:pPr>
                  <w:r>
                    <w:rPr>
                      <w:rFonts w:hint="default" w:ascii="Times New Roman" w:hAnsi="Times New Roman" w:eastAsia="宋体" w:cs="Times New Roman"/>
                      <w:color w:val="auto"/>
                    </w:rPr>
                    <w:t>I</w:t>
                  </w:r>
                </w:p>
              </w:tc>
            </w:tr>
            <w:tr w14:paraId="6A636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noWrap w:val="0"/>
                  <w:vAlign w:val="top"/>
                </w:tcPr>
                <w:p w14:paraId="24A7C41B">
                  <w:pPr>
                    <w:bidi w:val="0"/>
                    <w:rPr>
                      <w:rFonts w:hint="default" w:ascii="Times New Roman" w:hAnsi="Times New Roman" w:eastAsia="宋体" w:cs="Times New Roman"/>
                      <w:color w:val="auto"/>
                      <w:lang w:val="zh-CN" w:eastAsia="zh-CN"/>
                    </w:rPr>
                  </w:pPr>
                  <w:r>
                    <w:rPr>
                      <w:rFonts w:hint="default" w:ascii="Times New Roman" w:hAnsi="Times New Roman" w:eastAsia="宋体" w:cs="Times New Roman"/>
                      <w:color w:val="auto"/>
                      <w:lang w:val="zh-CN" w:eastAsia="zh-CN"/>
                    </w:rPr>
                    <w:t>评价工作等级</w:t>
                  </w:r>
                </w:p>
              </w:tc>
              <w:tc>
                <w:tcPr>
                  <w:tcW w:w="1532" w:type="dxa"/>
                  <w:noWrap w:val="0"/>
                  <w:vAlign w:val="top"/>
                </w:tcPr>
                <w:p w14:paraId="6505F81E">
                  <w:pPr>
                    <w:bidi w:val="0"/>
                    <w:rPr>
                      <w:rFonts w:hint="default" w:ascii="Times New Roman" w:hAnsi="Times New Roman" w:eastAsia="宋体" w:cs="Times New Roman"/>
                      <w:color w:val="auto"/>
                      <w:lang w:val="zh-CN" w:eastAsia="zh-CN"/>
                    </w:rPr>
                  </w:pPr>
                  <w:r>
                    <w:rPr>
                      <w:rFonts w:hint="default" w:ascii="Times New Roman" w:hAnsi="Times New Roman" w:eastAsia="宋体" w:cs="Times New Roman"/>
                      <w:color w:val="auto"/>
                    </w:rPr>
                    <w:t>一</w:t>
                  </w:r>
                </w:p>
              </w:tc>
              <w:tc>
                <w:tcPr>
                  <w:tcW w:w="1670" w:type="dxa"/>
                  <w:noWrap w:val="0"/>
                  <w:vAlign w:val="top"/>
                </w:tcPr>
                <w:p w14:paraId="773769CC">
                  <w:pPr>
                    <w:bidi w:val="0"/>
                    <w:rPr>
                      <w:rFonts w:hint="default" w:ascii="Times New Roman" w:hAnsi="Times New Roman" w:eastAsia="宋体" w:cs="Times New Roman"/>
                      <w:color w:val="auto"/>
                      <w:lang w:val="zh-CN" w:eastAsia="zh-CN"/>
                    </w:rPr>
                  </w:pPr>
                  <w:r>
                    <w:rPr>
                      <w:rFonts w:hint="default" w:ascii="Times New Roman" w:hAnsi="Times New Roman" w:eastAsia="宋体" w:cs="Times New Roman"/>
                      <w:color w:val="auto"/>
                    </w:rPr>
                    <w:t>二</w:t>
                  </w:r>
                </w:p>
              </w:tc>
              <w:tc>
                <w:tcPr>
                  <w:tcW w:w="1670" w:type="dxa"/>
                  <w:noWrap w:val="0"/>
                  <w:vAlign w:val="top"/>
                </w:tcPr>
                <w:p w14:paraId="3BE2BFF1">
                  <w:pPr>
                    <w:bidi w:val="0"/>
                    <w:rPr>
                      <w:rFonts w:hint="default" w:ascii="Times New Roman" w:hAnsi="Times New Roman" w:eastAsia="宋体" w:cs="Times New Roman"/>
                      <w:color w:val="auto"/>
                      <w:lang w:val="zh-CN" w:eastAsia="zh-CN"/>
                    </w:rPr>
                  </w:pPr>
                  <w:r>
                    <w:rPr>
                      <w:rFonts w:hint="default" w:ascii="Times New Roman" w:hAnsi="Times New Roman" w:eastAsia="宋体" w:cs="Times New Roman"/>
                      <w:color w:val="auto"/>
                    </w:rPr>
                    <w:t>三</w:t>
                  </w:r>
                </w:p>
              </w:tc>
              <w:tc>
                <w:tcPr>
                  <w:tcW w:w="1670" w:type="dxa"/>
                  <w:noWrap w:val="0"/>
                  <w:vAlign w:val="top"/>
                </w:tcPr>
                <w:p w14:paraId="51084043">
                  <w:pPr>
                    <w:bidi w:val="0"/>
                    <w:rPr>
                      <w:rFonts w:hint="default" w:ascii="Times New Roman" w:hAnsi="Times New Roman" w:eastAsia="宋体" w:cs="Times New Roman"/>
                      <w:color w:val="auto"/>
                      <w:lang w:val="zh-CN" w:eastAsia="zh-CN"/>
                    </w:rPr>
                  </w:pPr>
                  <w:r>
                    <w:rPr>
                      <w:rFonts w:hint="default" w:ascii="Times New Roman" w:hAnsi="Times New Roman" w:eastAsia="宋体" w:cs="Times New Roman"/>
                      <w:color w:val="auto"/>
                      <w:lang w:val="zh-CN" w:eastAsia="zh-CN"/>
                    </w:rPr>
                    <w:t>简单分析</w:t>
                  </w:r>
                </w:p>
              </w:tc>
            </w:tr>
            <w:tr w14:paraId="10DB8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9" w:type="dxa"/>
                  <w:gridSpan w:val="5"/>
                  <w:noWrap w:val="0"/>
                  <w:vAlign w:val="top"/>
                </w:tcPr>
                <w:p w14:paraId="4C52D057">
                  <w:pPr>
                    <w:bidi w:val="0"/>
                    <w:rPr>
                      <w:rFonts w:hint="default" w:ascii="Times New Roman" w:hAnsi="Times New Roman" w:eastAsia="宋体" w:cs="Times New Roman"/>
                      <w:color w:val="auto"/>
                      <w:lang w:val="zh-CN" w:eastAsia="zh-CN"/>
                    </w:rPr>
                  </w:pPr>
                  <w:r>
                    <w:rPr>
                      <w:rFonts w:hint="default" w:ascii="Times New Roman" w:hAnsi="Times New Roman" w:eastAsia="宋体" w:cs="Times New Roman"/>
                      <w:color w:val="auto"/>
                      <w:lang w:val="zh-CN" w:eastAsia="zh-CN"/>
                    </w:rPr>
                    <w:t>简单分析是相对于详细评价工作内容而言，在描述危险物质、环境影响途径、环境危害后果、风险防范措施等方面给出定性的说明。</w:t>
                  </w:r>
                </w:p>
              </w:tc>
            </w:tr>
          </w:tbl>
          <w:p w14:paraId="7740AF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zh-CN" w:eastAsia="zh-CN"/>
              </w:rPr>
            </w:pPr>
            <w:r>
              <w:rPr>
                <w:rFonts w:hint="default" w:ascii="Times New Roman" w:hAnsi="Times New Roman" w:eastAsia="宋体" w:cs="Times New Roman"/>
                <w:color w:val="auto"/>
                <w:sz w:val="24"/>
                <w:szCs w:val="32"/>
                <w:lang w:val="zh-CN" w:eastAsia="zh-CN"/>
              </w:rPr>
              <w:t>本项目为Ⅰ类风险潜势，评价等级为仅需简单分析即可。</w:t>
            </w:r>
          </w:p>
          <w:p w14:paraId="6031706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32"/>
                <w:lang w:val="en-US" w:eastAsia="zh-CN"/>
              </w:rPr>
            </w:pPr>
            <w:r>
              <w:rPr>
                <w:rFonts w:hint="default" w:ascii="Times New Roman" w:hAnsi="Times New Roman" w:cs="Times New Roman"/>
                <w:b/>
                <w:bCs/>
                <w:color w:val="auto"/>
                <w:sz w:val="24"/>
                <w:szCs w:val="32"/>
                <w:lang w:val="en-US" w:eastAsia="zh-CN"/>
              </w:rPr>
              <w:t>9.1</w:t>
            </w:r>
            <w:r>
              <w:rPr>
                <w:rFonts w:hint="default" w:ascii="Times New Roman" w:hAnsi="Times New Roman" w:eastAsia="宋体" w:cs="Times New Roman"/>
                <w:b/>
                <w:bCs/>
                <w:color w:val="auto"/>
                <w:sz w:val="24"/>
                <w:szCs w:val="32"/>
                <w:lang w:val="en-US" w:eastAsia="zh-CN"/>
              </w:rPr>
              <w:t>环境风险防范措施及应急要求</w:t>
            </w:r>
          </w:p>
          <w:p w14:paraId="45CBC6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（1）环境风险防范措施</w:t>
            </w:r>
          </w:p>
          <w:p w14:paraId="64612E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①在维修和事故情况下，产生的废油经排油管道排至事故油池暂存。</w:t>
            </w:r>
          </w:p>
          <w:p w14:paraId="02536C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②严格做好分区防渗工程，施工期加强工程监理和环境监理，提高防渗工程质量，做好照片、录像以及相关文字说明等存档资料。</w:t>
            </w:r>
          </w:p>
          <w:p w14:paraId="020149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③项目箱变事故油池须进行重点防渗处理，防渗技术要求为：等效黏土防渗层Mb≥6m，K≤1×10</w:t>
            </w:r>
            <w:r>
              <w:rPr>
                <w:rFonts w:hint="default" w:ascii="Times New Roman" w:hAnsi="Times New Roman" w:eastAsia="宋体" w:cs="Times New Roman"/>
                <w:color w:val="auto"/>
                <w:sz w:val="24"/>
                <w:szCs w:val="32"/>
                <w:vertAlign w:val="superscript"/>
                <w:lang w:val="en-US" w:eastAsia="zh-CN"/>
              </w:rPr>
              <w:t>-7</w:t>
            </w:r>
            <w:r>
              <w:rPr>
                <w:rFonts w:hint="default" w:ascii="Times New Roman" w:hAnsi="Times New Roman" w:eastAsia="宋体" w:cs="Times New Roman"/>
                <w:color w:val="auto"/>
                <w:sz w:val="24"/>
                <w:szCs w:val="32"/>
                <w:lang w:val="en-US" w:eastAsia="zh-CN"/>
              </w:rPr>
              <w:t>cm/s；</w:t>
            </w:r>
          </w:p>
          <w:p w14:paraId="56C5A7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④运营</w:t>
            </w:r>
            <w:r>
              <w:rPr>
                <w:rFonts w:hint="default" w:ascii="Times New Roman" w:hAnsi="Times New Roman" w:cs="Times New Roman"/>
                <w:color w:val="auto"/>
                <w:sz w:val="24"/>
                <w:szCs w:val="32"/>
                <w:lang w:val="en-US" w:eastAsia="zh-CN"/>
              </w:rPr>
              <w:t>期间</w:t>
            </w:r>
            <w:r>
              <w:rPr>
                <w:rFonts w:hint="default" w:ascii="Times New Roman" w:hAnsi="Times New Roman" w:eastAsia="宋体" w:cs="Times New Roman"/>
                <w:color w:val="auto"/>
                <w:sz w:val="24"/>
                <w:szCs w:val="32"/>
                <w:lang w:val="en-US" w:eastAsia="zh-CN"/>
              </w:rPr>
              <w:t>定期检查各储存设施，避免出现泄漏等不良情况。</w:t>
            </w:r>
          </w:p>
          <w:p w14:paraId="615626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⑤加强对操作人员的岗位培训，建立健全的环保管理机制和各项环保规章制度，落实岗位环保责任制，加强环境风险防范工作，防止事故排放导致环境问题。</w:t>
            </w:r>
          </w:p>
          <w:p w14:paraId="3D841D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（2）突发环境风险事件应急预案</w:t>
            </w:r>
          </w:p>
          <w:p w14:paraId="765A58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建设单位应严格按照《企业突发环境事件风险分级方法》</w:t>
            </w:r>
            <w:r>
              <w:rPr>
                <w:rFonts w:hint="default" w:ascii="Times New Roman" w:hAnsi="Times New Roman" w:cs="Times New Roman"/>
                <w:color w:val="auto"/>
                <w:sz w:val="24"/>
                <w:szCs w:val="32"/>
                <w:lang w:val="en-US" w:eastAsia="zh-CN"/>
              </w:rPr>
              <w:t>（</w:t>
            </w:r>
            <w:r>
              <w:rPr>
                <w:rFonts w:hint="default" w:ascii="Times New Roman" w:hAnsi="Times New Roman" w:eastAsia="宋体" w:cs="Times New Roman"/>
                <w:color w:val="auto"/>
                <w:sz w:val="24"/>
                <w:szCs w:val="32"/>
                <w:lang w:val="en-US" w:eastAsia="zh-CN"/>
              </w:rPr>
              <w:t>HJ941-2018</w:t>
            </w:r>
            <w:r>
              <w:rPr>
                <w:rFonts w:hint="default" w:ascii="Times New Roman" w:hAnsi="Times New Roman" w:cs="Times New Roman"/>
                <w:color w:val="auto"/>
                <w:sz w:val="24"/>
                <w:szCs w:val="32"/>
                <w:lang w:val="en-US" w:eastAsia="zh-CN"/>
              </w:rPr>
              <w:t>）</w:t>
            </w:r>
            <w:r>
              <w:rPr>
                <w:rFonts w:hint="default" w:ascii="Times New Roman" w:hAnsi="Times New Roman" w:eastAsia="宋体" w:cs="Times New Roman"/>
                <w:color w:val="auto"/>
                <w:sz w:val="24"/>
                <w:szCs w:val="32"/>
                <w:lang w:val="en-US" w:eastAsia="zh-CN"/>
              </w:rPr>
              <w:t>、《企业突发环境事件应急预案编制指南》和《企业突发环境事件风险评估指南（试行）》开展突发环境事故应急预案的编制工作，并报</w:t>
            </w:r>
            <w:r>
              <w:rPr>
                <w:rFonts w:hint="default" w:ascii="Times New Roman" w:hAnsi="Times New Roman" w:cs="Times New Roman"/>
                <w:color w:val="auto"/>
                <w:sz w:val="24"/>
                <w:szCs w:val="32"/>
                <w:lang w:val="en-US" w:eastAsia="zh-CN"/>
              </w:rPr>
              <w:t>生态部门</w:t>
            </w:r>
            <w:r>
              <w:rPr>
                <w:rFonts w:hint="default" w:ascii="Times New Roman" w:hAnsi="Times New Roman" w:eastAsia="宋体" w:cs="Times New Roman"/>
                <w:color w:val="auto"/>
                <w:sz w:val="24"/>
                <w:szCs w:val="32"/>
                <w:lang w:val="en-US" w:eastAsia="zh-CN"/>
              </w:rPr>
              <w:t>备案。</w:t>
            </w:r>
          </w:p>
          <w:p w14:paraId="75A0A22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32"/>
                <w:lang w:val="en-US" w:eastAsia="zh-CN"/>
              </w:rPr>
            </w:pPr>
            <w:r>
              <w:rPr>
                <w:rFonts w:hint="default" w:ascii="Times New Roman" w:hAnsi="Times New Roman" w:cs="Times New Roman"/>
                <w:b/>
                <w:bCs/>
                <w:color w:val="auto"/>
                <w:sz w:val="24"/>
                <w:szCs w:val="32"/>
                <w:lang w:val="en-US" w:eastAsia="zh-CN"/>
              </w:rPr>
              <w:t>9.2</w:t>
            </w:r>
            <w:r>
              <w:rPr>
                <w:rFonts w:hint="default" w:ascii="Times New Roman" w:hAnsi="Times New Roman" w:eastAsia="宋体" w:cs="Times New Roman"/>
                <w:b/>
                <w:bCs/>
                <w:color w:val="auto"/>
                <w:sz w:val="24"/>
                <w:szCs w:val="32"/>
                <w:lang w:val="en-US" w:eastAsia="zh-CN"/>
              </w:rPr>
              <w:t>环境风险分析结论</w:t>
            </w:r>
          </w:p>
          <w:p w14:paraId="1570E9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本项目涉及的主要风险物质为矿物油，可能发生的环境风险事故主要是油品在使用、储存过程中发生泄漏和燃烧爆炸。风险事故发生后物质直接</w:t>
            </w:r>
            <w:r>
              <w:rPr>
                <w:rFonts w:hint="default" w:ascii="Times New Roman" w:hAnsi="Times New Roman" w:cs="Times New Roman"/>
                <w:color w:val="auto"/>
                <w:sz w:val="24"/>
                <w:szCs w:val="32"/>
                <w:lang w:val="en-US" w:eastAsia="zh-CN"/>
              </w:rPr>
              <w:t>泄漏</w:t>
            </w:r>
            <w:r>
              <w:rPr>
                <w:rFonts w:hint="default" w:ascii="Times New Roman" w:hAnsi="Times New Roman" w:eastAsia="宋体" w:cs="Times New Roman"/>
                <w:color w:val="auto"/>
                <w:sz w:val="24"/>
                <w:szCs w:val="32"/>
                <w:lang w:val="en-US" w:eastAsia="zh-CN"/>
              </w:rPr>
              <w:t>和燃烧爆炸产生次生污染物，不仅会对项目内的员工及周围居住人群的生命健康造成危害，也会对周围环境产生影响。</w:t>
            </w:r>
          </w:p>
          <w:p w14:paraId="5E79BC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因此，建设单位要引起高度重视，采取严格的风险防范措施，建立有效的应急预案，加强风险管理，防止事故的发生，将事故影响程度减少到最低。在建设单位严格落实各项风险防范措施和风险应急预案的前提下，工程环境风险可防可控，项目建设是可行的。</w:t>
            </w:r>
          </w:p>
          <w:p w14:paraId="0B34F70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32"/>
                <w:lang w:val="en-US" w:eastAsia="zh-CN"/>
              </w:rPr>
            </w:pPr>
            <w:r>
              <w:rPr>
                <w:rFonts w:hint="default" w:ascii="Times New Roman" w:hAnsi="Times New Roman" w:cs="Times New Roman"/>
                <w:b/>
                <w:bCs/>
                <w:color w:val="auto"/>
                <w:sz w:val="24"/>
                <w:szCs w:val="32"/>
                <w:lang w:val="en-US" w:eastAsia="zh-CN"/>
              </w:rPr>
              <w:t>9.3</w:t>
            </w:r>
            <w:r>
              <w:rPr>
                <w:rFonts w:hint="default" w:ascii="Times New Roman" w:hAnsi="Times New Roman" w:eastAsia="宋体" w:cs="Times New Roman"/>
                <w:b/>
                <w:bCs/>
                <w:color w:val="auto"/>
                <w:sz w:val="24"/>
                <w:szCs w:val="32"/>
                <w:lang w:val="en-US" w:eastAsia="zh-CN"/>
              </w:rPr>
              <w:t>环境风险简要分析汇总</w:t>
            </w:r>
          </w:p>
          <w:p w14:paraId="6A247D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zh-CN" w:eastAsia="zh-CN"/>
              </w:rPr>
            </w:pPr>
            <w:r>
              <w:rPr>
                <w:rFonts w:hint="default" w:ascii="Times New Roman" w:hAnsi="Times New Roman" w:eastAsia="宋体" w:cs="Times New Roman"/>
                <w:color w:val="auto"/>
                <w:sz w:val="24"/>
                <w:szCs w:val="32"/>
                <w:lang w:val="zh-CN" w:eastAsia="zh-CN"/>
              </w:rPr>
              <w:t>本项目环境风险影响分析汇总情况详见下表</w:t>
            </w:r>
            <w:r>
              <w:rPr>
                <w:rFonts w:hint="default" w:ascii="Times New Roman" w:hAnsi="Times New Roman" w:eastAsia="宋体" w:cs="Times New Roman"/>
                <w:color w:val="auto"/>
                <w:sz w:val="24"/>
                <w:szCs w:val="32"/>
                <w:lang w:val="en-US" w:eastAsia="zh-CN"/>
              </w:rPr>
              <w:t>4-</w:t>
            </w:r>
            <w:r>
              <w:rPr>
                <w:rFonts w:hint="default" w:ascii="Times New Roman" w:hAnsi="Times New Roman" w:cs="Times New Roman"/>
                <w:color w:val="auto"/>
                <w:sz w:val="24"/>
                <w:szCs w:val="32"/>
                <w:lang w:val="en-US" w:eastAsia="zh-CN"/>
              </w:rPr>
              <w:t>10</w:t>
            </w:r>
            <w:r>
              <w:rPr>
                <w:rFonts w:hint="default" w:ascii="Times New Roman" w:hAnsi="Times New Roman" w:eastAsia="宋体" w:cs="Times New Roman"/>
                <w:color w:val="auto"/>
                <w:sz w:val="24"/>
                <w:szCs w:val="32"/>
                <w:lang w:val="zh-CN" w:eastAsia="zh-CN"/>
              </w:rPr>
              <w:t>所示。</w:t>
            </w:r>
          </w:p>
          <w:p w14:paraId="29DEF738">
            <w:pPr>
              <w:keepNext w:val="0"/>
              <w:keepLines w:val="0"/>
              <w:pageBreakBefore w:val="0"/>
              <w:widowControl w:val="0"/>
              <w:kinsoku/>
              <w:wordWrap/>
              <w:overflowPunct/>
              <w:topLinePunct w:val="0"/>
              <w:autoSpaceDE/>
              <w:autoSpaceDN/>
              <w:bidi w:val="0"/>
              <w:adjustRightInd/>
              <w:snapToGrid/>
              <w:spacing w:line="240" w:lineRule="auto"/>
              <w:ind w:firstLine="422" w:firstLineChars="200"/>
              <w:jc w:val="center"/>
              <w:textAlignment w:val="auto"/>
              <w:rPr>
                <w:rFonts w:hint="default" w:ascii="Times New Roman" w:hAnsi="Times New Roman" w:eastAsia="宋体" w:cs="Times New Roman"/>
                <w:b/>
                <w:bCs/>
                <w:color w:val="auto"/>
                <w:sz w:val="21"/>
                <w:szCs w:val="24"/>
                <w:lang w:val="en-US" w:eastAsia="zh-CN"/>
              </w:rPr>
            </w:pPr>
            <w:r>
              <w:rPr>
                <w:rFonts w:hint="default" w:ascii="Times New Roman" w:hAnsi="Times New Roman" w:eastAsia="宋体" w:cs="Times New Roman"/>
                <w:b/>
                <w:bCs/>
                <w:color w:val="auto"/>
                <w:sz w:val="21"/>
                <w:szCs w:val="24"/>
                <w:lang w:val="en-US" w:eastAsia="zh-CN"/>
              </w:rPr>
              <w:t>表</w:t>
            </w:r>
            <w:r>
              <w:rPr>
                <w:rFonts w:hint="default" w:ascii="Times New Roman" w:hAnsi="Times New Roman" w:eastAsia="宋体" w:cs="Times New Roman"/>
                <w:b/>
                <w:bCs/>
                <w:color w:val="auto"/>
                <w:sz w:val="21"/>
                <w:szCs w:val="24"/>
                <w:lang w:val="en-US" w:eastAsia="zh-CN"/>
              </w:rPr>
              <w:t>4</w:t>
            </w:r>
            <w:r>
              <w:rPr>
                <w:rFonts w:hint="default" w:ascii="Times New Roman" w:hAnsi="Times New Roman" w:eastAsia="宋体" w:cs="Times New Roman"/>
                <w:b/>
                <w:bCs/>
                <w:color w:val="auto"/>
                <w:sz w:val="21"/>
                <w:szCs w:val="24"/>
                <w:lang w:val="en-US" w:eastAsia="zh-CN"/>
              </w:rPr>
              <w:t>-</w:t>
            </w:r>
            <w:r>
              <w:rPr>
                <w:rFonts w:hint="default" w:ascii="Times New Roman" w:hAnsi="Times New Roman" w:eastAsia="宋体" w:cs="Times New Roman"/>
                <w:b/>
                <w:bCs/>
                <w:color w:val="auto"/>
                <w:sz w:val="21"/>
                <w:szCs w:val="24"/>
                <w:lang w:val="en-US" w:eastAsia="zh-CN"/>
              </w:rPr>
              <w:t>10</w:t>
            </w:r>
            <w:r>
              <w:rPr>
                <w:rFonts w:hint="default" w:ascii="Times New Roman" w:hAnsi="Times New Roman" w:eastAsia="宋体" w:cs="Times New Roman"/>
                <w:b/>
                <w:bCs/>
                <w:color w:val="auto"/>
                <w:sz w:val="21"/>
                <w:szCs w:val="24"/>
                <w:lang w:val="en-US" w:eastAsia="zh-CN"/>
              </w:rPr>
              <w:t>建设项目环境风险简单分析内容表</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7"/>
              <w:gridCol w:w="6302"/>
            </w:tblGrid>
            <w:tr w14:paraId="6DEB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47" w:type="dxa"/>
                  <w:tcBorders>
                    <w:top w:val="single" w:color="auto" w:sz="4" w:space="0"/>
                    <w:left w:val="single" w:color="auto" w:sz="4" w:space="0"/>
                    <w:bottom w:val="single" w:color="auto" w:sz="4" w:space="0"/>
                    <w:right w:val="single" w:color="auto" w:sz="4" w:space="0"/>
                  </w:tcBorders>
                  <w:noWrap w:val="0"/>
                  <w:vAlign w:val="center"/>
                </w:tcPr>
                <w:p w14:paraId="2004779D">
                  <w:pPr>
                    <w:bidi w:val="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建设项目名称</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05838401">
                  <w:pPr>
                    <w:bidi w:val="0"/>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国能木垒40万千瓦风电项目</w:t>
                  </w:r>
                </w:p>
              </w:tc>
            </w:tr>
            <w:tr w14:paraId="3D94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47" w:type="dxa"/>
                  <w:tcBorders>
                    <w:top w:val="single" w:color="auto" w:sz="4" w:space="0"/>
                    <w:left w:val="single" w:color="auto" w:sz="4" w:space="0"/>
                    <w:bottom w:val="single" w:color="auto" w:sz="4" w:space="0"/>
                    <w:right w:val="single" w:color="auto" w:sz="4" w:space="0"/>
                  </w:tcBorders>
                  <w:noWrap w:val="0"/>
                  <w:vAlign w:val="center"/>
                </w:tcPr>
                <w:p w14:paraId="5DE78D61">
                  <w:pPr>
                    <w:bidi w:val="0"/>
                    <w:rPr>
                      <w:rFonts w:hint="default" w:ascii="Times New Roman" w:hAnsi="Times New Roman" w:eastAsia="宋体" w:cs="Times New Roman"/>
                      <w:color w:val="auto"/>
                    </w:rPr>
                  </w:pPr>
                  <w:r>
                    <w:rPr>
                      <w:rFonts w:hint="default" w:ascii="Times New Roman" w:hAnsi="Times New Roman" w:eastAsia="宋体" w:cs="Times New Roman"/>
                      <w:color w:val="auto"/>
                    </w:rPr>
                    <w:t>建设地点</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5E0CA253">
                  <w:pPr>
                    <w:bidi w:val="0"/>
                    <w:rPr>
                      <w:rFonts w:hint="default" w:ascii="Times New Roman" w:hAnsi="Times New Roman" w:eastAsia="宋体" w:cs="Times New Roman"/>
                      <w:color w:val="auto"/>
                    </w:rPr>
                  </w:pPr>
                  <w:r>
                    <w:rPr>
                      <w:rFonts w:hint="default" w:ascii="Times New Roman" w:hAnsi="Times New Roman" w:cs="Times New Roman"/>
                      <w:color w:val="auto"/>
                      <w:lang w:val="en-US" w:eastAsia="zh-CN"/>
                    </w:rPr>
                    <w:t>新疆昌吉回族自治州木垒哈萨克自治县境内</w:t>
                  </w:r>
                </w:p>
              </w:tc>
            </w:tr>
            <w:tr w14:paraId="6B4B3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47" w:type="dxa"/>
                  <w:tcBorders>
                    <w:top w:val="single" w:color="auto" w:sz="4" w:space="0"/>
                    <w:left w:val="single" w:color="auto" w:sz="4" w:space="0"/>
                    <w:bottom w:val="single" w:color="auto" w:sz="4" w:space="0"/>
                    <w:right w:val="single" w:color="auto" w:sz="4" w:space="0"/>
                  </w:tcBorders>
                  <w:noWrap w:val="0"/>
                  <w:vAlign w:val="center"/>
                </w:tcPr>
                <w:p w14:paraId="20044E0D">
                  <w:pPr>
                    <w:bidi w:val="0"/>
                    <w:rPr>
                      <w:rFonts w:hint="default" w:ascii="Times New Roman" w:hAnsi="Times New Roman" w:eastAsia="宋体" w:cs="Times New Roman"/>
                      <w:color w:val="auto"/>
                    </w:rPr>
                  </w:pPr>
                  <w:r>
                    <w:rPr>
                      <w:rFonts w:hint="default" w:ascii="Times New Roman" w:hAnsi="Times New Roman" w:eastAsia="宋体" w:cs="Times New Roman"/>
                      <w:color w:val="auto"/>
                    </w:rPr>
                    <w:t>地理坐标</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4362C245">
                  <w:pPr>
                    <w:keepNext w:val="0"/>
                    <w:keepLines w:val="0"/>
                    <w:widowControl/>
                    <w:suppressLineNumbers w:val="0"/>
                    <w:jc w:val="lef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东经91°13′58.017″，北纬43°58′46.534″；</w:t>
                  </w:r>
                </w:p>
              </w:tc>
            </w:tr>
            <w:tr w14:paraId="5C2F0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47" w:type="dxa"/>
                  <w:tcBorders>
                    <w:top w:val="single" w:color="auto" w:sz="4" w:space="0"/>
                    <w:left w:val="single" w:color="auto" w:sz="4" w:space="0"/>
                    <w:bottom w:val="single" w:color="auto" w:sz="4" w:space="0"/>
                    <w:right w:val="single" w:color="auto" w:sz="4" w:space="0"/>
                  </w:tcBorders>
                  <w:noWrap w:val="0"/>
                  <w:vAlign w:val="center"/>
                </w:tcPr>
                <w:p w14:paraId="019F784D">
                  <w:pPr>
                    <w:bidi w:val="0"/>
                    <w:rPr>
                      <w:rFonts w:hint="default" w:ascii="Times New Roman" w:hAnsi="Times New Roman" w:eastAsia="宋体" w:cs="Times New Roman"/>
                      <w:color w:val="auto"/>
                    </w:rPr>
                  </w:pPr>
                  <w:r>
                    <w:rPr>
                      <w:rFonts w:hint="default" w:ascii="Times New Roman" w:hAnsi="Times New Roman" w:eastAsia="宋体" w:cs="Times New Roman"/>
                      <w:color w:val="auto"/>
                    </w:rPr>
                    <w:t>主要危险物质及分布</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632A3D07">
                  <w:pPr>
                    <w:bidi w:val="0"/>
                    <w:rPr>
                      <w:rFonts w:hint="default" w:ascii="Times New Roman" w:hAnsi="Times New Roman" w:eastAsia="宋体" w:cs="Times New Roman"/>
                      <w:color w:val="auto"/>
                      <w:lang w:eastAsia="zh-CN"/>
                    </w:rPr>
                  </w:pPr>
                  <w:r>
                    <w:rPr>
                      <w:rFonts w:hint="default" w:ascii="Times New Roman" w:hAnsi="Times New Roman" w:eastAsia="宋体" w:cs="Times New Roman"/>
                      <w:color w:val="auto"/>
                    </w:rPr>
                    <w:t>箱式变电站变压器油</w:t>
                  </w:r>
                </w:p>
              </w:tc>
            </w:tr>
            <w:tr w14:paraId="648F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47" w:type="dxa"/>
                  <w:tcBorders>
                    <w:top w:val="single" w:color="auto" w:sz="4" w:space="0"/>
                    <w:left w:val="single" w:color="auto" w:sz="4" w:space="0"/>
                    <w:bottom w:val="single" w:color="auto" w:sz="4" w:space="0"/>
                    <w:right w:val="single" w:color="auto" w:sz="4" w:space="0"/>
                  </w:tcBorders>
                  <w:noWrap w:val="0"/>
                  <w:vAlign w:val="center"/>
                </w:tcPr>
                <w:p w14:paraId="67DDA287">
                  <w:pPr>
                    <w:bidi w:val="0"/>
                    <w:rPr>
                      <w:rFonts w:hint="default" w:ascii="Times New Roman" w:hAnsi="Times New Roman" w:eastAsia="宋体" w:cs="Times New Roman"/>
                      <w:color w:val="auto"/>
                    </w:rPr>
                  </w:pPr>
                  <w:r>
                    <w:rPr>
                      <w:rFonts w:hint="default" w:ascii="Times New Roman" w:hAnsi="Times New Roman" w:eastAsia="宋体" w:cs="Times New Roman"/>
                      <w:color w:val="auto"/>
                    </w:rPr>
                    <w:t>环境影响途径及危害后果（地表水、地下水、大气等）</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37F036F8">
                  <w:pPr>
                    <w:bidi w:val="0"/>
                    <w:rPr>
                      <w:rFonts w:hint="default" w:ascii="Times New Roman" w:hAnsi="Times New Roman" w:eastAsia="宋体" w:cs="Times New Roman"/>
                      <w:color w:val="auto"/>
                      <w:lang w:eastAsia="zh-CN"/>
                    </w:rPr>
                  </w:pPr>
                  <w:r>
                    <w:rPr>
                      <w:rFonts w:hint="default" w:ascii="Times New Roman" w:hAnsi="Times New Roman" w:eastAsia="宋体" w:cs="Times New Roman"/>
                      <w:color w:val="auto"/>
                    </w:rPr>
                    <w:t>①项目变压器油发生</w:t>
                  </w:r>
                  <w:r>
                    <w:rPr>
                      <w:rFonts w:hint="default" w:ascii="Times New Roman" w:hAnsi="Times New Roman" w:eastAsia="宋体" w:cs="Times New Roman"/>
                      <w:color w:val="auto"/>
                      <w:lang w:eastAsia="zh-CN"/>
                    </w:rPr>
                    <w:t>泄漏</w:t>
                  </w:r>
                  <w:r>
                    <w:rPr>
                      <w:rFonts w:hint="default" w:ascii="Times New Roman" w:hAnsi="Times New Roman" w:eastAsia="宋体" w:cs="Times New Roman"/>
                      <w:color w:val="auto"/>
                    </w:rPr>
                    <w:t>，若进入地表水体，引起地表水中石油类含量急剧上升</w:t>
                  </w:r>
                  <w:r>
                    <w:rPr>
                      <w:rFonts w:hint="default" w:ascii="Times New Roman" w:hAnsi="Times New Roman" w:eastAsia="宋体" w:cs="Times New Roman"/>
                      <w:color w:val="auto"/>
                      <w:lang w:eastAsia="zh-CN"/>
                    </w:rPr>
                    <w:t>；</w:t>
                  </w:r>
                </w:p>
                <w:p w14:paraId="38D53CA8">
                  <w:pPr>
                    <w:bidi w:val="0"/>
                    <w:rPr>
                      <w:rFonts w:hint="default" w:ascii="Times New Roman" w:hAnsi="Times New Roman" w:eastAsia="宋体" w:cs="Times New Roman"/>
                      <w:color w:val="auto"/>
                      <w:lang w:eastAsia="zh-CN"/>
                    </w:rPr>
                  </w:pPr>
                  <w:r>
                    <w:rPr>
                      <w:rFonts w:hint="default" w:ascii="Times New Roman" w:hAnsi="Times New Roman" w:eastAsia="宋体" w:cs="Times New Roman"/>
                      <w:color w:val="auto"/>
                    </w:rPr>
                    <w:t>②项目变压器油发生</w:t>
                  </w:r>
                  <w:r>
                    <w:rPr>
                      <w:rFonts w:hint="default" w:ascii="Times New Roman" w:hAnsi="Times New Roman" w:eastAsia="宋体" w:cs="Times New Roman"/>
                      <w:color w:val="auto"/>
                      <w:lang w:eastAsia="zh-CN"/>
                    </w:rPr>
                    <w:t>泄漏</w:t>
                  </w:r>
                  <w:r>
                    <w:rPr>
                      <w:rFonts w:hint="default" w:ascii="Times New Roman" w:hAnsi="Times New Roman" w:eastAsia="宋体" w:cs="Times New Roman"/>
                      <w:color w:val="auto"/>
                    </w:rPr>
                    <w:t>，对环境空气影响有限</w:t>
                  </w:r>
                  <w:r>
                    <w:rPr>
                      <w:rFonts w:hint="default" w:ascii="Times New Roman" w:hAnsi="Times New Roman" w:eastAsia="宋体" w:cs="Times New Roman"/>
                      <w:color w:val="auto"/>
                      <w:lang w:eastAsia="zh-CN"/>
                    </w:rPr>
                    <w:t>；</w:t>
                  </w:r>
                </w:p>
                <w:p w14:paraId="1546897F">
                  <w:pPr>
                    <w:bidi w:val="0"/>
                    <w:rPr>
                      <w:rFonts w:hint="default" w:ascii="Times New Roman" w:hAnsi="Times New Roman" w:eastAsia="宋体" w:cs="Times New Roman"/>
                      <w:color w:val="auto"/>
                    </w:rPr>
                  </w:pPr>
                  <w:r>
                    <w:rPr>
                      <w:rFonts w:hint="default" w:ascii="Times New Roman" w:hAnsi="Times New Roman" w:eastAsia="宋体" w:cs="Times New Roman"/>
                      <w:color w:val="auto"/>
                    </w:rPr>
                    <w:t>③项目变压器油发生</w:t>
                  </w:r>
                  <w:r>
                    <w:rPr>
                      <w:rFonts w:hint="default" w:ascii="Times New Roman" w:hAnsi="Times New Roman" w:eastAsia="宋体" w:cs="Times New Roman"/>
                      <w:color w:val="auto"/>
                      <w:lang w:eastAsia="zh-CN"/>
                    </w:rPr>
                    <w:t>泄漏</w:t>
                  </w:r>
                  <w:r>
                    <w:rPr>
                      <w:rFonts w:hint="default" w:ascii="Times New Roman" w:hAnsi="Times New Roman" w:eastAsia="宋体" w:cs="Times New Roman"/>
                      <w:color w:val="auto"/>
                    </w:rPr>
                    <w:t>，若进入土壤渗漏，矿物油类进入地层包气带，随着大气降水下渗进入地下含水层，对区域地下水环境造成污染。</w:t>
                  </w:r>
                </w:p>
              </w:tc>
            </w:tr>
            <w:tr w14:paraId="12DEF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47" w:type="dxa"/>
                  <w:tcBorders>
                    <w:top w:val="single" w:color="auto" w:sz="4" w:space="0"/>
                    <w:left w:val="single" w:color="auto" w:sz="4" w:space="0"/>
                    <w:bottom w:val="single" w:color="auto" w:sz="4" w:space="0"/>
                    <w:right w:val="single" w:color="auto" w:sz="4" w:space="0"/>
                  </w:tcBorders>
                  <w:noWrap w:val="0"/>
                  <w:vAlign w:val="center"/>
                </w:tcPr>
                <w:p w14:paraId="75BA7A8D">
                  <w:pPr>
                    <w:bidi w:val="0"/>
                    <w:rPr>
                      <w:rFonts w:hint="default" w:ascii="Times New Roman" w:hAnsi="Times New Roman" w:eastAsia="宋体" w:cs="Times New Roman"/>
                      <w:color w:val="auto"/>
                    </w:rPr>
                  </w:pPr>
                  <w:r>
                    <w:rPr>
                      <w:rFonts w:hint="default" w:ascii="Times New Roman" w:hAnsi="Times New Roman" w:eastAsia="宋体" w:cs="Times New Roman"/>
                      <w:color w:val="auto"/>
                    </w:rPr>
                    <w:t>风险防范措施要求</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1EA9448B">
                  <w:pPr>
                    <w:bidi w:val="0"/>
                    <w:rPr>
                      <w:rFonts w:hint="default" w:ascii="Times New Roman" w:hAnsi="Times New Roman" w:eastAsia="宋体" w:cs="Times New Roman"/>
                      <w:color w:val="auto"/>
                    </w:rPr>
                  </w:pPr>
                  <w:r>
                    <w:rPr>
                      <w:rFonts w:hint="default" w:ascii="Times New Roman" w:hAnsi="Times New Roman" w:eastAsia="宋体" w:cs="Times New Roman"/>
                      <w:color w:val="auto"/>
                    </w:rPr>
                    <w:t>每处箱变设置</w:t>
                  </w:r>
                  <w:r>
                    <w:rPr>
                      <w:rFonts w:hint="default" w:ascii="Times New Roman" w:hAnsi="Times New Roman" w:cs="Times New Roman"/>
                      <w:color w:val="auto"/>
                      <w:lang w:val="en-US" w:eastAsia="zh-CN"/>
                    </w:rPr>
                    <w:t>1</w:t>
                  </w:r>
                  <w:r>
                    <w:rPr>
                      <w:rFonts w:hint="default" w:ascii="Times New Roman" w:hAnsi="Times New Roman" w:eastAsia="宋体" w:cs="Times New Roman"/>
                      <w:color w:val="auto"/>
                    </w:rPr>
                    <w:t>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变压器事故油池一座，共计</w:t>
                  </w:r>
                  <w:r>
                    <w:rPr>
                      <w:rFonts w:hint="default" w:ascii="Times New Roman" w:hAnsi="Times New Roman" w:cs="Times New Roman"/>
                      <w:color w:val="auto"/>
                      <w:lang w:val="en-US" w:eastAsia="zh-CN"/>
                    </w:rPr>
                    <w:t>40</w:t>
                  </w:r>
                  <w:r>
                    <w:rPr>
                      <w:rFonts w:hint="default" w:ascii="Times New Roman" w:hAnsi="Times New Roman" w:eastAsia="宋体" w:cs="Times New Roman"/>
                      <w:color w:val="auto"/>
                    </w:rPr>
                    <w:t>座。</w:t>
                  </w:r>
                  <w:r>
                    <w:rPr>
                      <w:rFonts w:hint="default" w:ascii="Times New Roman" w:hAnsi="Times New Roman" w:eastAsia="宋体" w:cs="Times New Roman"/>
                      <w:color w:val="auto"/>
                      <w:lang w:val="en-US" w:eastAsia="zh-CN"/>
                    </w:rPr>
                    <w:t>箱式变压器检修过程应设接油盘，由专业人员检修，废变压器油排入箱式变压器处的防渗事故油池后，及时清理并暂存在危废暂存间，由运维单位及时交有资质单位处置，不外排。</w:t>
                  </w:r>
                </w:p>
              </w:tc>
            </w:tr>
            <w:tr w14:paraId="54288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49" w:type="dxa"/>
                  <w:gridSpan w:val="2"/>
                  <w:tcBorders>
                    <w:top w:val="single" w:color="auto" w:sz="4" w:space="0"/>
                    <w:left w:val="single" w:color="auto" w:sz="4" w:space="0"/>
                    <w:bottom w:val="single" w:color="auto" w:sz="4" w:space="0"/>
                    <w:right w:val="single" w:color="auto" w:sz="4" w:space="0"/>
                  </w:tcBorders>
                  <w:noWrap w:val="0"/>
                  <w:vAlign w:val="center"/>
                </w:tcPr>
                <w:p w14:paraId="3C796C63">
                  <w:pPr>
                    <w:bidi w:val="0"/>
                    <w:rPr>
                      <w:rFonts w:hint="default" w:ascii="Times New Roman" w:hAnsi="Times New Roman" w:eastAsia="宋体" w:cs="Times New Roman"/>
                      <w:color w:val="auto"/>
                    </w:rPr>
                  </w:pPr>
                  <w:r>
                    <w:rPr>
                      <w:rFonts w:hint="default" w:ascii="Times New Roman" w:hAnsi="Times New Roman" w:eastAsia="宋体" w:cs="Times New Roman"/>
                      <w:color w:val="auto"/>
                    </w:rPr>
                    <w:t>填表说明（列出项目相关信息及评价说明）</w:t>
                  </w:r>
                </w:p>
              </w:tc>
            </w:tr>
          </w:tbl>
          <w:p w14:paraId="692CBA16">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default" w:ascii="Times New Roman" w:hAnsi="Times New Roman" w:cs="Times New Roman"/>
                <w:color w:val="auto"/>
                <w:lang w:val="zh-CN" w:eastAsia="zh-CN"/>
              </w:rPr>
            </w:pPr>
          </w:p>
        </w:tc>
      </w:tr>
      <w:tr w14:paraId="7C1627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70" w:hRule="atLeast"/>
          <w:jc w:val="center"/>
        </w:trPr>
        <w:tc>
          <w:tcPr>
            <w:tcW w:w="647" w:type="dxa"/>
            <w:noWrap w:val="0"/>
            <w:vAlign w:val="center"/>
          </w:tcPr>
          <w:p w14:paraId="4EEA7B27">
            <w:pPr>
              <w:pageBreakBefore w:val="0"/>
              <w:widowControl/>
              <w:kinsoku/>
              <w:wordWrap/>
              <w:overflowPunct/>
              <w:bidi w:val="0"/>
              <w:adjustRightInd w:val="0"/>
              <w:snapToGrid w:val="0"/>
              <w:spacing w:before="0" w:beforeLines="0" w:beforeAutospacing="0" w:after="0" w:afterLines="0" w:afterAutospacing="0"/>
              <w:ind w:left="0" w:leftChars="0" w:right="0" w:rightChars="0"/>
              <w:jc w:val="center"/>
              <w:rPr>
                <w:rFonts w:hint="default" w:ascii="Times New Roman" w:hAnsi="Times New Roman" w:eastAsia="宋体" w:cs="Times New Roman"/>
                <w:bCs/>
                <w:color w:val="auto"/>
                <w:kern w:val="2"/>
                <w:sz w:val="24"/>
                <w:szCs w:val="24"/>
                <w:lang w:val="en-US" w:eastAsia="zh-CN" w:bidi="ar-SA"/>
              </w:rPr>
            </w:pPr>
            <w:r>
              <w:rPr>
                <w:rFonts w:hint="default" w:ascii="Times New Roman" w:hAnsi="Times New Roman" w:eastAsia="宋体" w:cs="Times New Roman"/>
                <w:bCs/>
                <w:color w:val="auto"/>
                <w:kern w:val="2"/>
                <w:sz w:val="24"/>
                <w:szCs w:val="24"/>
                <w:lang w:val="en-US" w:eastAsia="zh-CN" w:bidi="ar-SA"/>
              </w:rPr>
              <w:t>选址选线环境合理性分析</w:t>
            </w:r>
          </w:p>
        </w:tc>
        <w:tc>
          <w:tcPr>
            <w:tcW w:w="8595" w:type="dxa"/>
            <w:noWrap w:val="0"/>
            <w:vAlign w:val="center"/>
          </w:tcPr>
          <w:p w14:paraId="2B78DDA0">
            <w:pPr>
              <w:pageBreakBefore w:val="0"/>
              <w:kinsoku/>
              <w:wordWrap/>
              <w:overflowPunct/>
              <w:bidi w:val="0"/>
              <w:spacing w:line="360" w:lineRule="auto"/>
              <w:ind w:left="0" w:leftChars="0"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项目场址选择需考虑城乡规划要求、土地利用类型、项目工艺设计、交通条件、地形地貌、气象条件、地质灾害及环境保护等多项因素。项目在可行性研究阶段，选址按照</w:t>
            </w:r>
            <w:r>
              <w:rPr>
                <w:rFonts w:hint="default" w:ascii="Times New Roman" w:hAnsi="Times New Roman" w:cs="Times New Roman"/>
                <w:color w:val="auto"/>
                <w:sz w:val="24"/>
                <w:lang w:val="en-US" w:eastAsia="zh-CN"/>
              </w:rPr>
              <w:t>风电</w:t>
            </w:r>
            <w:r>
              <w:rPr>
                <w:rFonts w:hint="default" w:ascii="Times New Roman" w:hAnsi="Times New Roman" w:eastAsia="宋体" w:cs="Times New Roman"/>
                <w:color w:val="auto"/>
                <w:sz w:val="24"/>
              </w:rPr>
              <w:t>发电站设计规范、防火规范等相关要求进行，与周边环境及配套设施充分做到相容；满足安全、消防及地质灾害等相关要求。</w:t>
            </w:r>
          </w:p>
          <w:p w14:paraId="6EC67E0B">
            <w:pPr>
              <w:pageBreakBefore w:val="0"/>
              <w:kinsoku/>
              <w:wordWrap/>
              <w:overflowPunct/>
              <w:bidi w:val="0"/>
              <w:spacing w:line="360" w:lineRule="auto"/>
              <w:ind w:left="0" w:leftChars="0"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本项目位</w:t>
            </w:r>
            <w:r>
              <w:rPr>
                <w:rFonts w:hint="default" w:ascii="Times New Roman" w:hAnsi="Times New Roman" w:eastAsia="宋体" w:cs="Times New Roman"/>
                <w:color w:val="auto"/>
                <w:sz w:val="24"/>
                <w:lang w:eastAsia="zh-CN"/>
              </w:rPr>
              <w:t>于</w:t>
            </w:r>
            <w:r>
              <w:rPr>
                <w:rFonts w:hint="default" w:ascii="Times New Roman" w:hAnsi="Times New Roman" w:cs="Times New Roman"/>
                <w:color w:val="auto"/>
                <w:sz w:val="24"/>
                <w:lang w:eastAsia="zh-CN"/>
              </w:rPr>
              <w:t>新疆昌吉回族自治州木垒哈萨克自治县境内</w:t>
            </w:r>
            <w:r>
              <w:rPr>
                <w:rFonts w:hint="default" w:ascii="Times New Roman" w:hAnsi="Times New Roman" w:eastAsia="宋体" w:cs="Times New Roman"/>
                <w:color w:val="auto"/>
                <w:sz w:val="24"/>
              </w:rPr>
              <w:t>，属于清洁、可</w:t>
            </w:r>
            <w:r>
              <w:rPr>
                <w:rFonts w:hint="default" w:ascii="Times New Roman" w:hAnsi="Times New Roman" w:cs="Times New Roman"/>
                <w:color w:val="auto"/>
                <w:sz w:val="24"/>
                <w:lang w:eastAsia="zh-CN"/>
              </w:rPr>
              <w:t>再生能源</w:t>
            </w:r>
            <w:r>
              <w:rPr>
                <w:rFonts w:hint="default" w:ascii="Times New Roman" w:hAnsi="Times New Roman" w:eastAsia="宋体" w:cs="Times New Roman"/>
                <w:color w:val="auto"/>
                <w:sz w:val="24"/>
              </w:rPr>
              <w:t>利用项目，受到国家和地方政府的大力支持。项目选址无环境限制因素。</w:t>
            </w:r>
          </w:p>
          <w:p w14:paraId="3A25149D">
            <w:pPr>
              <w:pageBreakBefore w:val="0"/>
              <w:kinsoku/>
              <w:wordWrap/>
              <w:overflowPunct/>
              <w:bidi w:val="0"/>
              <w:spacing w:line="360" w:lineRule="auto"/>
              <w:ind w:left="0" w:leftChars="0" w:right="0" w:rightChars="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区域主风向为西（W）、西西南（WSW），主风能方向为西（W）、西西南（WSW）和南东南（SSE），盛行风向较为稳定。通常情况下，本地区大风月集中在4月～6月份和11月～12月份，小风月集中在7月～10月份。也就是说，</w:t>
            </w:r>
            <w:r>
              <w:rPr>
                <w:rFonts w:hint="default" w:ascii="Times New Roman" w:hAnsi="Times New Roman" w:cs="Times New Roman"/>
                <w:color w:val="auto"/>
                <w:sz w:val="24"/>
                <w:lang w:val="en-US" w:eastAsia="zh-CN"/>
              </w:rPr>
              <w:t>夏</w:t>
            </w:r>
            <w:r>
              <w:rPr>
                <w:rFonts w:hint="default" w:ascii="Times New Roman" w:hAnsi="Times New Roman" w:eastAsia="宋体" w:cs="Times New Roman"/>
                <w:color w:val="auto"/>
                <w:sz w:val="24"/>
                <w:lang w:val="en-US" w:eastAsia="zh-CN"/>
              </w:rPr>
              <w:t>季风大，秋季风小。</w:t>
            </w:r>
          </w:p>
          <w:p w14:paraId="2328BDA1">
            <w:pPr>
              <w:pageBreakBefore w:val="0"/>
              <w:kinsoku/>
              <w:wordWrap/>
              <w:overflowPunct/>
              <w:bidi w:val="0"/>
              <w:spacing w:line="360" w:lineRule="auto"/>
              <w:ind w:left="0" w:leftChars="0" w:right="0" w:rightChars="0" w:firstLine="480" w:firstLineChars="200"/>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lang w:val="en-US" w:eastAsia="zh-CN"/>
              </w:rPr>
              <w:t>风电场区域100m高度代表年平均风速为6.92m/s~7.37m/s，平均风功率密度为435W/m2~543W/m2；95m高度代表年平均风速为6.90m/s~7.33m/s，平均风功率密度为403W/m2~527W/m2。风速频率主要集中在3.0m/s～9.0m/s风速段，风能主要集中在9.0m/s～16.0m/s；3.0m/s以下和25.0m/s以上的无效风速少，无破坏性风速，年内变化小，全年均可发电。</w:t>
            </w:r>
            <w:r>
              <w:rPr>
                <w:rFonts w:hint="default" w:ascii="Times New Roman" w:hAnsi="Times New Roman" w:eastAsia="宋体" w:cs="Times New Roman"/>
                <w:color w:val="auto"/>
                <w:sz w:val="24"/>
                <w:lang w:eastAsia="zh-CN"/>
              </w:rPr>
              <w:t>风能资源具有较好的开发价值。</w:t>
            </w:r>
          </w:p>
          <w:p w14:paraId="6F1BCE0E">
            <w:pPr>
              <w:pageBreakBefore w:val="0"/>
              <w:kinsoku/>
              <w:wordWrap/>
              <w:overflowPunct/>
              <w:bidi w:val="0"/>
              <w:spacing w:line="360" w:lineRule="auto"/>
              <w:ind w:left="0" w:leftChars="0" w:right="0" w:rightChars="0" w:firstLine="480" w:firstLineChars="200"/>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lang w:eastAsia="zh-CN"/>
              </w:rPr>
              <w:t>本工程周围无工业企业，无</w:t>
            </w:r>
            <w:r>
              <w:rPr>
                <w:rFonts w:hint="default" w:ascii="Times New Roman" w:hAnsi="Times New Roman" w:eastAsia="宋体" w:cs="Times New Roman"/>
                <w:color w:val="auto"/>
                <w:sz w:val="24"/>
                <w:lang w:val="en-US" w:eastAsia="zh-CN"/>
              </w:rPr>
              <w:t>国家公园、自然保护区、风景名胜区、世界文化和自然遗产地、海洋特别保护区、饮用水水源保护区、以居住、医疗卫生、文化教育、科研、行政办公为主要功能的区域，以及文物保护单位等</w:t>
            </w:r>
            <w:r>
              <w:rPr>
                <w:rFonts w:hint="default" w:ascii="Times New Roman" w:hAnsi="Times New Roman" w:eastAsia="宋体" w:cs="Times New Roman"/>
                <w:color w:val="auto"/>
                <w:sz w:val="24"/>
                <w:lang w:eastAsia="zh-CN"/>
              </w:rPr>
              <w:t>环境敏感目标，适合项目建设。</w:t>
            </w:r>
          </w:p>
          <w:p w14:paraId="1A90E078">
            <w:pPr>
              <w:pageBreakBefore w:val="0"/>
              <w:kinsoku/>
              <w:wordWrap/>
              <w:overflowPunct/>
              <w:bidi w:val="0"/>
              <w:spacing w:line="360" w:lineRule="auto"/>
              <w:ind w:left="0" w:leftChars="0" w:right="0" w:rightChars="0" w:firstLine="480" w:firstLineChars="200"/>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lang w:eastAsia="zh-CN"/>
              </w:rPr>
              <w:t>同时项目区内无国家及自治区级重要野生保护动植物，无国家及自治区保护的珍稀、濒危物种分布，无风景名胜、文物古迹保护单位。</w:t>
            </w:r>
          </w:p>
          <w:p w14:paraId="1AE6BF72">
            <w:pPr>
              <w:pageBreakBefore w:val="0"/>
              <w:kinsoku/>
              <w:wordWrap/>
              <w:overflowPunct/>
              <w:bidi w:val="0"/>
              <w:spacing w:line="360" w:lineRule="auto"/>
              <w:ind w:left="0" w:leftChars="0"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eastAsia="zh-CN"/>
              </w:rPr>
              <w:t>综上所述，本项目场址开发条件好，是建设风电场的理想场址，</w:t>
            </w:r>
            <w:r>
              <w:rPr>
                <w:rFonts w:hint="default" w:ascii="Times New Roman" w:hAnsi="Times New Roman" w:eastAsia="宋体" w:cs="Times New Roman"/>
                <w:color w:val="auto"/>
                <w:sz w:val="24"/>
                <w:lang w:val="en-US" w:eastAsia="zh-CN"/>
              </w:rPr>
              <w:t>选址合理可行</w:t>
            </w:r>
            <w:r>
              <w:rPr>
                <w:rFonts w:hint="default" w:ascii="Times New Roman" w:hAnsi="Times New Roman" w:eastAsia="宋体" w:cs="Times New Roman"/>
                <w:color w:val="auto"/>
                <w:sz w:val="24"/>
                <w:lang w:eastAsia="zh-CN"/>
              </w:rPr>
              <w:t>。</w:t>
            </w:r>
          </w:p>
        </w:tc>
      </w:tr>
    </w:tbl>
    <w:p w14:paraId="0C1C9BBA">
      <w:pPr>
        <w:pStyle w:val="21"/>
        <w:jc w:val="center"/>
        <w:rPr>
          <w:rFonts w:hint="default" w:ascii="Times New Roman" w:hAnsi="Times New Roman" w:cs="Times New Roman"/>
          <w:snapToGrid w:val="0"/>
          <w:color w:val="auto"/>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14:paraId="73D254ED">
      <w:pPr>
        <w:pStyle w:val="21"/>
        <w:adjustRightInd w:val="0"/>
        <w:snapToGrid w:val="0"/>
        <w:spacing w:before="0" w:beforeAutospacing="0" w:after="0" w:afterAutospacing="0" w:line="14" w:lineRule="auto"/>
        <w:jc w:val="center"/>
        <w:outlineLvl w:val="9"/>
        <w:rPr>
          <w:rFonts w:hint="default" w:ascii="Times New Roman" w:hAnsi="Times New Roman" w:cs="Times New Roman"/>
          <w:snapToGrid w:val="0"/>
          <w:color w:val="auto"/>
        </w:rPr>
      </w:pPr>
    </w:p>
    <w:p w14:paraId="5F92E80F">
      <w:pPr>
        <w:pStyle w:val="21"/>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黑体" w:cs="Times New Roman"/>
          <w:snapToGrid w:val="0"/>
          <w:color w:val="auto"/>
          <w:sz w:val="30"/>
          <w:szCs w:val="30"/>
        </w:rPr>
      </w:pPr>
      <w:bookmarkStart w:id="8" w:name="_Toc17962"/>
      <w:r>
        <w:rPr>
          <w:rFonts w:hint="default" w:ascii="Times New Roman" w:hAnsi="Times New Roman" w:eastAsia="黑体" w:cs="Times New Roman"/>
          <w:snapToGrid w:val="0"/>
          <w:color w:val="auto"/>
          <w:sz w:val="30"/>
          <w:szCs w:val="30"/>
        </w:rPr>
        <w:t>五、主要生态环境保护措施</w:t>
      </w:r>
      <w:bookmarkEnd w:id="8"/>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7728"/>
      </w:tblGrid>
      <w:tr w14:paraId="041A12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72" w:hRule="atLeast"/>
          <w:jc w:val="center"/>
        </w:trPr>
        <w:tc>
          <w:tcPr>
            <w:tcW w:w="761" w:type="dxa"/>
            <w:noWrap w:val="0"/>
            <w:tcMar>
              <w:left w:w="28" w:type="dxa"/>
              <w:right w:w="28" w:type="dxa"/>
            </w:tcMar>
            <w:vAlign w:val="center"/>
          </w:tcPr>
          <w:p w14:paraId="770ED31D">
            <w:pPr>
              <w:adjustRightInd w:val="0"/>
              <w:snapToGrid w:val="0"/>
              <w:jc w:val="center"/>
              <w:rPr>
                <w:rFonts w:hint="default" w:ascii="Times New Roman" w:hAnsi="Times New Roman" w:cs="Times New Roman"/>
                <w:bCs/>
                <w:color w:val="auto"/>
                <w:sz w:val="24"/>
              </w:rPr>
            </w:pPr>
            <w:r>
              <w:rPr>
                <w:rFonts w:hint="default" w:ascii="Times New Roman" w:hAnsi="Times New Roman" w:cs="Times New Roman"/>
                <w:bCs/>
                <w:color w:val="auto"/>
                <w:spacing w:val="10"/>
                <w:sz w:val="24"/>
              </w:rPr>
              <w:t>施工期生态环境保护措施</w:t>
            </w:r>
          </w:p>
        </w:tc>
        <w:tc>
          <w:tcPr>
            <w:tcW w:w="8449" w:type="dxa"/>
            <w:noWrap w:val="0"/>
            <w:vAlign w:val="top"/>
          </w:tcPr>
          <w:p w14:paraId="1FA00B74">
            <w:pPr>
              <w:widowControl/>
              <w:spacing w:line="360" w:lineRule="auto"/>
              <w:ind w:firstLine="482" w:firstLineChars="200"/>
              <w:jc w:val="left"/>
              <w:rPr>
                <w:rFonts w:hint="default" w:ascii="Times New Roman" w:hAnsi="Times New Roman" w:eastAsia="宋体" w:cs="Times New Roman"/>
                <w:color w:val="auto"/>
                <w:sz w:val="24"/>
                <w:lang w:eastAsia="zh-CN"/>
              </w:rPr>
            </w:pPr>
            <w:r>
              <w:rPr>
                <w:rFonts w:hint="default" w:ascii="Times New Roman" w:hAnsi="Times New Roman" w:cs="Times New Roman"/>
                <w:b/>
                <w:bCs/>
                <w:color w:val="auto"/>
                <w:kern w:val="0"/>
                <w:sz w:val="24"/>
                <w:lang w:val="en-US" w:eastAsia="zh-CN" w:bidi="ar"/>
              </w:rPr>
              <w:t>1、</w:t>
            </w:r>
            <w:r>
              <w:rPr>
                <w:rFonts w:hint="default" w:ascii="Times New Roman" w:hAnsi="Times New Roman" w:cs="Times New Roman"/>
                <w:b/>
                <w:bCs/>
                <w:color w:val="auto"/>
                <w:kern w:val="0"/>
                <w:sz w:val="24"/>
                <w:lang w:bidi="ar"/>
              </w:rPr>
              <w:t>生态保护措施</w:t>
            </w:r>
          </w:p>
          <w:p w14:paraId="712A234F">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（1）生态影响避让措施</w:t>
            </w:r>
          </w:p>
          <w:p w14:paraId="24BEC991">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生态影响就是采取适当的措施，尽可能在最大程度上避免不利的生态影响。生态影响是对具有重要生态功能的环境予以绝对保护而采取的措施。一般通过更改项目选址、工程设计、施工方案，道路改线，变更项目内容或规模等手段避免项目造成难以挽回的环境损失。根据本工程特点，建议以下避让措施：</w:t>
            </w:r>
          </w:p>
          <w:p w14:paraId="5F5CAB31">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①减少地面扰动措施</w:t>
            </w:r>
          </w:p>
          <w:p w14:paraId="04603A0A">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a、优化场内道路的布设，场内道路应尽量利用已有简易道路进行改扩建从而减少土地的占用，机组安装场地，在满足机组基础稳定的情况下，设计标高以减少开挖、回填土石方量的设计；场内施工道路，尽量以半挖半填方式施工，减少施工土石方量和弃渣量，从而减少地面扰动面积。</w:t>
            </w:r>
          </w:p>
          <w:p w14:paraId="563C3718">
            <w:pPr>
              <w:pStyle w:val="11"/>
              <w:spacing w:line="360" w:lineRule="auto"/>
              <w:ind w:firstLine="480"/>
              <w:rPr>
                <w:rFonts w:hint="default" w:ascii="Times New Roman" w:hAnsi="Times New Roman" w:eastAsia="宋体" w:cs="Times New Roman"/>
                <w:snapToGrid w:val="0"/>
                <w:color w:val="auto"/>
                <w:kern w:val="0"/>
                <w:sz w:val="24"/>
                <w:lang w:eastAsia="zh-CN"/>
              </w:rPr>
            </w:pPr>
            <w:r>
              <w:rPr>
                <w:rFonts w:hint="default" w:ascii="Times New Roman" w:hAnsi="Times New Roman" w:cs="Times New Roman"/>
                <w:snapToGrid w:val="0"/>
                <w:color w:val="auto"/>
                <w:kern w:val="0"/>
                <w:sz w:val="24"/>
              </w:rPr>
              <w:t>b、优化临时占地区的选址，本工程临时占地区主要有电缆沟开挖、材料堆放区等，对临时占地区采取“永临结合”的方式，尽量减小本工程地面扰动面积。</w:t>
            </w:r>
          </w:p>
          <w:p w14:paraId="2E26F490">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c、优化施工时间，施工期应避免在雨季施工，同时减少土石方的开挖，减少施工垃圾量的产生，及时清除多余的土方和石料，减少地面的压占，同时采取护坡、挡土墙等防护措施，避免水土流失。</w:t>
            </w:r>
          </w:p>
          <w:p w14:paraId="0A652CCB">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d、加强施工监理，施工活动要保证在征地红线范围内进行，禁止施工人员越线施工。</w:t>
            </w:r>
          </w:p>
          <w:p w14:paraId="109835D3">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②野生动物避让措施</w:t>
            </w:r>
          </w:p>
          <w:p w14:paraId="10657A18">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a、优选施工时间，避开野生动物活动的高峰时段。野生哺乳类大多是晨昏或夜间外出觅食。为了减少工程施工噪声对野生动物的惊扰，应做好施工方式和时间的计划，并力求避免在晨昏和夜间施工。</w:t>
            </w:r>
          </w:p>
          <w:p w14:paraId="51403069">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b、在施工车辆进入施工区过程中，采取控制车速和禁止鸣笛等措施，避免对过路的野生动物造成伤害。施工期间加强堆料场防护，加强施工人员的各类卫生管理，避免生活垃圾、生活污水的直接排放，减少污染，最大限度保护动物生境。</w:t>
            </w:r>
          </w:p>
          <w:p w14:paraId="0A57D643">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（2）生态影响减缓措施</w:t>
            </w:r>
          </w:p>
          <w:p w14:paraId="623EF56D">
            <w:pPr>
              <w:pStyle w:val="11"/>
              <w:spacing w:line="360" w:lineRule="auto"/>
              <w:ind w:firstLine="480"/>
              <w:rPr>
                <w:rFonts w:hint="default" w:ascii="Times New Roman" w:hAnsi="Times New Roman" w:eastAsia="宋体" w:cs="Times New Roman"/>
                <w:snapToGrid w:val="0"/>
                <w:color w:val="auto"/>
                <w:kern w:val="0"/>
                <w:sz w:val="24"/>
                <w:lang w:eastAsia="zh-CN"/>
              </w:rPr>
            </w:pPr>
            <w:r>
              <w:rPr>
                <w:rFonts w:hint="default" w:ascii="Times New Roman" w:hAnsi="Times New Roman" w:cs="Times New Roman"/>
                <w:snapToGrid w:val="0"/>
                <w:color w:val="auto"/>
                <w:kern w:val="0"/>
                <w:sz w:val="24"/>
              </w:rPr>
              <w:t>施工过程中的占压、开挖、回填等施工活动都会造成生态破坏和水土流失。施工过程中的水土流失，不但会影响工程进度和工程质量，而且产生的泥沙作为一种废物或污染物往外排放，会对周围环境产生较为严重的影响。故施工期的水土流失问题值得注意，应采取必要的措施加以控制。为了减轻施工造成的水土流失、占用土地以及植被破坏等影响，评价要求：</w:t>
            </w:r>
          </w:p>
          <w:p w14:paraId="48110EC4">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①优化场内道路的布设，场内道路应尽量利用已有简易道路进行建设，从而减少土地的占用，场内施工道路，尽量以半挖半填方式施工，减少施工土石方量和弃渣量，从而减少地面扰动面积。</w:t>
            </w:r>
          </w:p>
          <w:p w14:paraId="0B9122C3">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②优化临时占地区的选址，临时占地区选址应尽量选择没有植被覆盖的裸地，对临时占地区采取“永临结合”的方式，尽量减小本工程对占用区植被的影响。施工结束后，应及时对临时占地区域采取平整压实处理，避免水土流失等对植被的破坏。</w:t>
            </w:r>
          </w:p>
          <w:p w14:paraId="2437916B">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③加强施工人员生态保护教育，施工过程中尽量减少植被破坏，各种施工活动应严格控制在施工区域内，并将临时占地面积控制在最低限度，以免造成植被不必要的破坏。</w:t>
            </w:r>
          </w:p>
          <w:p w14:paraId="637E843B">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④</w:t>
            </w:r>
            <w:r>
              <w:rPr>
                <w:rFonts w:hint="default" w:ascii="Times New Roman" w:hAnsi="Times New Roman" w:cs="Times New Roman"/>
                <w:snapToGrid w:val="0"/>
                <w:color w:val="auto"/>
                <w:kern w:val="0"/>
                <w:sz w:val="24"/>
                <w:lang w:val="en-US" w:eastAsia="zh-CN"/>
              </w:rPr>
              <w:t>工程临时堆土场、施工生产生活区、材料堆场等临时占地应当选在荒地，以减少对土地的损害。在施工过程中，对物料、堆土等应就近选择平坦地段集中堆放，并设置土工布围栏，以免造成水土流失。</w:t>
            </w:r>
            <w:r>
              <w:rPr>
                <w:rFonts w:hint="default" w:ascii="Times New Roman" w:hAnsi="Times New Roman" w:cs="Times New Roman"/>
                <w:snapToGrid w:val="0"/>
                <w:color w:val="auto"/>
                <w:kern w:val="0"/>
                <w:sz w:val="24"/>
              </w:rPr>
              <w:t>将分散堆放的表土集中堆放在指定区域，并对表土进行遮盖，防止大风天气产生扬尘。确定的堆场面积范围，</w:t>
            </w:r>
            <w:r>
              <w:rPr>
                <w:rFonts w:hint="default" w:ascii="Times New Roman" w:hAnsi="Times New Roman" w:cs="Times New Roman"/>
                <w:snapToGrid w:val="0"/>
                <w:color w:val="auto"/>
                <w:kern w:val="0"/>
                <w:sz w:val="24"/>
                <w:lang w:eastAsia="zh-CN"/>
              </w:rPr>
              <w:t>严禁</w:t>
            </w:r>
            <w:r>
              <w:rPr>
                <w:rFonts w:hint="default" w:ascii="Times New Roman" w:hAnsi="Times New Roman" w:cs="Times New Roman"/>
                <w:snapToGrid w:val="0"/>
                <w:color w:val="auto"/>
                <w:kern w:val="0"/>
                <w:sz w:val="24"/>
              </w:rPr>
              <w:t>堆放在堆场范围外的地方，加强对占地区域砾幕层的保护，砾幕层恢复采用先收集－－临时存放－－施工结束后再覆盖－－洒水的方式。禁止人为破坏矿区以外的植被。</w:t>
            </w:r>
          </w:p>
          <w:p w14:paraId="0441997C">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临时开挖土应该实行分层堆放与分层回填，地表30cm厚的表土层堆放在下层，用无纺布进行隔离，其他土方需采用无纺布进行苫盖，并设置草袋装土进行拦挡压盖，同时采取洒水降尘措施。平整填埋时，也应分层回填，尽可能保持原有的生长环境、土壤肥力和生产能力不变，以利于运行期植被的恢复。</w:t>
            </w:r>
          </w:p>
          <w:p w14:paraId="72204791">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⑤箱变基础占地类型为</w:t>
            </w:r>
            <w:r>
              <w:rPr>
                <w:rFonts w:hint="default" w:ascii="Times New Roman" w:hAnsi="Times New Roman" w:cs="Times New Roman"/>
                <w:snapToGrid w:val="0"/>
                <w:color w:val="auto"/>
                <w:kern w:val="0"/>
                <w:sz w:val="24"/>
                <w:lang w:val="en-US" w:eastAsia="zh-CN"/>
              </w:rPr>
              <w:t>天然牧草地</w:t>
            </w:r>
            <w:r>
              <w:rPr>
                <w:rFonts w:hint="default" w:ascii="Times New Roman" w:hAnsi="Times New Roman" w:cs="Times New Roman"/>
                <w:snapToGrid w:val="0"/>
                <w:color w:val="auto"/>
                <w:kern w:val="0"/>
                <w:sz w:val="24"/>
              </w:rPr>
              <w:t>，严格控制临时占地，控制在基础外扩范围之内，尽量不占或少占土地，以减少对植被的损坏。</w:t>
            </w:r>
          </w:p>
          <w:p w14:paraId="65904F33">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⑥集电线路基础开挖应实行分层堆放、分层回填，施工结</w:t>
            </w:r>
            <w:r>
              <w:rPr>
                <w:rFonts w:hint="default" w:ascii="Times New Roman" w:hAnsi="Times New Roman" w:cs="Times New Roman"/>
                <w:snapToGrid w:val="0"/>
                <w:color w:val="auto"/>
                <w:kern w:val="0"/>
                <w:sz w:val="24"/>
                <w:lang w:eastAsia="zh-CN"/>
              </w:rPr>
              <w:t>束后</w:t>
            </w:r>
            <w:r>
              <w:rPr>
                <w:rFonts w:hint="default" w:ascii="Times New Roman" w:hAnsi="Times New Roman" w:cs="Times New Roman"/>
                <w:snapToGrid w:val="0"/>
                <w:color w:val="auto"/>
                <w:kern w:val="0"/>
                <w:sz w:val="24"/>
              </w:rPr>
              <w:t>应立即恢复。在项目的设计过程中应精心安排规划用地，合理安排施工，尽量减少施工开挖面积和临时占地面积，减少植被的破坏。</w:t>
            </w:r>
          </w:p>
          <w:p w14:paraId="5C6DA36A">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⑦优化施工时间，施工期应避免在雨季施工，同时减少土石方的开挖，减少施工垃圾量的产生，及时清除多余的土方和石料，严禁就地倾倒覆压植被，同时采取护坡、挡土墙等防护措施，避免水土流失。</w:t>
            </w:r>
          </w:p>
          <w:p w14:paraId="7AB2FEB5">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⑧施工结束后对临时性占地及时采取自然恢复。</w:t>
            </w:r>
          </w:p>
          <w:p w14:paraId="75159E9A">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对施工单位的要求：</w:t>
            </w:r>
          </w:p>
          <w:p w14:paraId="6F2D660F">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①作为具体的施工机构，其施工行为直接关系到能否将环境的影响和破坏降低到最小程度。施工单位必须自觉遵守和维护有关环境保护的政策法规，教育施工人员爱护施工路段周围的植被。在施工前对施工平面图设计进行科学合理的规划，充分利用原有的地形、地貌，以尽量少占林地为原则，严禁乱挖乱弃，做到文明施工，规范施工，按设计施工。</w:t>
            </w:r>
          </w:p>
          <w:p w14:paraId="12B0FF2C">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②施工单位应合理进行施工布置，精心组织施工管理，严格将工程施工区控制在工程征用土地范围内，在工程开挖过程中，尽量减小和有效控制对施工区生态环境的影响范围和程度。</w:t>
            </w:r>
          </w:p>
          <w:p w14:paraId="0C6089B2">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③合理安排施工季节和作业时间，优化施工方案，减少废弃土石方的临时堆放，并尽量避免在雨季进行大量动土和开挖工程，有效减少区域水土流失，从而</w:t>
            </w:r>
            <w:r>
              <w:rPr>
                <w:rFonts w:hint="default" w:ascii="Times New Roman" w:hAnsi="Times New Roman" w:cs="Times New Roman"/>
                <w:snapToGrid w:val="0"/>
                <w:color w:val="auto"/>
                <w:kern w:val="0"/>
                <w:sz w:val="24"/>
                <w:lang w:eastAsia="zh-CN"/>
              </w:rPr>
              <w:t>减少</w:t>
            </w:r>
            <w:r>
              <w:rPr>
                <w:rFonts w:hint="default" w:ascii="Times New Roman" w:hAnsi="Times New Roman" w:cs="Times New Roman"/>
                <w:snapToGrid w:val="0"/>
                <w:color w:val="auto"/>
                <w:kern w:val="0"/>
                <w:sz w:val="24"/>
              </w:rPr>
              <w:t>对生态环境的破坏。</w:t>
            </w:r>
          </w:p>
          <w:p w14:paraId="4533E953">
            <w:pPr>
              <w:pStyle w:val="11"/>
              <w:spacing w:line="360" w:lineRule="auto"/>
              <w:ind w:firstLine="48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（3）水土流失防治措施</w:t>
            </w:r>
          </w:p>
          <w:p w14:paraId="422E1D2A">
            <w:pPr>
              <w:pStyle w:val="11"/>
              <w:spacing w:line="360" w:lineRule="auto"/>
              <w:ind w:firstLine="480"/>
              <w:rPr>
                <w:rFonts w:hint="default" w:ascii="Times New Roman" w:hAnsi="Times New Roman" w:eastAsia="宋体" w:cs="Times New Roman"/>
                <w:snapToGrid w:val="0"/>
                <w:color w:val="auto"/>
                <w:kern w:val="0"/>
                <w:sz w:val="24"/>
                <w:lang w:eastAsia="zh-CN"/>
              </w:rPr>
            </w:pPr>
            <w:r>
              <w:rPr>
                <w:rFonts w:hint="default" w:ascii="Times New Roman" w:hAnsi="Times New Roman" w:cs="Times New Roman"/>
                <w:snapToGrid w:val="0"/>
                <w:color w:val="auto"/>
                <w:kern w:val="0"/>
                <w:sz w:val="24"/>
              </w:rPr>
              <w:t>随着施工场地、输电线路等工程开挖、填方、平整，原有的表土层</w:t>
            </w:r>
            <w:r>
              <w:rPr>
                <w:rFonts w:hint="default" w:ascii="Times New Roman" w:hAnsi="Times New Roman" w:cs="Times New Roman"/>
                <w:snapToGrid w:val="0"/>
                <w:color w:val="auto"/>
                <w:kern w:val="0"/>
                <w:sz w:val="24"/>
                <w:lang w:eastAsia="zh-CN"/>
              </w:rPr>
              <w:t>受到破坏</w:t>
            </w:r>
            <w:r>
              <w:rPr>
                <w:rFonts w:hint="default" w:ascii="Times New Roman" w:hAnsi="Times New Roman" w:cs="Times New Roman"/>
                <w:snapToGrid w:val="0"/>
                <w:color w:val="auto"/>
                <w:kern w:val="0"/>
                <w:sz w:val="24"/>
              </w:rPr>
              <w:t>，土壤松动，或者施工过程中由于挖方及填方过程中形成的土堆不及时清理，遇到较大风速时，易发生水土流失。防治措施如下：</w:t>
            </w:r>
          </w:p>
          <w:p w14:paraId="4472665D">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1、风机基础水土保持措施</w:t>
            </w:r>
          </w:p>
          <w:p w14:paraId="70810888">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本区主体工程施工方式为基础开挖、混凝土基座浇筑、土石方回填及夯实。新增水土保持措施为工程措施、临时措施、管理措施。</w:t>
            </w:r>
          </w:p>
          <w:p w14:paraId="035BC2F3">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工程措施：基础回填后，表面覆盖砾石将能起到较好的防风作用。</w:t>
            </w:r>
          </w:p>
          <w:p w14:paraId="78445A2A">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临时措施：施工期开挖的基础土石方将临时堆放在下风向管理范围内，该部分临时堆土若堆放或防护措施不当，松散的堆土将极易受到风力侵蚀而四处扬尘，因此，本方案采取临时堆土的自然稳定边坡堆放，在堆土场表面外围采取防尘网苫盖，表面压盖砾石块的临时防护措施。为节约成本，可根据施工时序重复使用防尘网，根据施工基础开挖的设备安装进度</w:t>
            </w:r>
            <w:r>
              <w:rPr>
                <w:rFonts w:hint="default" w:ascii="Times New Roman" w:hAnsi="Times New Roman" w:cs="Times New Roman"/>
                <w:bCs/>
                <w:color w:val="auto"/>
                <w:sz w:val="24"/>
                <w:lang w:eastAsia="zh-CN"/>
              </w:rPr>
              <w:t>，</w:t>
            </w:r>
            <w:r>
              <w:rPr>
                <w:rFonts w:hint="default" w:ascii="Times New Roman" w:hAnsi="Times New Roman" w:eastAsia="宋体" w:cs="Times New Roman"/>
                <w:bCs/>
                <w:color w:val="auto"/>
                <w:sz w:val="24"/>
              </w:rPr>
              <w:t>同时开挖3座基础准备防尘网。</w:t>
            </w:r>
          </w:p>
          <w:p w14:paraId="3FD45EF4">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管理措施：（1）对主体工程风机基础开挖形成的临时堆土按稳定边坡堆放，堆放高度控制在2m以下。（2）堆渣形成后必须及时采取平整，并将临时堆放的弃土表面拍实。（3）施工组织设计严密，安排好开挖与基础回填的连接施工工序，尽量减少从开挖到回填的堆放时间。</w:t>
            </w:r>
          </w:p>
          <w:p w14:paraId="7CF68509">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2、支架基础水土保持措施</w:t>
            </w:r>
          </w:p>
          <w:p w14:paraId="7337465E">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本区主体工程施工方式为钻孔、混凝土现浇、土石方回填及夯实。新增水土保持措施为工程措施、临时措施、管理措施。</w:t>
            </w:r>
          </w:p>
          <w:p w14:paraId="4A648FFD">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工程措施：基础回填后，表面覆盖砾石将能起到较好的防风作用。</w:t>
            </w:r>
          </w:p>
          <w:p w14:paraId="6C513BB6">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临时措施：施工期开挖的基础土石方将临时堆放在下风向管理范围内，该部分临时堆土若堆放或防护措施不当，松散的堆土将极易受到风力侵蚀而四处扬尘。</w:t>
            </w:r>
          </w:p>
          <w:p w14:paraId="713FF169">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因此，本方案采取临时堆土的自然稳定边坡堆放，在堆土场表面外围采取防尘网苫盖，表面压盖砾石块的临时防护措施。为节约成本，可根据施工时序重复使用防尘网。</w:t>
            </w:r>
          </w:p>
          <w:p w14:paraId="720D7927">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管理措施：⑴基础开挖形成的临时堆土按稳定边坡堆放，堆放高度控制在0.5m以下。⑵堆渣形成后必须及时采取平整，并将临时堆放的弃土表面拍实。⑶施工组织设计严密，安排好开挖与基础回填的连接施工工序，尽量减少从开挖到回填的堆放时间。</w:t>
            </w:r>
          </w:p>
          <w:p w14:paraId="5CCB9209">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3、箱变基础水土保持措施</w:t>
            </w:r>
          </w:p>
          <w:p w14:paraId="16A732C2">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本区主体工程施工方式为基础开挖、箱变基础浇筑、土石方回填、夯实、箱变安装。新增水土保持措施为工程措施、临时措施、管理措施。</w:t>
            </w:r>
          </w:p>
          <w:p w14:paraId="56DBBB79">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工程措施：箱变基础回填后，采用砾石压盖</w:t>
            </w:r>
            <w:r>
              <w:rPr>
                <w:rFonts w:hint="default" w:ascii="Times New Roman" w:hAnsi="Times New Roman" w:cs="Times New Roman"/>
                <w:bCs/>
                <w:color w:val="auto"/>
                <w:sz w:val="24"/>
                <w:lang w:eastAsia="zh-CN"/>
              </w:rPr>
              <w:t>防止</w:t>
            </w:r>
            <w:r>
              <w:rPr>
                <w:rFonts w:hint="default" w:ascii="Times New Roman" w:hAnsi="Times New Roman" w:eastAsia="宋体" w:cs="Times New Roman"/>
                <w:bCs/>
                <w:color w:val="auto"/>
                <w:sz w:val="24"/>
              </w:rPr>
              <w:t>地表水土流失。</w:t>
            </w:r>
          </w:p>
          <w:p w14:paraId="551D4B89">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临时措施：工程施工期箱变基础开挖的土石方将临时堆放在下风向管理范围内，该部分临时堆土若堆放或防护措施不当，松散的堆土将极易受到风力侵蚀而四处扬尘，因此，在堆土场表面外围采取防尘网苫盖，临时堆土采用自然稳定边坡堆放，防止坡面弃土产生的水土流失。按每次开挖2座箱变基础准备防尘网。</w:t>
            </w:r>
          </w:p>
          <w:p w14:paraId="3ABDEA09">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管理措施：（1）对箱变基础开挖形成的临时堆土按稳定边坡堆放，堆放高度控制在1.5m以下。（2）堆渣形成后必须及时采取平整，并将临时堆放的弃土表面拍实。（3）施工组织设计严密，安排好开挖与基础回填的连接施工工序，尽量减少从开挖到回填的堆放时间。</w:t>
            </w:r>
          </w:p>
          <w:p w14:paraId="3362138B">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4、临时施工道路水土保持措施</w:t>
            </w:r>
          </w:p>
          <w:p w14:paraId="5D4C782A">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主体工程设计了道路的推平碾压，本防治区新增水土保持措施为工程措施、</w:t>
            </w:r>
          </w:p>
          <w:p w14:paraId="0C7E7630">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临时措施、管理措施。</w:t>
            </w:r>
          </w:p>
          <w:p w14:paraId="7DCB4E96">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工程措施：表面压盖砾石将能起到较好的防风蚀作用。</w:t>
            </w:r>
          </w:p>
          <w:p w14:paraId="0AF0E1CB">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临时措施：与同类工程相比，施工道路在施工期间扰动面易受风力侵蚀而四处扬尘。因此，施工道路在使用过程中应及时洒水防护。洒水方案考虑每天洒水一次，洒水期按150d考虑，根据同类工程实际监测资料，一吨水一次可洒2公里不扬尘。</w:t>
            </w:r>
          </w:p>
          <w:p w14:paraId="2A417513">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管理措施：（1）按照规定的路面宽度进行砾石压盖，同时及时洒水。（2）</w:t>
            </w:r>
          </w:p>
          <w:p w14:paraId="560E24D0">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严格管理和控制车辆及重型机械的运行范围，所有车辆采用“—”字型作业法，尽量缩小扰动范围，保护原始地表，使新增水土流失得到有效控制，保护和恢复本区域的生态环境。</w:t>
            </w:r>
          </w:p>
          <w:p w14:paraId="7B985D9D">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5、检修道路水土保持措施</w:t>
            </w:r>
          </w:p>
          <w:p w14:paraId="6FA6D093">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风电场建成后会将施工道路中间4m改建为检修道路，本防治区新增水土保持措施为工程措施和管理措施。</w:t>
            </w:r>
          </w:p>
          <w:p w14:paraId="57E28E24">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工程措施：施工结束后，施工道路中间4m改建为检修道路，本方案新增砾石铺设，在保证检修道路经久耐用的同时，也将很好的防止运行期间的水土流失。</w:t>
            </w:r>
          </w:p>
          <w:p w14:paraId="053F4032">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管理措施：按照规定的路面宽度进行砾石压盖，及时洒水，尽早形成泥结碎石路面。</w:t>
            </w:r>
          </w:p>
          <w:p w14:paraId="3E24A75E">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6、施工吊装场地水土保持措施</w:t>
            </w:r>
          </w:p>
          <w:p w14:paraId="7A3EBD79">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本工程风电机组塔架、机舱及叶片安装均采用履带吊直接吊装，每台风机设置一台吊装场地。施工吊装场地为施工临时占地，本方案新增调吊装场地使用过程中的洒水防护措施，根据以往施工经验，每处吊装场地吊装过程中需临时洒水0.3m</w:t>
            </w:r>
            <w:r>
              <w:rPr>
                <w:rFonts w:hint="default" w:ascii="Times New Roman" w:hAnsi="Times New Roman" w:eastAsia="宋体" w:cs="Times New Roman"/>
                <w:bCs/>
                <w:color w:val="auto"/>
                <w:sz w:val="24"/>
                <w:vertAlign w:val="superscript"/>
              </w:rPr>
              <w:t>3</w:t>
            </w:r>
            <w:r>
              <w:rPr>
                <w:rFonts w:hint="default" w:ascii="Times New Roman" w:hAnsi="Times New Roman" w:eastAsia="宋体" w:cs="Times New Roman"/>
                <w:bCs/>
                <w:color w:val="auto"/>
                <w:sz w:val="24"/>
              </w:rPr>
              <w:t>。</w:t>
            </w:r>
          </w:p>
          <w:p w14:paraId="0B1C88FB">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7、电缆沟水土保持措施</w:t>
            </w:r>
          </w:p>
          <w:p w14:paraId="75B49352">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本区主体工程施工方式为基础开挖、电缆埋设、土石方回填、夯实。本防治区新增水土保持措施为临时措施、管理措施。</w:t>
            </w:r>
          </w:p>
          <w:p w14:paraId="47CAF218">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临时措施：工程施工期塔基基础开挖的土石方将临时堆放在下风向管理范围内，该部分临时堆土若堆放或防护措施不当，松散的堆土将极易受到风力侵蚀而四处扬尘，因此，临时堆土采取自然稳定边坡堆放，并用防尘网苫盖，可根据施工时序重复使用防尘网。</w:t>
            </w:r>
          </w:p>
          <w:p w14:paraId="4F24A891">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管理措施：（1）对电缆沟基础开挖形成的临时堆土按稳定边坡堆放，堆放高度控制在1.5m以下。（2）堆渣形成后必须及时采取平整，并将临时堆放的弃土表面拍实。（3）施工组织设计严密，安排好开挖与基础回填的连接施工工序，尽量减少从开挖到回填的堆放时间。</w:t>
            </w:r>
          </w:p>
          <w:p w14:paraId="2A4E7BB6">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8、杆塔基础水土保持措施</w:t>
            </w:r>
          </w:p>
          <w:p w14:paraId="5308923F">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本区主体工程施工方式为基础开挖、电杆埋设、土石方回填及夯实。本防治区新增水土保持措施为临时措施、管理措施。</w:t>
            </w:r>
          </w:p>
          <w:p w14:paraId="5E5F0A04">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临时措施：工程施工期塔基基础开挖的土石方将临时堆放在下风向管理范围内，该部分临时堆土若堆放或防护措施不当，松散的堆土将极易受到风力侵蚀而四处扬尘。拟采取的措施为临时堆土边坡稳定堆放，防尘网防护，此部分施工可根据施工时序与前面施工的风电基础共用防尘网。</w:t>
            </w:r>
          </w:p>
          <w:p w14:paraId="6C40398B">
            <w:pPr>
              <w:pageBreakBefore w:val="0"/>
              <w:kinsoku/>
              <w:wordWrap/>
              <w:overflowPunct/>
              <w:bidi w:val="0"/>
              <w:spacing w:line="360" w:lineRule="auto"/>
              <w:ind w:left="0" w:leftChars="0" w:right="0" w:rightChars="0" w:firstLine="48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管理措施：（1）对架空线路基础开挖形成的临时堆土按稳定边坡堆放，堆放高度控制在0.5m以下。（2）堆渣形成后必须及时采取平整，并将临时堆放的弃土表面拍实。（3）施工组织设计严密，安排好开挖与基础回填的连接施工工序，尽量减少从开挖到回填的堆放时间。</w:t>
            </w:r>
          </w:p>
          <w:p w14:paraId="24F8F606">
            <w:pPr>
              <w:pStyle w:val="15"/>
              <w:keepNext w:val="0"/>
              <w:keepLines w:val="0"/>
              <w:pageBreakBefore w:val="0"/>
              <w:widowControl w:val="0"/>
              <w:kinsoku/>
              <w:wordWrap/>
              <w:overflowPunct/>
              <w:topLinePunct w:val="0"/>
              <w:autoSpaceDE/>
              <w:autoSpaceDN/>
              <w:bidi w:val="0"/>
              <w:adjustRightInd/>
              <w:snapToGrid/>
              <w:spacing w:after="0" w:line="360" w:lineRule="auto"/>
              <w:ind w:firstLine="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b w:val="0"/>
                <w:bCs/>
                <w:color w:val="auto"/>
                <w:kern w:val="2"/>
                <w:sz w:val="24"/>
                <w:szCs w:val="24"/>
                <w:lang w:val="en-US" w:eastAsia="zh-CN" w:bidi="ar-SA"/>
              </w:rPr>
              <w:t>（4）防沙治沙措施</w:t>
            </w:r>
          </w:p>
          <w:p w14:paraId="100C6DC8">
            <w:pPr>
              <w:pStyle w:val="48"/>
              <w:adjustRightInd/>
              <w:snapToGrid/>
              <w:spacing w:line="360" w:lineRule="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项目区地貌单元为山前冲洪积平原，主要</w:t>
            </w:r>
            <w:r>
              <w:rPr>
                <w:rFonts w:hint="default" w:ascii="Times New Roman" w:hAnsi="Times New Roman" w:cs="Times New Roman"/>
                <w:snapToGrid w:val="0"/>
                <w:color w:val="auto"/>
                <w:kern w:val="0"/>
                <w:sz w:val="24"/>
                <w:lang w:val="en-US" w:eastAsia="zh-CN"/>
              </w:rPr>
              <w:t>天然牧草地</w:t>
            </w:r>
            <w:r>
              <w:rPr>
                <w:rFonts w:hint="default" w:ascii="Times New Roman" w:hAnsi="Times New Roman" w:eastAsia="宋体" w:cs="Times New Roman"/>
                <w:color w:val="auto"/>
                <w:lang w:val="en-US" w:eastAsia="zh-CN"/>
              </w:rPr>
              <w:t>。</w:t>
            </w:r>
          </w:p>
          <w:p w14:paraId="5C1D01C2">
            <w:pPr>
              <w:pStyle w:val="48"/>
              <w:adjustRightInd/>
              <w:snapToGrid/>
              <w:spacing w:line="360" w:lineRule="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为防止项目施工及运营过程中加剧项目区所在地沙漠化，根据《中华人民共和国防沙治沙法》、结合《关于做好沙区开发建设项目环评中防沙治沙内容评价工作的意见》</w:t>
            </w:r>
            <w:r>
              <w:rPr>
                <w:rFonts w:hint="default"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林沙发</w:t>
            </w:r>
            <w:r>
              <w:rPr>
                <w:rFonts w:hint="default"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2013</w:t>
            </w:r>
            <w:r>
              <w:rPr>
                <w:rFonts w:hint="default"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136号</w:t>
            </w:r>
            <w:r>
              <w:rPr>
                <w:rFonts w:hint="default"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、《关于加强沙区建设项目环境影响评价工作的通知（新环环评发</w:t>
            </w:r>
            <w:r>
              <w:rPr>
                <w:rFonts w:hint="default"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2020</w:t>
            </w:r>
            <w:r>
              <w:rPr>
                <w:rFonts w:hint="default"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138号）》等文件要求，施工期及运营期在防沙、治沙方面应采取以下措施：施工期及运营期间划定施工区域，强化施工管理，增强施工人员的环境保护意识；在施工作业结束后，及时清理施工迹地和堆料场中的各类垃圾</w:t>
            </w:r>
            <w:r>
              <w:rPr>
                <w:rFonts w:hint="default" w:ascii="Times New Roman" w:hAnsi="Times New Roman" w:cs="Times New Roman"/>
                <w:color w:val="auto"/>
                <w:lang w:val="en-US" w:eastAsia="zh-CN"/>
              </w:rPr>
              <w:t>，对</w:t>
            </w:r>
            <w:r>
              <w:rPr>
                <w:rFonts w:hint="default" w:ascii="Times New Roman" w:hAnsi="Times New Roman" w:eastAsia="宋体" w:cs="Times New Roman"/>
                <w:color w:val="auto"/>
                <w:lang w:val="en-US" w:eastAsia="zh-CN"/>
              </w:rPr>
              <w:t>不能回填的挖方平整施工迹地，并压紧夯实。因地制宜地做好施工场地的恢复工作，并采取水土保持措施，</w:t>
            </w:r>
            <w:r>
              <w:rPr>
                <w:rFonts w:hint="default" w:ascii="Times New Roman" w:hAnsi="Times New Roman" w:eastAsia="宋体" w:cs="Times New Roman"/>
                <w:color w:val="auto"/>
                <w:lang w:val="en-US" w:eastAsia="zh-CN"/>
              </w:rPr>
              <w:t>防止</w:t>
            </w:r>
            <w:r>
              <w:rPr>
                <w:rFonts w:hint="default" w:ascii="Times New Roman" w:hAnsi="Times New Roman" w:eastAsia="宋体" w:cs="Times New Roman"/>
                <w:color w:val="auto"/>
                <w:lang w:val="en-US" w:eastAsia="zh-CN"/>
              </w:rPr>
              <w:t>新增水土流失。尽量利用挖出的土方用作其它地方的填方，基本做到挖填方平衡，减少弃土量，避免弃土的水土流失问题；施工完毕后及时进行土地平整，迹地恢复。施工期及运营期间施工单位要严格按照当地生态环境部门提出的要求进行管理与控制，杜绝施工期对环境造成污染。</w:t>
            </w:r>
          </w:p>
          <w:p w14:paraId="7F396135">
            <w:pPr>
              <w:pStyle w:val="48"/>
              <w:adjustRightInd/>
              <w:snapToGrid/>
              <w:spacing w:line="360" w:lineRule="auto"/>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土地临时使用过程中发现土地沙化或者沙化程度加重的，应当及时报告当地人民政府；应当按照当地人民政府防沙防治规划，因地制宜营造防风</w:t>
            </w:r>
            <w:r>
              <w:rPr>
                <w:rFonts w:hint="default" w:ascii="Times New Roman" w:hAnsi="Times New Roman" w:eastAsia="宋体" w:cs="Times New Roman"/>
                <w:color w:val="auto"/>
                <w:lang w:val="en-US" w:eastAsia="zh-CN"/>
              </w:rPr>
              <w:t>加固</w:t>
            </w:r>
            <w:r>
              <w:rPr>
                <w:rFonts w:hint="default" w:ascii="Times New Roman" w:hAnsi="Times New Roman" w:eastAsia="宋体" w:cs="Times New Roman"/>
                <w:color w:val="auto"/>
                <w:lang w:val="en-US" w:eastAsia="zh-CN"/>
              </w:rPr>
              <w:t>林网、林带，种植多年生灌木和草本植物；禁止在沙化土地上砍挖灌木、药材及其他固沙植物，禁止一切在沙化土地封禁保护区范围内破坏植被的活动；应当按照林业或其他有关行政部门的技术要求进行治理，并可将所种植的林、草委托他人管护或者交由当地人民政府有关行政主管部门管护；治理完成后，应当向当地人民政府主管部门提出验收申请，验收不合格的，</w:t>
            </w:r>
            <w:r>
              <w:rPr>
                <w:rFonts w:hint="default" w:ascii="Times New Roman" w:hAnsi="Times New Roman" w:cs="Times New Roman"/>
                <w:color w:val="auto"/>
                <w:lang w:val="en-US" w:eastAsia="zh-CN"/>
              </w:rPr>
              <w:t>应当</w:t>
            </w:r>
            <w:r>
              <w:rPr>
                <w:rFonts w:hint="default" w:ascii="Times New Roman" w:hAnsi="Times New Roman" w:eastAsia="宋体" w:cs="Times New Roman"/>
                <w:color w:val="auto"/>
                <w:lang w:val="en-US" w:eastAsia="zh-CN"/>
              </w:rPr>
              <w:t>继续治理；项目区植物稀少，主要生长少量沙生植物如红柳、梭梭等。项目区无国家级、自治区级保护植物分布。建设单位需严格控制施工用地范围，禁止毁坏周边的林木，项目实施不会造成植被类型和植物种类的消失。项目区对野生动物生存环境、分布范围和种群数量的影响主要分为直接影响和间接影响两个方面。直接影响主要表现为建设项目占地，使野生动物的原始生存环境被破坏或改变；间接影响主要表现为由于植被的减少或污染破坏而引起野生动物食物来源减少。占地影响对地面活动的野生动物种类产生隔离作用，使原分布区内的种类向外扩，而项目区开采结束后，随着人类活动和占地的减少，原有生境将逐步恢复，野生动物对新环境适应后其活动和分布范围亦将恢复。施工人员的进驻，将不可避免的影响野生动物赖以生存的环境，项目区野生动物组成较单一，以爬行类、啮齿类动物分布为主。区域野生动物种类、数量都很少，常见野生动物有兔子、田鼠等。项目区评价区域无国家和自治区的保护动物。由于工程永久占地面积较小，待施工结束后都将恢复原有环境，且评价区域不是动物的唯一栖息地和食源地，故该建设项目对动物区域性生境不产生明显影响。</w:t>
            </w:r>
          </w:p>
          <w:p w14:paraId="2F3EC13B">
            <w:pPr>
              <w:widowControl/>
              <w:spacing w:line="360" w:lineRule="auto"/>
              <w:ind w:firstLine="482" w:firstLineChars="200"/>
              <w:jc w:val="left"/>
              <w:rPr>
                <w:rFonts w:hint="default" w:ascii="Times New Roman" w:hAnsi="Times New Roman" w:eastAsia="宋体" w:cs="Times New Roman"/>
                <w:color w:val="auto"/>
                <w:sz w:val="24"/>
                <w:lang w:eastAsia="zh-CN"/>
              </w:rPr>
            </w:pPr>
            <w:r>
              <w:rPr>
                <w:rFonts w:hint="default" w:ascii="Times New Roman" w:hAnsi="Times New Roman" w:cs="Times New Roman"/>
                <w:b/>
                <w:bCs/>
                <w:color w:val="auto"/>
                <w:kern w:val="0"/>
                <w:sz w:val="24"/>
                <w:lang w:val="en-US" w:eastAsia="zh-CN" w:bidi="ar"/>
              </w:rPr>
              <w:t>2、</w:t>
            </w:r>
            <w:r>
              <w:rPr>
                <w:rFonts w:hint="default" w:ascii="Times New Roman" w:hAnsi="Times New Roman" w:cs="Times New Roman"/>
                <w:b/>
                <w:bCs/>
                <w:color w:val="auto"/>
                <w:kern w:val="0"/>
                <w:sz w:val="24"/>
                <w:lang w:bidi="ar"/>
              </w:rPr>
              <w:t>大气环境保护措施</w:t>
            </w:r>
          </w:p>
          <w:p w14:paraId="7E828349">
            <w:pPr>
              <w:widowControl/>
              <w:spacing w:line="360" w:lineRule="auto"/>
              <w:ind w:firstLine="480" w:firstLineChars="200"/>
              <w:rPr>
                <w:rFonts w:hint="default" w:ascii="Times New Roman" w:hAnsi="Times New Roman" w:cs="Times New Roman"/>
                <w:color w:val="auto"/>
              </w:rPr>
            </w:pPr>
            <w:r>
              <w:rPr>
                <w:rFonts w:hint="default" w:ascii="Times New Roman" w:hAnsi="Times New Roman" w:cs="Times New Roman"/>
                <w:color w:val="auto"/>
                <w:kern w:val="0"/>
                <w:sz w:val="24"/>
                <w:lang w:bidi="ar"/>
              </w:rPr>
              <w:t>（1）扬尘</w:t>
            </w:r>
          </w:p>
          <w:p w14:paraId="05F8054A">
            <w:pPr>
              <w:widowControl/>
              <w:spacing w:line="360" w:lineRule="auto"/>
              <w:ind w:firstLine="480" w:firstLineChars="200"/>
              <w:rPr>
                <w:rFonts w:hint="default" w:ascii="Times New Roman" w:hAnsi="Times New Roman" w:eastAsia="宋体" w:cs="Times New Roman"/>
                <w:color w:val="auto"/>
                <w:lang w:eastAsia="zh-CN"/>
              </w:rPr>
            </w:pPr>
            <w:r>
              <w:rPr>
                <w:rFonts w:hint="default" w:ascii="Times New Roman" w:hAnsi="Times New Roman" w:cs="Times New Roman"/>
                <w:color w:val="auto"/>
                <w:kern w:val="0"/>
                <w:sz w:val="24"/>
                <w:lang w:bidi="ar"/>
              </w:rPr>
              <w:t>本环评要求建设单位需根据《建设工程施工现场环境与卫生标准》（JGJ146-2013）相关要求，采取如下保护措施：</w:t>
            </w:r>
          </w:p>
          <w:p w14:paraId="758D5CB1">
            <w:pPr>
              <w:widowControl/>
              <w:spacing w:line="360" w:lineRule="auto"/>
              <w:ind w:firstLine="480" w:firstLineChars="200"/>
              <w:rPr>
                <w:rFonts w:hint="default" w:ascii="Times New Roman" w:hAnsi="Times New Roman" w:eastAsia="宋体" w:cs="Times New Roman"/>
                <w:color w:val="auto"/>
                <w:lang w:eastAsia="zh-CN"/>
              </w:rPr>
            </w:pPr>
            <w:r>
              <w:rPr>
                <w:rFonts w:hint="default" w:ascii="Times New Roman" w:hAnsi="Times New Roman" w:cs="Times New Roman"/>
                <w:color w:val="auto"/>
                <w:kern w:val="0"/>
                <w:sz w:val="24"/>
                <w:lang w:bidi="ar"/>
              </w:rPr>
              <w:t>①施工现场的主要道路必须进行硬化处理，并定期清扫、洒水。土方应集中堆放，裸露的场地和集中堆放的土方应采取覆盖、固化等措施。对易起尘的临时堆土、运输过程中的土石方等采取密闭式防尘布（网）进行苫盖，施工面集中且有条件的地方宜采取洒水降水等有效措施，减少易造成大气污染的施工作业。遇到干燥、易起尘的土方工程作业时，应辅以洒水压尘，尽量缩短起尘操作时间。遇到四级或四级以上大风天气，应停止土方作业，同时作业处覆以防尘网；</w:t>
            </w:r>
          </w:p>
          <w:p w14:paraId="4924CFD1">
            <w:pPr>
              <w:widowControl/>
              <w:spacing w:line="360" w:lineRule="auto"/>
              <w:ind w:firstLine="480" w:firstLineChars="200"/>
              <w:rPr>
                <w:rFonts w:hint="default" w:ascii="Times New Roman" w:hAnsi="Times New Roman" w:eastAsia="宋体" w:cs="Times New Roman"/>
                <w:color w:val="auto"/>
                <w:lang w:eastAsia="zh-CN"/>
              </w:rPr>
            </w:pPr>
            <w:r>
              <w:rPr>
                <w:rFonts w:hint="default" w:ascii="Times New Roman" w:hAnsi="Times New Roman" w:cs="Times New Roman"/>
                <w:color w:val="auto"/>
                <w:kern w:val="0"/>
                <w:sz w:val="24"/>
                <w:lang w:bidi="ar"/>
              </w:rPr>
              <w:t>②施工期间的弃土应就地平整，弃土若在工地内堆置超过一周的，应覆盖尘布、防尘网；选择合理的运输路线和时间，运输车辆需用帆布覆盖，覆盖率要达到100%。黄沙及其他易飞扬的细颗粒建筑材料避免露天堆放，采取覆盖措施；</w:t>
            </w:r>
          </w:p>
          <w:p w14:paraId="22E2F027">
            <w:pPr>
              <w:widowControl/>
              <w:spacing w:line="360" w:lineRule="auto"/>
              <w:ind w:firstLine="480" w:firstLineChars="200"/>
              <w:rPr>
                <w:rFonts w:hint="default" w:ascii="Times New Roman" w:hAnsi="Times New Roman" w:eastAsia="宋体" w:cs="Times New Roman"/>
                <w:color w:val="auto"/>
                <w:lang w:eastAsia="zh-CN"/>
              </w:rPr>
            </w:pPr>
            <w:r>
              <w:rPr>
                <w:rFonts w:hint="default" w:ascii="Times New Roman" w:hAnsi="Times New Roman" w:cs="Times New Roman"/>
                <w:color w:val="auto"/>
                <w:kern w:val="0"/>
                <w:sz w:val="24"/>
                <w:lang w:bidi="ar"/>
              </w:rPr>
              <w:t>③加强施工现场运输车辆管理。驶入建筑工地的运输车辆必须车身整洁，装载车厢完好，装载货物堆码整齐，不得污染道路；驶出建筑工地的运输车辆必须冲洗干净，严禁带泥上路，严禁超载，渣土及易抛撒材料实行封闭车辆运输，并应持证。防止建筑材料、垃圾和尘土飞扬、洒落和流溢。</w:t>
            </w:r>
          </w:p>
          <w:p w14:paraId="49DD44DE">
            <w:pPr>
              <w:widowControl/>
              <w:spacing w:line="360" w:lineRule="auto"/>
              <w:ind w:firstLine="480" w:firstLineChars="200"/>
              <w:rPr>
                <w:rFonts w:hint="default" w:ascii="Times New Roman" w:hAnsi="Times New Roman" w:eastAsia="宋体" w:cs="Times New Roman"/>
                <w:color w:val="auto"/>
                <w:lang w:eastAsia="zh-CN"/>
              </w:rPr>
            </w:pPr>
            <w:r>
              <w:rPr>
                <w:rFonts w:hint="default" w:ascii="Times New Roman" w:hAnsi="Times New Roman" w:cs="Times New Roman"/>
                <w:color w:val="auto"/>
                <w:kern w:val="0"/>
                <w:sz w:val="24"/>
                <w:lang w:bidi="ar"/>
              </w:rPr>
              <w:t>④采用商品混凝土，现场不设混凝土搅拌站，严禁现场搅拌混凝土、砂浆。</w:t>
            </w:r>
          </w:p>
          <w:p w14:paraId="1EBD3D49">
            <w:pPr>
              <w:widowControl/>
              <w:spacing w:line="360" w:lineRule="auto"/>
              <w:ind w:firstLine="480" w:firstLineChars="200"/>
              <w:rPr>
                <w:rFonts w:hint="default" w:ascii="Times New Roman" w:hAnsi="Times New Roman" w:eastAsia="宋体" w:cs="Times New Roman"/>
                <w:color w:val="auto"/>
                <w:lang w:eastAsia="zh-CN"/>
              </w:rPr>
            </w:pPr>
            <w:r>
              <w:rPr>
                <w:rFonts w:hint="default" w:ascii="Times New Roman" w:hAnsi="Times New Roman" w:cs="Times New Roman"/>
                <w:color w:val="auto"/>
                <w:kern w:val="0"/>
                <w:sz w:val="24"/>
                <w:lang w:bidi="ar"/>
              </w:rPr>
              <w:t>⑤施工现场的机械设备、车辆的尾气排放应符合国家环保排放标准。</w:t>
            </w:r>
          </w:p>
          <w:p w14:paraId="3C2720D3">
            <w:pPr>
              <w:widowControl/>
              <w:spacing w:line="360" w:lineRule="auto"/>
              <w:ind w:firstLine="480" w:firstLineChars="200"/>
              <w:rPr>
                <w:rFonts w:hint="default" w:ascii="Times New Roman" w:hAnsi="Times New Roman" w:eastAsia="宋体" w:cs="Times New Roman"/>
                <w:color w:val="auto"/>
                <w:lang w:eastAsia="zh-CN"/>
              </w:rPr>
            </w:pPr>
            <w:r>
              <w:rPr>
                <w:rFonts w:hint="default" w:ascii="Times New Roman" w:hAnsi="Times New Roman" w:cs="Times New Roman"/>
                <w:color w:val="auto"/>
                <w:kern w:val="0"/>
                <w:sz w:val="24"/>
                <w:lang w:bidi="ar"/>
              </w:rPr>
              <w:t>⑥当环境空气质量指数达到中度及以上的污染时，应禁止进行土方等易产生扬尘污染的施工作业，施工现场应增加洒水频次，加强覆盖措施，减少易造成大气污染的施工作业。</w:t>
            </w:r>
          </w:p>
          <w:p w14:paraId="04B5023A">
            <w:pPr>
              <w:widowControl/>
              <w:spacing w:line="360" w:lineRule="auto"/>
              <w:ind w:firstLine="480" w:firstLineChars="200"/>
              <w:rPr>
                <w:rFonts w:hint="default" w:ascii="Times New Roman" w:hAnsi="Times New Roman" w:eastAsia="宋体" w:cs="Times New Roman"/>
                <w:color w:val="auto"/>
                <w:lang w:eastAsia="zh-CN"/>
              </w:rPr>
            </w:pPr>
            <w:r>
              <w:rPr>
                <w:rFonts w:hint="default" w:ascii="Times New Roman" w:hAnsi="Times New Roman" w:cs="Times New Roman"/>
                <w:color w:val="auto"/>
                <w:kern w:val="0"/>
                <w:sz w:val="24"/>
                <w:lang w:bidi="ar"/>
              </w:rPr>
              <w:t>⑦当环境空气质量指数达到重污染，需启动重污染天气Ⅰ级应急响应时，停止项目区所有的施工作业。</w:t>
            </w:r>
          </w:p>
          <w:p w14:paraId="28FFADBB">
            <w:pPr>
              <w:widowControl/>
              <w:spacing w:line="360" w:lineRule="auto"/>
              <w:ind w:firstLine="480" w:firstLineChars="200"/>
              <w:rPr>
                <w:rFonts w:hint="default" w:ascii="Times New Roman" w:hAnsi="Times New Roman" w:eastAsia="宋体" w:cs="Times New Roman"/>
                <w:color w:val="auto"/>
                <w:kern w:val="0"/>
                <w:sz w:val="24"/>
                <w:lang w:eastAsia="zh-CN" w:bidi="ar"/>
              </w:rPr>
            </w:pPr>
            <w:r>
              <w:rPr>
                <w:rFonts w:hint="default" w:ascii="Times New Roman" w:hAnsi="Times New Roman" w:cs="Times New Roman"/>
                <w:color w:val="auto"/>
                <w:kern w:val="0"/>
                <w:sz w:val="24"/>
                <w:lang w:bidi="ar"/>
              </w:rPr>
              <w:t>（2）机械尾气</w:t>
            </w:r>
          </w:p>
          <w:p w14:paraId="5B92A7D3">
            <w:pPr>
              <w:widowControl/>
              <w:spacing w:line="360" w:lineRule="auto"/>
              <w:ind w:firstLine="480" w:firstLineChars="200"/>
              <w:rPr>
                <w:rFonts w:hint="default" w:ascii="Times New Roman" w:hAnsi="Times New Roman" w:cs="Times New Roman"/>
                <w:color w:val="auto"/>
                <w:kern w:val="0"/>
                <w:sz w:val="24"/>
                <w:lang w:bidi="ar"/>
              </w:rPr>
            </w:pPr>
            <w:r>
              <w:rPr>
                <w:rFonts w:hint="default" w:ascii="Times New Roman" w:hAnsi="Times New Roman" w:cs="Times New Roman"/>
                <w:color w:val="auto"/>
                <w:kern w:val="0"/>
                <w:sz w:val="24"/>
                <w:lang w:bidi="ar"/>
              </w:rPr>
              <w:t>加强设备、车辆的维护保养，使用污染物排放符合国家标准的运输车辆和施工设备。</w:t>
            </w:r>
          </w:p>
          <w:p w14:paraId="6313DCE8">
            <w:pPr>
              <w:widowControl/>
              <w:spacing w:line="360" w:lineRule="auto"/>
              <w:ind w:firstLine="482" w:firstLineChars="200"/>
              <w:jc w:val="left"/>
              <w:rPr>
                <w:rFonts w:hint="default" w:ascii="Times New Roman" w:hAnsi="Times New Roman" w:eastAsia="宋体" w:cs="Times New Roman"/>
                <w:color w:val="auto"/>
                <w:lang w:eastAsia="zh-CN"/>
              </w:rPr>
            </w:pPr>
            <w:r>
              <w:rPr>
                <w:rFonts w:hint="default" w:ascii="Times New Roman" w:hAnsi="Times New Roman" w:cs="Times New Roman"/>
                <w:b/>
                <w:bCs/>
                <w:color w:val="auto"/>
                <w:kern w:val="0"/>
                <w:sz w:val="24"/>
                <w:lang w:val="en-US" w:eastAsia="zh-CN" w:bidi="ar"/>
              </w:rPr>
              <w:t>3、</w:t>
            </w:r>
            <w:r>
              <w:rPr>
                <w:rFonts w:hint="default" w:ascii="Times New Roman" w:hAnsi="Times New Roman" w:cs="Times New Roman"/>
                <w:b/>
                <w:bCs/>
                <w:color w:val="auto"/>
                <w:kern w:val="0"/>
                <w:sz w:val="24"/>
                <w:lang w:bidi="ar"/>
              </w:rPr>
              <w:t>水环境保护措施</w:t>
            </w:r>
          </w:p>
          <w:p w14:paraId="1FCF7A21">
            <w:pPr>
              <w:widowControl/>
              <w:spacing w:line="360" w:lineRule="auto"/>
              <w:ind w:firstLine="480" w:firstLineChars="200"/>
              <w:rPr>
                <w:rFonts w:hint="default" w:ascii="Times New Roman" w:hAnsi="Times New Roman" w:cs="Times New Roman"/>
                <w:color w:val="auto"/>
              </w:rPr>
            </w:pPr>
            <w:r>
              <w:rPr>
                <w:rFonts w:hint="default" w:ascii="Times New Roman" w:hAnsi="Times New Roman" w:cs="Times New Roman"/>
                <w:color w:val="auto"/>
                <w:kern w:val="0"/>
                <w:sz w:val="24"/>
                <w:lang w:bidi="ar"/>
              </w:rPr>
              <w:t>（1）施工废水</w:t>
            </w:r>
          </w:p>
          <w:p w14:paraId="6E0B7E8A">
            <w:pPr>
              <w:widowControl/>
              <w:spacing w:line="360" w:lineRule="auto"/>
              <w:ind w:firstLine="480" w:firstLineChars="200"/>
              <w:rPr>
                <w:rFonts w:hint="default" w:ascii="Times New Roman" w:hAnsi="Times New Roman" w:eastAsia="宋体" w:cs="Times New Roman"/>
                <w:color w:val="auto"/>
                <w:lang w:eastAsia="zh-CN"/>
              </w:rPr>
            </w:pPr>
            <w:r>
              <w:rPr>
                <w:rFonts w:hint="default" w:ascii="Times New Roman" w:hAnsi="Times New Roman" w:cs="Times New Roman"/>
                <w:color w:val="auto"/>
                <w:kern w:val="0"/>
                <w:sz w:val="24"/>
                <w:lang w:bidi="ar"/>
              </w:rPr>
              <w:t>在施工区设置沉淀池，工程废水排入沉淀池后循环使用，施工期结束后及时拆除并恢复原貌。</w:t>
            </w:r>
          </w:p>
          <w:p w14:paraId="2B859CAF">
            <w:pPr>
              <w:widowControl/>
              <w:numPr>
                <w:ilvl w:val="0"/>
                <w:numId w:val="0"/>
              </w:numPr>
              <w:spacing w:line="360" w:lineRule="auto"/>
              <w:ind w:firstLine="480" w:firstLineChars="200"/>
              <w:rPr>
                <w:rFonts w:hint="default" w:ascii="Times New Roman" w:hAnsi="Times New Roman" w:cs="Times New Roman"/>
                <w:color w:val="auto"/>
                <w:kern w:val="0"/>
                <w:sz w:val="24"/>
                <w:lang w:bidi="ar"/>
              </w:rPr>
            </w:pPr>
            <w:r>
              <w:rPr>
                <w:rFonts w:hint="default" w:ascii="Times New Roman" w:hAnsi="Times New Roman" w:cs="Times New Roman"/>
                <w:color w:val="auto"/>
                <w:kern w:val="0"/>
                <w:sz w:val="24"/>
                <w:lang w:eastAsia="zh-CN" w:bidi="ar"/>
              </w:rPr>
              <w:t>（</w:t>
            </w:r>
            <w:r>
              <w:rPr>
                <w:rFonts w:hint="default" w:ascii="Times New Roman" w:hAnsi="Times New Roman" w:cs="Times New Roman"/>
                <w:color w:val="auto"/>
                <w:kern w:val="0"/>
                <w:sz w:val="24"/>
                <w:lang w:val="en-US" w:eastAsia="zh-CN" w:bidi="ar"/>
              </w:rPr>
              <w:t>2</w:t>
            </w:r>
            <w:r>
              <w:rPr>
                <w:rFonts w:hint="default" w:ascii="Times New Roman" w:hAnsi="Times New Roman" w:cs="Times New Roman"/>
                <w:color w:val="auto"/>
                <w:kern w:val="0"/>
                <w:sz w:val="24"/>
                <w:lang w:eastAsia="zh-CN" w:bidi="ar"/>
              </w:rPr>
              <w:t>）</w:t>
            </w:r>
            <w:r>
              <w:rPr>
                <w:rFonts w:hint="default" w:ascii="Times New Roman" w:hAnsi="Times New Roman" w:cs="Times New Roman"/>
                <w:color w:val="auto"/>
                <w:kern w:val="0"/>
                <w:sz w:val="24"/>
                <w:lang w:bidi="ar"/>
              </w:rPr>
              <w:t>生活污水</w:t>
            </w:r>
          </w:p>
          <w:p w14:paraId="35090144">
            <w:pPr>
              <w:spacing w:line="360" w:lineRule="auto"/>
              <w:ind w:firstLine="480"/>
              <w:rPr>
                <w:rFonts w:hint="default" w:ascii="Times New Roman" w:hAnsi="Times New Roman" w:cs="Times New Roman"/>
                <w:color w:val="auto"/>
                <w:sz w:val="24"/>
              </w:rPr>
            </w:pPr>
            <w:r>
              <w:rPr>
                <w:rFonts w:hint="default" w:ascii="Times New Roman" w:hAnsi="Times New Roman" w:cs="Times New Roman"/>
                <w:color w:val="auto"/>
                <w:sz w:val="24"/>
              </w:rPr>
              <w:t>施工生活区设临时环保公厕，定期清理，对项目区域的环境质量影响较小。</w:t>
            </w:r>
          </w:p>
          <w:p w14:paraId="35D31A6B">
            <w:pPr>
              <w:spacing w:line="360" w:lineRule="auto"/>
              <w:ind w:firstLine="480"/>
              <w:rPr>
                <w:rFonts w:hint="default" w:ascii="Times New Roman" w:hAnsi="Times New Roman" w:cs="Times New Roman"/>
                <w:color w:val="auto"/>
                <w:sz w:val="24"/>
              </w:rPr>
            </w:pPr>
            <w:r>
              <w:rPr>
                <w:rFonts w:hint="default" w:ascii="Times New Roman" w:hAnsi="Times New Roman" w:cs="Times New Roman"/>
                <w:color w:val="auto"/>
                <w:sz w:val="24"/>
              </w:rPr>
              <w:t>综上所述，施工期废水在采取以上措施处理后，不会对外环境产生明显不利影响，措施可行。</w:t>
            </w:r>
          </w:p>
          <w:p w14:paraId="1398473A">
            <w:pPr>
              <w:widowControl/>
              <w:spacing w:line="360" w:lineRule="auto"/>
              <w:ind w:firstLine="482" w:firstLineChars="200"/>
              <w:jc w:val="left"/>
              <w:rPr>
                <w:rFonts w:hint="default" w:ascii="Times New Roman" w:hAnsi="Times New Roman" w:eastAsia="宋体" w:cs="Times New Roman"/>
                <w:color w:val="auto"/>
                <w:lang w:eastAsia="zh-CN"/>
              </w:rPr>
            </w:pPr>
            <w:r>
              <w:rPr>
                <w:rFonts w:hint="default" w:ascii="Times New Roman" w:hAnsi="Times New Roman" w:cs="Times New Roman"/>
                <w:b/>
                <w:bCs/>
                <w:color w:val="auto"/>
                <w:kern w:val="0"/>
                <w:sz w:val="24"/>
                <w:lang w:val="en-US" w:eastAsia="zh-CN" w:bidi="ar"/>
              </w:rPr>
              <w:t>4、</w:t>
            </w:r>
            <w:r>
              <w:rPr>
                <w:rFonts w:hint="default" w:ascii="Times New Roman" w:hAnsi="Times New Roman" w:cs="Times New Roman"/>
                <w:b/>
                <w:bCs/>
                <w:color w:val="auto"/>
                <w:kern w:val="0"/>
                <w:sz w:val="24"/>
                <w:lang w:bidi="ar"/>
              </w:rPr>
              <w:t>声环境保护措施</w:t>
            </w:r>
          </w:p>
          <w:p w14:paraId="234ECDA6">
            <w:pPr>
              <w:widowControl/>
              <w:spacing w:line="360" w:lineRule="auto"/>
              <w:ind w:firstLine="480" w:firstLineChars="200"/>
              <w:rPr>
                <w:rFonts w:hint="default" w:ascii="Times New Roman" w:hAnsi="Times New Roman" w:eastAsia="宋体" w:cs="Times New Roman"/>
                <w:color w:val="auto"/>
                <w:lang w:eastAsia="zh-CN"/>
              </w:rPr>
            </w:pPr>
            <w:r>
              <w:rPr>
                <w:rFonts w:hint="default" w:ascii="Times New Roman" w:hAnsi="Times New Roman" w:cs="Times New Roman"/>
                <w:color w:val="auto"/>
                <w:kern w:val="0"/>
                <w:sz w:val="24"/>
                <w:lang w:bidi="ar"/>
              </w:rPr>
              <w:t>（1）施工单位在施工组织设计中，应合理摆放施工机械，尽量使机械远离敏感点，减少机械噪声对声环境的污染；</w:t>
            </w:r>
          </w:p>
          <w:p w14:paraId="1A826325">
            <w:pPr>
              <w:widowControl/>
              <w:spacing w:line="360" w:lineRule="auto"/>
              <w:ind w:firstLine="480" w:firstLineChars="200"/>
              <w:rPr>
                <w:rFonts w:hint="default" w:ascii="Times New Roman" w:hAnsi="Times New Roman" w:eastAsia="宋体" w:cs="Times New Roman"/>
                <w:color w:val="auto"/>
                <w:lang w:eastAsia="zh-CN"/>
              </w:rPr>
            </w:pPr>
            <w:r>
              <w:rPr>
                <w:rFonts w:hint="default" w:ascii="Times New Roman" w:hAnsi="Times New Roman" w:cs="Times New Roman"/>
                <w:color w:val="auto"/>
                <w:kern w:val="0"/>
                <w:sz w:val="24"/>
                <w:lang w:bidi="ar"/>
              </w:rPr>
              <w:t>（2）对于固定类机械设备，可采取基础</w:t>
            </w:r>
            <w:r>
              <w:rPr>
                <w:rFonts w:hint="default" w:ascii="Times New Roman" w:hAnsi="Times New Roman" w:cs="Times New Roman"/>
                <w:color w:val="auto"/>
                <w:kern w:val="0"/>
                <w:sz w:val="24"/>
                <w:lang w:eastAsia="zh-CN" w:bidi="ar"/>
              </w:rPr>
              <w:t>减振</w:t>
            </w:r>
            <w:r>
              <w:rPr>
                <w:rFonts w:hint="default" w:ascii="Times New Roman" w:hAnsi="Times New Roman" w:cs="Times New Roman"/>
                <w:color w:val="auto"/>
                <w:kern w:val="0"/>
                <w:sz w:val="24"/>
                <w:lang w:bidi="ar"/>
              </w:rPr>
              <w:t>，降低噪声污染；</w:t>
            </w:r>
          </w:p>
          <w:p w14:paraId="294BEFD8">
            <w:pPr>
              <w:widowControl/>
              <w:spacing w:line="360" w:lineRule="auto"/>
              <w:ind w:firstLine="480" w:firstLineChars="200"/>
              <w:rPr>
                <w:rFonts w:hint="default" w:ascii="Times New Roman" w:hAnsi="Times New Roman" w:eastAsia="宋体" w:cs="Times New Roman"/>
                <w:color w:val="auto"/>
                <w:lang w:eastAsia="zh-CN"/>
              </w:rPr>
            </w:pPr>
            <w:r>
              <w:rPr>
                <w:rFonts w:hint="default" w:ascii="Times New Roman" w:hAnsi="Times New Roman" w:cs="Times New Roman"/>
                <w:color w:val="auto"/>
                <w:kern w:val="0"/>
                <w:sz w:val="24"/>
                <w:lang w:bidi="ar"/>
              </w:rPr>
              <w:t>（3）施工场界要设置噪声防护围栏，降低施工噪声；</w:t>
            </w:r>
          </w:p>
          <w:p w14:paraId="641363C2">
            <w:pPr>
              <w:widowControl/>
              <w:spacing w:line="360" w:lineRule="auto"/>
              <w:ind w:firstLine="480" w:firstLineChars="200"/>
              <w:rPr>
                <w:rFonts w:hint="default" w:ascii="Times New Roman" w:hAnsi="Times New Roman" w:eastAsia="宋体" w:cs="Times New Roman"/>
                <w:color w:val="auto"/>
                <w:lang w:eastAsia="zh-CN"/>
              </w:rPr>
            </w:pPr>
            <w:r>
              <w:rPr>
                <w:rFonts w:hint="default" w:ascii="Times New Roman" w:hAnsi="Times New Roman" w:cs="Times New Roman"/>
                <w:color w:val="auto"/>
                <w:kern w:val="0"/>
                <w:sz w:val="24"/>
                <w:lang w:bidi="ar"/>
              </w:rPr>
              <w:t>（4）在项目施工期，应设立临时隔声屏障，在施工的结构阶段应采用围挡，以降低设备噪声对周围的影响。</w:t>
            </w:r>
          </w:p>
          <w:p w14:paraId="4CD8B293">
            <w:pPr>
              <w:widowControl/>
              <w:spacing w:line="360" w:lineRule="auto"/>
              <w:ind w:firstLine="482" w:firstLineChars="200"/>
              <w:jc w:val="left"/>
              <w:rPr>
                <w:rFonts w:hint="default" w:ascii="Times New Roman" w:hAnsi="Times New Roman" w:eastAsia="宋体" w:cs="Times New Roman"/>
                <w:color w:val="auto"/>
                <w:lang w:eastAsia="zh-CN"/>
              </w:rPr>
            </w:pPr>
            <w:r>
              <w:rPr>
                <w:rFonts w:hint="default" w:ascii="Times New Roman" w:hAnsi="Times New Roman" w:cs="Times New Roman"/>
                <w:b/>
                <w:bCs/>
                <w:color w:val="auto"/>
                <w:kern w:val="0"/>
                <w:sz w:val="24"/>
                <w:lang w:val="en-US" w:eastAsia="zh-CN" w:bidi="ar"/>
              </w:rPr>
              <w:t>5、</w:t>
            </w:r>
            <w:r>
              <w:rPr>
                <w:rFonts w:hint="default" w:ascii="Times New Roman" w:hAnsi="Times New Roman" w:cs="Times New Roman"/>
                <w:b/>
                <w:bCs/>
                <w:color w:val="auto"/>
                <w:kern w:val="0"/>
                <w:sz w:val="24"/>
                <w:lang w:bidi="ar"/>
              </w:rPr>
              <w:t>固体废弃物环境保护措施</w:t>
            </w:r>
          </w:p>
          <w:p w14:paraId="2EAFA4F3">
            <w:pPr>
              <w:spacing w:line="360" w:lineRule="auto"/>
              <w:ind w:firstLine="480" w:firstLineChars="200"/>
              <w:rPr>
                <w:rFonts w:hint="default" w:ascii="Times New Roman" w:hAnsi="Times New Roman" w:cs="Times New Roman"/>
                <w:bCs/>
                <w:color w:val="auto"/>
                <w:spacing w:val="10"/>
                <w:sz w:val="24"/>
              </w:rPr>
            </w:pPr>
            <w:r>
              <w:rPr>
                <w:rFonts w:hint="default" w:ascii="Times New Roman" w:hAnsi="Times New Roman" w:cs="Times New Roman"/>
                <w:color w:val="auto"/>
                <w:kern w:val="0"/>
                <w:sz w:val="24"/>
                <w:lang w:bidi="ar"/>
              </w:rPr>
              <w:t>施工过程产生的弃方用于沿线场地平整及施工迹地恢复；施工建筑垃圾交由建筑垃圾填埋场处理，施工人员生活垃圾统一收集后交由当地环卫部门处理。</w:t>
            </w:r>
          </w:p>
        </w:tc>
      </w:tr>
      <w:tr w14:paraId="5F4FCE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8" w:hRule="atLeast"/>
          <w:jc w:val="center"/>
        </w:trPr>
        <w:tc>
          <w:tcPr>
            <w:tcW w:w="761" w:type="dxa"/>
            <w:noWrap w:val="0"/>
            <w:tcMar>
              <w:left w:w="28" w:type="dxa"/>
              <w:right w:w="28" w:type="dxa"/>
            </w:tcMar>
            <w:vAlign w:val="center"/>
          </w:tcPr>
          <w:p w14:paraId="3D9466DF">
            <w:pPr>
              <w:adjustRightInd w:val="0"/>
              <w:snapToGrid w:val="0"/>
              <w:jc w:val="center"/>
              <w:rPr>
                <w:rFonts w:hint="default" w:ascii="Times New Roman" w:hAnsi="Times New Roman" w:cs="Times New Roman"/>
                <w:bCs/>
                <w:color w:val="auto"/>
                <w:spacing w:val="10"/>
                <w:sz w:val="24"/>
              </w:rPr>
            </w:pPr>
            <w:r>
              <w:rPr>
                <w:rFonts w:hint="default" w:ascii="Times New Roman" w:hAnsi="Times New Roman" w:cs="Times New Roman"/>
                <w:bCs/>
                <w:color w:val="auto"/>
                <w:spacing w:val="10"/>
                <w:sz w:val="24"/>
              </w:rPr>
              <w:t>运营期生态环境保护措施</w:t>
            </w:r>
          </w:p>
        </w:tc>
        <w:tc>
          <w:tcPr>
            <w:tcW w:w="8449" w:type="dxa"/>
            <w:noWrap w:val="0"/>
            <w:vAlign w:val="top"/>
          </w:tcPr>
          <w:p w14:paraId="077A30C2">
            <w:pPr>
              <w:widowControl/>
              <w:spacing w:line="360" w:lineRule="auto"/>
              <w:ind w:firstLine="482" w:firstLineChars="200"/>
              <w:jc w:val="left"/>
              <w:rPr>
                <w:rFonts w:hint="default" w:ascii="Times New Roman" w:hAnsi="Times New Roman" w:cs="Times New Roman"/>
                <w:b/>
                <w:bCs/>
                <w:color w:val="auto"/>
                <w:kern w:val="0"/>
                <w:sz w:val="24"/>
                <w:lang w:bidi="ar"/>
              </w:rPr>
            </w:pPr>
            <w:r>
              <w:rPr>
                <w:rFonts w:hint="default" w:ascii="Times New Roman" w:hAnsi="Times New Roman" w:cs="Times New Roman"/>
                <w:b/>
                <w:bCs/>
                <w:color w:val="auto"/>
                <w:kern w:val="0"/>
                <w:sz w:val="24"/>
                <w:lang w:val="en-US" w:eastAsia="zh-CN" w:bidi="ar"/>
              </w:rPr>
              <w:t>1、</w:t>
            </w:r>
            <w:r>
              <w:rPr>
                <w:rFonts w:hint="default" w:ascii="Times New Roman" w:hAnsi="Times New Roman" w:cs="Times New Roman"/>
                <w:b/>
                <w:bCs/>
                <w:color w:val="auto"/>
                <w:kern w:val="0"/>
                <w:sz w:val="24"/>
                <w:lang w:bidi="ar"/>
              </w:rPr>
              <w:t>大气</w:t>
            </w:r>
            <w:r>
              <w:rPr>
                <w:rFonts w:hint="default" w:ascii="Times New Roman" w:hAnsi="Times New Roman" w:cs="Times New Roman"/>
                <w:b/>
                <w:bCs/>
                <w:color w:val="auto"/>
                <w:kern w:val="0"/>
                <w:sz w:val="24"/>
                <w:lang w:eastAsia="zh-CN" w:bidi="ar"/>
              </w:rPr>
              <w:t>、</w:t>
            </w:r>
            <w:r>
              <w:rPr>
                <w:rFonts w:hint="default" w:ascii="Times New Roman" w:hAnsi="Times New Roman" w:cs="Times New Roman"/>
                <w:b/>
                <w:bCs/>
                <w:color w:val="auto"/>
                <w:kern w:val="0"/>
                <w:sz w:val="24"/>
                <w:lang w:val="en-US" w:eastAsia="zh-CN" w:bidi="ar"/>
              </w:rPr>
              <w:t>水</w:t>
            </w:r>
            <w:r>
              <w:rPr>
                <w:rFonts w:hint="default" w:ascii="Times New Roman" w:hAnsi="Times New Roman" w:cs="Times New Roman"/>
                <w:b/>
                <w:bCs/>
                <w:color w:val="auto"/>
                <w:kern w:val="0"/>
                <w:sz w:val="24"/>
                <w:lang w:bidi="ar"/>
              </w:rPr>
              <w:t>环境保护措施</w:t>
            </w:r>
          </w:p>
          <w:p w14:paraId="62C853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lang w:eastAsia="zh-CN"/>
              </w:rPr>
              <w:t>本项目</w:t>
            </w:r>
            <w:r>
              <w:rPr>
                <w:rFonts w:hint="default" w:ascii="Times New Roman" w:hAnsi="Times New Roman" w:eastAsia="宋体" w:cs="Times New Roman"/>
                <w:color w:val="auto"/>
                <w:sz w:val="24"/>
                <w:lang w:val="en-US" w:eastAsia="zh-CN"/>
              </w:rPr>
              <w:t>光</w:t>
            </w:r>
            <w:r>
              <w:rPr>
                <w:rFonts w:hint="default" w:ascii="Times New Roman" w:hAnsi="Times New Roman" w:eastAsia="宋体" w:cs="Times New Roman"/>
                <w:color w:val="auto"/>
                <w:sz w:val="24"/>
                <w:lang w:eastAsia="zh-CN"/>
              </w:rPr>
              <w:t>电是清洁能源，</w:t>
            </w:r>
            <w:r>
              <w:rPr>
                <w:rFonts w:hint="default" w:ascii="Times New Roman" w:hAnsi="Times New Roman" w:eastAsia="宋体" w:cs="Times New Roman"/>
                <w:color w:val="auto"/>
                <w:sz w:val="24"/>
                <w:lang w:val="en-US" w:eastAsia="zh-CN"/>
              </w:rPr>
              <w:t>风</w:t>
            </w:r>
            <w:r>
              <w:rPr>
                <w:rFonts w:hint="default" w:ascii="Times New Roman" w:hAnsi="Times New Roman" w:eastAsia="宋体" w:cs="Times New Roman"/>
                <w:color w:val="auto"/>
                <w:sz w:val="24"/>
                <w:lang w:eastAsia="zh-CN"/>
              </w:rPr>
              <w:t>电场项目建成投运后，在运营期电场区无废气</w:t>
            </w:r>
            <w:r>
              <w:rPr>
                <w:rFonts w:hint="default" w:ascii="Times New Roman" w:hAnsi="Times New Roman" w:eastAsia="宋体" w:cs="Times New Roman"/>
                <w:color w:val="auto"/>
                <w:sz w:val="24"/>
                <w:lang w:val="en-US" w:eastAsia="zh-CN"/>
              </w:rPr>
              <w:t>和废水的</w:t>
            </w:r>
            <w:r>
              <w:rPr>
                <w:rFonts w:hint="default" w:ascii="Times New Roman" w:hAnsi="Times New Roman" w:eastAsia="宋体" w:cs="Times New Roman"/>
                <w:color w:val="auto"/>
                <w:sz w:val="24"/>
                <w:lang w:eastAsia="zh-CN"/>
              </w:rPr>
              <w:t>产生，对空气、</w:t>
            </w:r>
            <w:r>
              <w:rPr>
                <w:rFonts w:hint="default" w:ascii="Times New Roman" w:hAnsi="Times New Roman" w:eastAsia="宋体" w:cs="Times New Roman"/>
                <w:color w:val="auto"/>
                <w:sz w:val="24"/>
                <w:lang w:val="en-US" w:eastAsia="zh-CN"/>
              </w:rPr>
              <w:t>水</w:t>
            </w:r>
            <w:r>
              <w:rPr>
                <w:rFonts w:hint="default" w:ascii="Times New Roman" w:hAnsi="Times New Roman" w:eastAsia="宋体" w:cs="Times New Roman"/>
                <w:color w:val="auto"/>
                <w:sz w:val="24"/>
                <w:lang w:eastAsia="zh-CN"/>
              </w:rPr>
              <w:t>环境质量无影响。</w:t>
            </w:r>
          </w:p>
          <w:p w14:paraId="69DAE22C">
            <w:pPr>
              <w:adjustRightInd w:val="0"/>
              <w:snapToGrid w:val="0"/>
              <w:spacing w:line="360" w:lineRule="auto"/>
              <w:ind w:firstLine="482" w:firstLineChars="200"/>
              <w:rPr>
                <w:rFonts w:hint="default" w:ascii="Times New Roman" w:hAnsi="Times New Roman" w:eastAsia="宋体" w:cs="Times New Roman"/>
                <w:b/>
                <w:bCs/>
                <w:color w:val="auto"/>
                <w:kern w:val="0"/>
                <w:sz w:val="24"/>
                <w:lang w:eastAsia="zh-CN" w:bidi="ar"/>
              </w:rPr>
            </w:pPr>
            <w:r>
              <w:rPr>
                <w:rFonts w:hint="default" w:ascii="Times New Roman" w:hAnsi="Times New Roman" w:cs="Times New Roman"/>
                <w:b/>
                <w:bCs/>
                <w:color w:val="auto"/>
                <w:kern w:val="0"/>
                <w:sz w:val="24"/>
                <w:lang w:val="en-US" w:eastAsia="zh-CN" w:bidi="ar"/>
              </w:rPr>
              <w:t>2、</w:t>
            </w:r>
            <w:r>
              <w:rPr>
                <w:rFonts w:hint="default" w:ascii="Times New Roman" w:hAnsi="Times New Roman" w:cs="Times New Roman"/>
                <w:b/>
                <w:bCs/>
                <w:color w:val="auto"/>
                <w:kern w:val="0"/>
                <w:sz w:val="24"/>
                <w:lang w:bidi="ar"/>
              </w:rPr>
              <w:t>声环境保护措施</w:t>
            </w:r>
          </w:p>
          <w:p w14:paraId="7441DE4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snapToGrid w:val="0"/>
                <w:color w:val="auto"/>
                <w:sz w:val="24"/>
                <w:lang w:eastAsia="zh-CN"/>
              </w:rPr>
            </w:pPr>
            <w:r>
              <w:rPr>
                <w:rFonts w:hint="default" w:ascii="Times New Roman" w:hAnsi="Times New Roman" w:cs="Times New Roman"/>
                <w:snapToGrid w:val="0"/>
                <w:color w:val="auto"/>
                <w:sz w:val="24"/>
                <w:lang w:eastAsia="zh-CN"/>
              </w:rPr>
              <w:t>首先选用出厂合格的低噪声组件；电子器件装置，在其说明书中有详细安装使用环境的要求，并且严格按照说明书进行安装。</w:t>
            </w:r>
          </w:p>
          <w:p w14:paraId="36FBA675">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color w:val="auto"/>
                <w:lang w:eastAsia="zh-CN"/>
              </w:rPr>
            </w:pPr>
            <w:r>
              <w:rPr>
                <w:rFonts w:hint="default" w:ascii="Times New Roman" w:hAnsi="Times New Roman" w:cs="Times New Roman"/>
                <w:b/>
                <w:bCs/>
                <w:color w:val="auto"/>
                <w:kern w:val="0"/>
                <w:sz w:val="24"/>
                <w:lang w:bidi="ar"/>
              </w:rPr>
              <w:t>4</w:t>
            </w:r>
            <w:r>
              <w:rPr>
                <w:rFonts w:hint="default" w:ascii="Times New Roman" w:hAnsi="Times New Roman" w:cs="Times New Roman"/>
                <w:b/>
                <w:bCs/>
                <w:color w:val="auto"/>
                <w:kern w:val="0"/>
                <w:sz w:val="24"/>
                <w:lang w:eastAsia="zh-CN" w:bidi="ar"/>
              </w:rPr>
              <w:t>、</w:t>
            </w:r>
            <w:r>
              <w:rPr>
                <w:rFonts w:hint="default" w:ascii="Times New Roman" w:hAnsi="Times New Roman" w:cs="Times New Roman"/>
                <w:b/>
                <w:bCs/>
                <w:color w:val="auto"/>
                <w:kern w:val="0"/>
                <w:sz w:val="24"/>
                <w:lang w:bidi="ar"/>
              </w:rPr>
              <w:t>固体废弃物环境保护措施</w:t>
            </w:r>
          </w:p>
          <w:p w14:paraId="74D34B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本项目营运期产生的固体废物主要是储能站的</w:t>
            </w:r>
            <w:r>
              <w:rPr>
                <w:rFonts w:hint="default" w:ascii="Times New Roman" w:hAnsi="Times New Roman" w:eastAsia="宋体" w:cs="Times New Roman"/>
                <w:color w:val="auto"/>
                <w:sz w:val="24"/>
                <w:szCs w:val="32"/>
              </w:rPr>
              <w:t>磷酸铁锂储能电池</w:t>
            </w:r>
            <w:r>
              <w:rPr>
                <w:rFonts w:hint="default" w:ascii="Times New Roman" w:hAnsi="Times New Roman" w:eastAsia="宋体" w:cs="Times New Roman"/>
                <w:color w:val="auto"/>
                <w:sz w:val="24"/>
                <w:szCs w:val="32"/>
                <w:lang w:val="en-US" w:eastAsia="zh-CN"/>
              </w:rPr>
              <w:t>、废蓄电池和含油抹布。</w:t>
            </w:r>
          </w:p>
          <w:p w14:paraId="21551E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lang w:val="en-US" w:eastAsia="zh-CN"/>
              </w:rPr>
              <w:t>（1）</w:t>
            </w:r>
            <w:r>
              <w:rPr>
                <w:rFonts w:hint="default" w:ascii="Times New Roman" w:hAnsi="Times New Roman" w:eastAsia="宋体" w:cs="Times New Roman"/>
                <w:color w:val="auto"/>
                <w:sz w:val="24"/>
                <w:szCs w:val="32"/>
              </w:rPr>
              <w:t>磷酸铁锂储能电池</w:t>
            </w:r>
          </w:p>
          <w:p w14:paraId="5293BF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本项目采用磷酸铁锂储能电池，寿命可达4-5年，产生量约0.5t/a</w:t>
            </w:r>
            <w:r>
              <w:rPr>
                <w:rFonts w:hint="default" w:ascii="Times New Roman" w:hAnsi="Times New Roman" w:cs="Times New Roman"/>
                <w:color w:val="auto"/>
                <w:sz w:val="24"/>
                <w:szCs w:val="32"/>
                <w:lang w:eastAsia="zh-CN"/>
              </w:rPr>
              <w:t>，</w:t>
            </w:r>
            <w:r>
              <w:rPr>
                <w:rFonts w:hint="default" w:ascii="Times New Roman" w:hAnsi="Times New Roman" w:eastAsia="宋体" w:cs="Times New Roman"/>
                <w:color w:val="auto"/>
                <w:sz w:val="24"/>
                <w:szCs w:val="32"/>
              </w:rPr>
              <w:t>虽然报废后不属于危险废物（根据《国家危险废物名录（2021年版）》），但其报废后不可同一般固体废物废弃、堆放，应由储能电池生产厂家回收</w:t>
            </w:r>
          </w:p>
          <w:p w14:paraId="5A4345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w:t>
            </w:r>
            <w:r>
              <w:rPr>
                <w:rFonts w:hint="default" w:ascii="Times New Roman" w:hAnsi="Times New Roman" w:cs="Times New Roman"/>
                <w:color w:val="auto"/>
                <w:sz w:val="24"/>
                <w:szCs w:val="32"/>
                <w:lang w:val="en-US" w:eastAsia="zh-CN"/>
              </w:rPr>
              <w:t>2</w:t>
            </w:r>
            <w:r>
              <w:rPr>
                <w:rFonts w:hint="default" w:ascii="Times New Roman" w:hAnsi="Times New Roman" w:eastAsia="宋体" w:cs="Times New Roman"/>
                <w:color w:val="auto"/>
                <w:sz w:val="24"/>
                <w:szCs w:val="32"/>
              </w:rPr>
              <w:t>）含油抹布</w:t>
            </w:r>
          </w:p>
          <w:p w14:paraId="32DE9B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含油抹布在设备维修维护过</w:t>
            </w:r>
            <w:r>
              <w:rPr>
                <w:rFonts w:hint="default" w:ascii="Times New Roman" w:hAnsi="Times New Roman" w:cs="Times New Roman"/>
                <w:color w:val="auto"/>
                <w:sz w:val="24"/>
                <w:szCs w:val="32"/>
                <w:lang w:val="en-US" w:eastAsia="zh-CN"/>
              </w:rPr>
              <w:t>程中</w:t>
            </w:r>
            <w:r>
              <w:rPr>
                <w:rFonts w:hint="default" w:ascii="Times New Roman" w:hAnsi="Times New Roman" w:eastAsia="宋体" w:cs="Times New Roman"/>
                <w:color w:val="auto"/>
                <w:sz w:val="24"/>
                <w:szCs w:val="32"/>
                <w:lang w:val="en-US" w:eastAsia="zh-CN"/>
              </w:rPr>
              <w:t>产生，根据建设单位提供资料，产生量约为0.01t/a，根据</w:t>
            </w:r>
            <w:r>
              <w:rPr>
                <w:rFonts w:hint="default" w:ascii="Times New Roman" w:hAnsi="Times New Roman" w:cs="Times New Roman"/>
                <w:color w:val="auto"/>
                <w:sz w:val="24"/>
                <w:szCs w:val="32"/>
                <w:lang w:val="en-US" w:eastAsia="zh-CN"/>
              </w:rPr>
              <w:t>《国家危险废物名录》（2025年）</w:t>
            </w:r>
            <w:r>
              <w:rPr>
                <w:rFonts w:hint="default" w:ascii="Times New Roman" w:hAnsi="Times New Roman" w:eastAsia="宋体" w:cs="Times New Roman"/>
                <w:color w:val="auto"/>
                <w:sz w:val="24"/>
                <w:szCs w:val="32"/>
                <w:lang w:val="en-US" w:eastAsia="zh-CN"/>
              </w:rPr>
              <w:t>，</w:t>
            </w:r>
            <w:r>
              <w:rPr>
                <w:rFonts w:hint="default" w:ascii="Times New Roman" w:hAnsi="Times New Roman" w:eastAsia="宋体" w:cs="Times New Roman"/>
                <w:color w:val="auto"/>
                <w:kern w:val="2"/>
                <w:sz w:val="24"/>
                <w:szCs w:val="24"/>
                <w:lang w:val="en-US" w:eastAsia="zh-CN" w:bidi="ar-SA"/>
              </w:rPr>
              <w:t>属于危险废物，废物代码为900-041-49（废弃的含油抹布、劳保用品），</w:t>
            </w:r>
            <w:r>
              <w:rPr>
                <w:rFonts w:hint="default" w:ascii="Times New Roman" w:hAnsi="Times New Roman" w:eastAsia="宋体" w:cs="Times New Roman"/>
                <w:color w:val="auto"/>
                <w:sz w:val="24"/>
                <w:szCs w:val="32"/>
                <w:lang w:val="en-US" w:eastAsia="zh-CN"/>
              </w:rPr>
              <w:t>收集暂存于危废暂存间内，定期交由有资质单位处理。</w:t>
            </w:r>
          </w:p>
          <w:p w14:paraId="62264F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（4）</w:t>
            </w:r>
            <w:r>
              <w:rPr>
                <w:rFonts w:hint="default" w:ascii="Times New Roman" w:hAnsi="Times New Roman" w:eastAsia="宋体" w:cs="Times New Roman"/>
                <w:color w:val="auto"/>
                <w:sz w:val="24"/>
                <w:szCs w:val="32"/>
                <w:lang w:val="en-US" w:eastAsia="zh-CN"/>
              </w:rPr>
              <w:t>废油</w:t>
            </w:r>
          </w:p>
          <w:p w14:paraId="6891E8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bCs/>
                <w:color w:val="auto"/>
                <w:sz w:val="24"/>
                <w:szCs w:val="24"/>
              </w:rPr>
            </w:pPr>
            <w:r>
              <w:rPr>
                <w:rFonts w:hint="default" w:ascii="Times New Roman" w:hAnsi="Times New Roman" w:eastAsia="宋体" w:cs="Times New Roman"/>
                <w:color w:val="auto"/>
                <w:sz w:val="24"/>
                <w:szCs w:val="32"/>
                <w:lang w:val="en-US" w:eastAsia="zh-CN"/>
              </w:rPr>
              <w:t>根据建设单位介绍，项目35kV箱式升压变压器单台冷却油量约为1t，则变压器废油最大产生量</w:t>
            </w:r>
            <w:r>
              <w:rPr>
                <w:rFonts w:hint="default" w:ascii="Times New Roman" w:hAnsi="Times New Roman" w:cs="Times New Roman"/>
                <w:color w:val="auto"/>
                <w:sz w:val="24"/>
                <w:szCs w:val="32"/>
                <w:lang w:val="en-US" w:eastAsia="zh-CN"/>
              </w:rPr>
              <w:t>30</w:t>
            </w:r>
            <w:r>
              <w:rPr>
                <w:rFonts w:hint="default" w:ascii="Times New Roman" w:hAnsi="Times New Roman" w:eastAsia="宋体" w:cs="Times New Roman"/>
                <w:color w:val="auto"/>
                <w:sz w:val="24"/>
                <w:szCs w:val="32"/>
                <w:lang w:val="en-US" w:eastAsia="zh-CN"/>
              </w:rPr>
              <w:t>t/a。经查，冷却油密度约为0.895t/m</w:t>
            </w:r>
            <w:r>
              <w:rPr>
                <w:rFonts w:hint="default" w:ascii="Times New Roman" w:hAnsi="Times New Roman" w:eastAsia="宋体" w:cs="Times New Roman"/>
                <w:color w:val="auto"/>
                <w:sz w:val="24"/>
                <w:szCs w:val="32"/>
                <w:vertAlign w:val="superscript"/>
                <w:lang w:val="en-US" w:eastAsia="zh-CN"/>
              </w:rPr>
              <w:t>3</w:t>
            </w:r>
            <w:r>
              <w:rPr>
                <w:rFonts w:hint="default" w:ascii="Times New Roman" w:hAnsi="Times New Roman" w:eastAsia="宋体" w:cs="Times New Roman"/>
                <w:color w:val="auto"/>
                <w:sz w:val="24"/>
                <w:szCs w:val="32"/>
                <w:lang w:val="en-US" w:eastAsia="zh-CN"/>
              </w:rPr>
              <w:t>，并按1.2的变化系数预留一定容量后取整，在箱式变压器周边各建设一座容积为2m</w:t>
            </w:r>
            <w:r>
              <w:rPr>
                <w:rFonts w:hint="default" w:ascii="Times New Roman" w:hAnsi="Times New Roman" w:eastAsia="宋体" w:cs="Times New Roman"/>
                <w:color w:val="auto"/>
                <w:sz w:val="24"/>
                <w:szCs w:val="32"/>
                <w:vertAlign w:val="superscript"/>
                <w:lang w:val="en-US" w:eastAsia="zh-CN"/>
              </w:rPr>
              <w:t>3</w:t>
            </w:r>
            <w:r>
              <w:rPr>
                <w:rFonts w:hint="default" w:ascii="Times New Roman" w:hAnsi="Times New Roman" w:eastAsia="宋体" w:cs="Times New Roman"/>
                <w:color w:val="auto"/>
                <w:sz w:val="24"/>
                <w:szCs w:val="32"/>
                <w:lang w:val="en-US" w:eastAsia="zh-CN"/>
              </w:rPr>
              <w:t>的事故油池，共建设</w:t>
            </w:r>
            <w:r>
              <w:rPr>
                <w:rFonts w:hint="default" w:ascii="Times New Roman" w:hAnsi="Times New Roman" w:cs="Times New Roman"/>
                <w:color w:val="auto"/>
                <w:sz w:val="24"/>
                <w:szCs w:val="32"/>
                <w:lang w:val="en-US" w:eastAsia="zh-CN"/>
              </w:rPr>
              <w:t>30</w:t>
            </w:r>
            <w:r>
              <w:rPr>
                <w:rFonts w:hint="default" w:ascii="Times New Roman" w:hAnsi="Times New Roman" w:eastAsia="宋体" w:cs="Times New Roman"/>
                <w:color w:val="auto"/>
                <w:sz w:val="24"/>
                <w:szCs w:val="32"/>
                <w:lang w:val="en-US" w:eastAsia="zh-CN"/>
              </w:rPr>
              <w:t>座，事故油池应当按照《危险废物贮存污染控制标准》（GB18597-2023）的要求进行建设，基础必须防渗，防渗层采用2mm厚高密度聚乙烯，或至少2mm厚的其他人工材料（渗透系数≤10</w:t>
            </w:r>
            <w:r>
              <w:rPr>
                <w:rFonts w:hint="default" w:ascii="Times New Roman" w:hAnsi="Times New Roman" w:eastAsia="宋体" w:cs="Times New Roman"/>
                <w:color w:val="auto"/>
                <w:sz w:val="24"/>
                <w:szCs w:val="32"/>
                <w:vertAlign w:val="superscript"/>
                <w:lang w:val="en-US" w:eastAsia="zh-CN"/>
              </w:rPr>
              <w:t>-10</w:t>
            </w:r>
            <w:r>
              <w:rPr>
                <w:rFonts w:hint="default" w:ascii="Times New Roman" w:hAnsi="Times New Roman" w:eastAsia="宋体" w:cs="Times New Roman"/>
                <w:color w:val="auto"/>
                <w:sz w:val="24"/>
                <w:szCs w:val="32"/>
                <w:lang w:val="en-US" w:eastAsia="zh-CN"/>
              </w:rPr>
              <w:t>cm/s）。根据《国家危险废物名录（2021版）》，变压器废油属于危险废物，废物类别属“HW08废矿物油与含矿物油废物”，废物代码为900-220-08，危险特性为T、I，物理性状为液态。变压器废油应严格按照《危</w:t>
            </w:r>
            <w:r>
              <w:rPr>
                <w:rFonts w:hint="default" w:ascii="Times New Roman" w:hAnsi="Times New Roman" w:cs="Times New Roman"/>
                <w:color w:val="auto"/>
                <w:sz w:val="24"/>
                <w:szCs w:val="32"/>
                <w:lang w:val="en-US" w:eastAsia="zh-CN"/>
              </w:rPr>
              <w:t>险废</w:t>
            </w:r>
            <w:r>
              <w:rPr>
                <w:rFonts w:hint="default" w:ascii="Times New Roman" w:hAnsi="Times New Roman" w:eastAsia="宋体" w:cs="Times New Roman"/>
                <w:color w:val="auto"/>
                <w:sz w:val="24"/>
                <w:szCs w:val="32"/>
                <w:lang w:val="en-US" w:eastAsia="zh-CN"/>
              </w:rPr>
              <w:t>物贮存污染控制标准》（GB18597-2023）要求进行贮存及管理，使用专用废液收集容器盛装收集，并贴上危险废物标签，经危废暂存间暂存后定期交由有资质的单位处理。</w:t>
            </w:r>
          </w:p>
          <w:p w14:paraId="6AE261C0">
            <w:pPr>
              <w:pStyle w:val="12"/>
              <w:keepNext w:val="0"/>
              <w:keepLines w:val="0"/>
              <w:pageBreakBefore w:val="0"/>
              <w:widowControl/>
              <w:numPr>
                <w:ilvl w:val="0"/>
                <w:numId w:val="0"/>
              </w:numPr>
              <w:kinsoku/>
              <w:wordWrap/>
              <w:overflowPunct/>
              <w:topLinePunct w:val="0"/>
              <w:autoSpaceDE/>
              <w:autoSpaceDN/>
              <w:bidi w:val="0"/>
              <w:adjustRightInd w:val="0"/>
              <w:snapToGrid w:val="0"/>
              <w:spacing w:before="0" w:after="0" w:line="360" w:lineRule="auto"/>
              <w:ind w:leftChars="0" w:right="0" w:rightChars="0" w:firstLine="482" w:firstLineChars="200"/>
              <w:textAlignment w:val="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5</w:t>
            </w:r>
            <w:r>
              <w:rPr>
                <w:rFonts w:hint="default" w:ascii="Times New Roman" w:hAnsi="Times New Roman" w:cs="Times New Roman"/>
                <w:b/>
                <w:bCs/>
                <w:color w:val="auto"/>
                <w:sz w:val="24"/>
                <w:szCs w:val="24"/>
                <w:lang w:eastAsia="zh-CN"/>
              </w:rPr>
              <w:t>、</w:t>
            </w:r>
            <w:r>
              <w:rPr>
                <w:rFonts w:hint="default" w:ascii="Times New Roman" w:hAnsi="Times New Roman" w:cs="Times New Roman"/>
                <w:b/>
                <w:bCs/>
                <w:color w:val="auto"/>
                <w:sz w:val="24"/>
                <w:szCs w:val="24"/>
              </w:rPr>
              <w:t>地下水、土壤环境保护措施</w:t>
            </w:r>
          </w:p>
          <w:p w14:paraId="2D0799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Cs/>
                <w:color w:val="auto"/>
                <w:spacing w:val="10"/>
                <w:sz w:val="24"/>
              </w:rPr>
            </w:pPr>
            <w:r>
              <w:rPr>
                <w:rFonts w:hint="default" w:ascii="Times New Roman" w:hAnsi="Times New Roman" w:cs="Times New Roman"/>
                <w:color w:val="auto"/>
                <w:kern w:val="0"/>
                <w:sz w:val="24"/>
              </w:rPr>
              <w:t>本项目厂界外500m范围内无地下水集中式饮用水水源和热水、矿泉水、温泉水等特殊地下水资源，场区无人值守，无生活污水产生。</w:t>
            </w:r>
          </w:p>
        </w:tc>
      </w:tr>
      <w:tr w14:paraId="52EBC1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3" w:hRule="atLeast"/>
          <w:jc w:val="center"/>
        </w:trPr>
        <w:tc>
          <w:tcPr>
            <w:tcW w:w="761" w:type="dxa"/>
            <w:noWrap w:val="0"/>
            <w:vAlign w:val="center"/>
          </w:tcPr>
          <w:p w14:paraId="6644028A">
            <w:pPr>
              <w:adjustRightInd w:val="0"/>
              <w:snapToGrid w:val="0"/>
              <w:jc w:val="center"/>
              <w:rPr>
                <w:rFonts w:hint="default" w:ascii="Times New Roman" w:hAnsi="Times New Roman" w:cs="Times New Roman"/>
                <w:bCs/>
                <w:color w:val="auto"/>
                <w:spacing w:val="10"/>
                <w:sz w:val="24"/>
              </w:rPr>
            </w:pPr>
            <w:r>
              <w:rPr>
                <w:rFonts w:hint="default" w:ascii="Times New Roman" w:hAnsi="Times New Roman" w:cs="Times New Roman"/>
                <w:bCs/>
                <w:color w:val="auto"/>
                <w:sz w:val="24"/>
              </w:rPr>
              <w:t>其他</w:t>
            </w:r>
          </w:p>
        </w:tc>
        <w:tc>
          <w:tcPr>
            <w:tcW w:w="8449" w:type="dxa"/>
            <w:noWrap w:val="0"/>
            <w:vAlign w:val="center"/>
          </w:tcPr>
          <w:p w14:paraId="60F82E73">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1、环境管理</w:t>
            </w:r>
          </w:p>
          <w:p w14:paraId="44DCBD6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（1）施工期环境管理措施</w:t>
            </w:r>
          </w:p>
          <w:p w14:paraId="2B97411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对施工队伍实行环保职责管理，在工程承包合同中，应包括有关环境保护的条款，对施工机械、施工方法、施工进度提出环境保护要求，以及对施工过程中扬尘、噪声排放强度等的限制和措施。要求施工单位按环保要求施工，并对施工过</w:t>
            </w:r>
            <w:r>
              <w:rPr>
                <w:rFonts w:hint="default" w:ascii="Times New Roman" w:hAnsi="Times New Roman" w:cs="Times New Roman"/>
                <w:color w:val="auto"/>
                <w:kern w:val="2"/>
                <w:sz w:val="24"/>
                <w:szCs w:val="24"/>
                <w:highlight w:val="none"/>
                <w:lang w:val="en-US" w:eastAsia="zh-CN" w:bidi="ar-SA"/>
              </w:rPr>
              <w:t>程中</w:t>
            </w:r>
            <w:r>
              <w:rPr>
                <w:rFonts w:hint="default" w:ascii="Times New Roman" w:hAnsi="Times New Roman" w:eastAsia="宋体" w:cs="Times New Roman"/>
                <w:color w:val="auto"/>
                <w:kern w:val="2"/>
                <w:sz w:val="24"/>
                <w:szCs w:val="24"/>
                <w:highlight w:val="none"/>
                <w:lang w:val="en-US" w:eastAsia="zh-CN" w:bidi="ar-SA"/>
              </w:rPr>
              <w:t>环保措施的实施进行检查、监督。</w:t>
            </w:r>
          </w:p>
          <w:p w14:paraId="1C9F0D4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（2）运营期的环境管理措施</w:t>
            </w:r>
          </w:p>
          <w:p w14:paraId="1CE07F4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本风电场环保工作要纳入公司管理中。风电场环保工作要合理</w:t>
            </w:r>
            <w:r>
              <w:rPr>
                <w:rFonts w:hint="default" w:ascii="Times New Roman" w:hAnsi="Times New Roman" w:eastAsia="宋体" w:cs="Times New Roman"/>
                <w:color w:val="auto"/>
                <w:kern w:val="2"/>
                <w:sz w:val="24"/>
                <w:szCs w:val="24"/>
                <w:highlight w:val="none"/>
                <w:lang w:val="en-US" w:eastAsia="zh-CN" w:bidi="ar-SA"/>
              </w:rPr>
              <w:t>部署</w:t>
            </w:r>
            <w:r>
              <w:rPr>
                <w:rFonts w:hint="default" w:ascii="Times New Roman" w:hAnsi="Times New Roman" w:eastAsia="宋体" w:cs="Times New Roman"/>
                <w:color w:val="auto"/>
                <w:kern w:val="2"/>
                <w:sz w:val="24"/>
                <w:szCs w:val="24"/>
                <w:highlight w:val="none"/>
                <w:lang w:val="en-US" w:eastAsia="zh-CN" w:bidi="ar-SA"/>
              </w:rPr>
              <w:t>、统一安排，使环境污染治理做到从源头开始实施；贯彻以防为主，防治结合的方针。电场的日常环境管理要有一整套行之有效的管理制度，落实具体责任和奖罚规定。公司要对环境保护工作统一管理，对本电场环保工作定期检查，并接受各级生态环境主管部门的监督。</w:t>
            </w:r>
          </w:p>
          <w:p w14:paraId="2A85A4B7">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2、施工期环境监测计划</w:t>
            </w:r>
          </w:p>
          <w:p w14:paraId="295BC0A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为了及时了解和掌握拟建项目施工期主要污染物的排放情况，建设单位应委托有资质的环境监测部门对其污染源和施工场界周边的环境质量进行监测，监测要求见表5-</w:t>
            </w:r>
            <w:r>
              <w:rPr>
                <w:rFonts w:hint="default" w:ascii="Times New Roman" w:hAnsi="Times New Roman"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w:t>
            </w:r>
          </w:p>
          <w:p w14:paraId="2C405021">
            <w:pPr>
              <w:pStyle w:val="3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textAlignment w:val="baseline"/>
              <w:rPr>
                <w:rFonts w:hint="default" w:ascii="Times New Roman" w:hAnsi="Times New Roman" w:eastAsia="黑体" w:cs="Times New Roman"/>
                <w:b w:val="0"/>
                <w:bCs/>
                <w:color w:val="auto"/>
                <w:spacing w:val="0"/>
                <w:kern w:val="2"/>
                <w:sz w:val="24"/>
                <w:szCs w:val="24"/>
              </w:rPr>
            </w:pPr>
            <w:r>
              <w:rPr>
                <w:rFonts w:hint="default" w:ascii="Times New Roman" w:hAnsi="Times New Roman" w:eastAsia="宋体" w:cs="Times New Roman"/>
                <w:b/>
                <w:bCs w:val="0"/>
                <w:color w:val="auto"/>
                <w:spacing w:val="0"/>
                <w:kern w:val="2"/>
                <w:sz w:val="21"/>
                <w:szCs w:val="21"/>
              </w:rPr>
              <w:t>表</w:t>
            </w:r>
            <w:r>
              <w:rPr>
                <w:rFonts w:hint="default" w:ascii="Times New Roman" w:hAnsi="Times New Roman" w:eastAsia="宋体" w:cs="Times New Roman"/>
                <w:b/>
                <w:bCs w:val="0"/>
                <w:color w:val="auto"/>
                <w:spacing w:val="0"/>
                <w:kern w:val="2"/>
                <w:sz w:val="21"/>
                <w:szCs w:val="21"/>
                <w:lang w:val="en-US" w:eastAsia="zh-CN"/>
              </w:rPr>
              <w:t>5-1</w:t>
            </w:r>
            <w:r>
              <w:rPr>
                <w:rFonts w:hint="default" w:ascii="Times New Roman" w:hAnsi="Times New Roman" w:eastAsia="宋体" w:cs="Times New Roman"/>
                <w:b/>
                <w:bCs w:val="0"/>
                <w:color w:val="auto"/>
                <w:spacing w:val="0"/>
                <w:kern w:val="2"/>
                <w:sz w:val="21"/>
                <w:szCs w:val="21"/>
              </w:rPr>
              <w:t>施工期环境监测要求</w:t>
            </w:r>
          </w:p>
          <w:tbl>
            <w:tblPr>
              <w:tblStyle w:val="22"/>
              <w:tblW w:w="499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545"/>
              <w:gridCol w:w="1393"/>
              <w:gridCol w:w="2267"/>
              <w:gridCol w:w="985"/>
              <w:gridCol w:w="1314"/>
            </w:tblGrid>
            <w:tr w14:paraId="28297C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72" w:hRule="atLeast"/>
                <w:jc w:val="center"/>
              </w:trPr>
              <w:tc>
                <w:tcPr>
                  <w:tcW w:w="1029" w:type="pct"/>
                  <w:tcBorders>
                    <w:tl2br w:val="nil"/>
                    <w:tr2bl w:val="nil"/>
                  </w:tcBorders>
                  <w:noWrap w:val="0"/>
                  <w:vAlign w:val="center"/>
                </w:tcPr>
                <w:p w14:paraId="4B5BBDC5">
                  <w:pPr>
                    <w:pStyle w:val="15"/>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监测类别</w:t>
                  </w:r>
                </w:p>
              </w:tc>
              <w:tc>
                <w:tcPr>
                  <w:tcW w:w="928" w:type="pct"/>
                  <w:tcBorders>
                    <w:tl2br w:val="nil"/>
                    <w:tr2bl w:val="nil"/>
                  </w:tcBorders>
                  <w:noWrap w:val="0"/>
                  <w:vAlign w:val="center"/>
                </w:tcPr>
                <w:p w14:paraId="08861617">
                  <w:pPr>
                    <w:pStyle w:val="15"/>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监测项目</w:t>
                  </w:r>
                </w:p>
              </w:tc>
              <w:tc>
                <w:tcPr>
                  <w:tcW w:w="1510" w:type="pct"/>
                  <w:tcBorders>
                    <w:tl2br w:val="nil"/>
                    <w:tr2bl w:val="nil"/>
                  </w:tcBorders>
                  <w:noWrap w:val="0"/>
                  <w:vAlign w:val="center"/>
                </w:tcPr>
                <w:p w14:paraId="6AE36C07">
                  <w:pPr>
                    <w:pStyle w:val="15"/>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监测点位置</w:t>
                  </w:r>
                </w:p>
              </w:tc>
              <w:tc>
                <w:tcPr>
                  <w:tcW w:w="656" w:type="pct"/>
                  <w:tcBorders>
                    <w:tl2br w:val="nil"/>
                    <w:tr2bl w:val="nil"/>
                  </w:tcBorders>
                  <w:noWrap w:val="0"/>
                  <w:vAlign w:val="center"/>
                </w:tcPr>
                <w:p w14:paraId="468F3454">
                  <w:pPr>
                    <w:pStyle w:val="15"/>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测点数</w:t>
                  </w:r>
                </w:p>
              </w:tc>
              <w:tc>
                <w:tcPr>
                  <w:tcW w:w="875" w:type="pct"/>
                  <w:tcBorders>
                    <w:tl2br w:val="nil"/>
                    <w:tr2bl w:val="nil"/>
                  </w:tcBorders>
                  <w:noWrap w:val="0"/>
                  <w:vAlign w:val="center"/>
                </w:tcPr>
                <w:p w14:paraId="684A417E">
                  <w:pPr>
                    <w:pStyle w:val="15"/>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监测频次</w:t>
                  </w:r>
                </w:p>
              </w:tc>
            </w:tr>
            <w:tr w14:paraId="1413161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9" w:hRule="atLeast"/>
                <w:jc w:val="center"/>
              </w:trPr>
              <w:tc>
                <w:tcPr>
                  <w:tcW w:w="1029" w:type="pct"/>
                  <w:tcBorders>
                    <w:tl2br w:val="nil"/>
                    <w:tr2bl w:val="nil"/>
                  </w:tcBorders>
                  <w:noWrap w:val="0"/>
                  <w:vAlign w:val="center"/>
                </w:tcPr>
                <w:p w14:paraId="0B3B8298">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场界噪声</w:t>
                  </w:r>
                </w:p>
              </w:tc>
              <w:tc>
                <w:tcPr>
                  <w:tcW w:w="928" w:type="pct"/>
                  <w:tcBorders>
                    <w:tl2br w:val="nil"/>
                    <w:tr2bl w:val="nil"/>
                  </w:tcBorders>
                  <w:noWrap w:val="0"/>
                  <w:vAlign w:val="center"/>
                </w:tcPr>
                <w:p w14:paraId="5426709F">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施工场界Leq(A)</w:t>
                  </w:r>
                </w:p>
              </w:tc>
              <w:tc>
                <w:tcPr>
                  <w:tcW w:w="1510" w:type="pct"/>
                  <w:tcBorders>
                    <w:tl2br w:val="nil"/>
                    <w:tr2bl w:val="nil"/>
                  </w:tcBorders>
                  <w:noWrap w:val="0"/>
                  <w:vAlign w:val="center"/>
                </w:tcPr>
                <w:p w14:paraId="51392600">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施工场界四周</w:t>
                  </w:r>
                </w:p>
              </w:tc>
              <w:tc>
                <w:tcPr>
                  <w:tcW w:w="656" w:type="pct"/>
                  <w:tcBorders>
                    <w:tl2br w:val="nil"/>
                    <w:tr2bl w:val="nil"/>
                  </w:tcBorders>
                  <w:noWrap w:val="0"/>
                  <w:vAlign w:val="center"/>
                </w:tcPr>
                <w:p w14:paraId="2A672670">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875" w:type="pct"/>
                  <w:tcBorders>
                    <w:tl2br w:val="nil"/>
                    <w:tr2bl w:val="nil"/>
                  </w:tcBorders>
                  <w:noWrap w:val="0"/>
                  <w:vAlign w:val="center"/>
                </w:tcPr>
                <w:p w14:paraId="68E80C95">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每季一次</w:t>
                  </w:r>
                </w:p>
              </w:tc>
            </w:tr>
            <w:tr w14:paraId="5E1420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7" w:hRule="atLeast"/>
                <w:jc w:val="center"/>
              </w:trPr>
              <w:tc>
                <w:tcPr>
                  <w:tcW w:w="1029" w:type="pct"/>
                  <w:tcBorders>
                    <w:tl2br w:val="nil"/>
                    <w:tr2bl w:val="nil"/>
                  </w:tcBorders>
                  <w:noWrap w:val="0"/>
                  <w:vAlign w:val="center"/>
                </w:tcPr>
                <w:p w14:paraId="05D47E7A">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环境空气</w:t>
                  </w:r>
                </w:p>
              </w:tc>
              <w:tc>
                <w:tcPr>
                  <w:tcW w:w="928" w:type="pct"/>
                  <w:tcBorders>
                    <w:tl2br w:val="nil"/>
                    <w:tr2bl w:val="nil"/>
                  </w:tcBorders>
                  <w:noWrap w:val="0"/>
                  <w:vAlign w:val="center"/>
                </w:tcPr>
                <w:p w14:paraId="607860F4">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TSP</w:t>
                  </w:r>
                </w:p>
              </w:tc>
              <w:tc>
                <w:tcPr>
                  <w:tcW w:w="1510" w:type="pct"/>
                  <w:tcBorders>
                    <w:tl2br w:val="nil"/>
                    <w:tr2bl w:val="nil"/>
                  </w:tcBorders>
                  <w:noWrap w:val="0"/>
                  <w:vAlign w:val="center"/>
                </w:tcPr>
                <w:p w14:paraId="6E505A04">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施工场地上、下风向</w:t>
                  </w:r>
                </w:p>
              </w:tc>
              <w:tc>
                <w:tcPr>
                  <w:tcW w:w="656" w:type="pct"/>
                  <w:tcBorders>
                    <w:tl2br w:val="nil"/>
                    <w:tr2bl w:val="nil"/>
                  </w:tcBorders>
                  <w:noWrap w:val="0"/>
                  <w:vAlign w:val="center"/>
                </w:tcPr>
                <w:p w14:paraId="4685F8CF">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875" w:type="pct"/>
                  <w:tcBorders>
                    <w:tl2br w:val="nil"/>
                    <w:tr2bl w:val="nil"/>
                  </w:tcBorders>
                  <w:noWrap w:val="0"/>
                  <w:vAlign w:val="center"/>
                </w:tcPr>
                <w:p w14:paraId="64D163F1">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每季一次</w:t>
                  </w:r>
                </w:p>
              </w:tc>
            </w:tr>
          </w:tbl>
          <w:p w14:paraId="165EFF53">
            <w:pPr>
              <w:pStyle w:val="15"/>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firstLine="482" w:firstLineChars="200"/>
              <w:textAlignment w:val="auto"/>
              <w:rPr>
                <w:rFonts w:hint="default" w:ascii="Times New Roman" w:hAnsi="Times New Roman" w:eastAsia="宋体" w:cs="Times New Roman"/>
                <w:b/>
                <w:bCs/>
                <w:color w:val="auto"/>
              </w:rPr>
            </w:pPr>
            <w:r>
              <w:rPr>
                <w:rFonts w:hint="default" w:ascii="Times New Roman" w:hAnsi="Times New Roman" w:eastAsia="宋体" w:cs="Times New Roman"/>
                <w:b/>
                <w:bCs/>
                <w:color w:val="auto"/>
                <w:lang w:val="en-US" w:eastAsia="zh-CN"/>
              </w:rPr>
              <w:t>3、</w:t>
            </w:r>
            <w:r>
              <w:rPr>
                <w:rFonts w:hint="default" w:ascii="Times New Roman" w:hAnsi="Times New Roman" w:eastAsia="宋体" w:cs="Times New Roman"/>
                <w:b/>
                <w:bCs/>
                <w:color w:val="auto"/>
              </w:rPr>
              <w:t>运营期环境监测计划</w:t>
            </w:r>
          </w:p>
          <w:p w14:paraId="6F6C2033">
            <w:pPr>
              <w:pStyle w:val="15"/>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运营期监测内容见表</w:t>
            </w:r>
            <w:r>
              <w:rPr>
                <w:rFonts w:hint="default" w:ascii="Times New Roman" w:hAnsi="Times New Roman" w:eastAsia="宋体" w:cs="Times New Roman"/>
                <w:color w:val="auto"/>
                <w:lang w:val="en-US" w:eastAsia="zh-CN"/>
              </w:rPr>
              <w:t>5-</w:t>
            </w:r>
            <w:r>
              <w:rPr>
                <w:rFonts w:hint="default" w:ascii="Times New Roman" w:hAnsi="Times New Roman" w:eastAsia="宋体" w:cs="Times New Roman"/>
                <w:color w:val="auto"/>
                <w:lang w:val="en-US" w:eastAsia="zh-CN"/>
              </w:rPr>
              <w:t>2</w:t>
            </w:r>
            <w:r>
              <w:rPr>
                <w:rFonts w:hint="default" w:ascii="Times New Roman" w:hAnsi="Times New Roman" w:eastAsia="宋体" w:cs="Times New Roman"/>
                <w:color w:val="auto"/>
              </w:rPr>
              <w:t>。</w:t>
            </w:r>
          </w:p>
          <w:p w14:paraId="4AA51D2F">
            <w:pPr>
              <w:pStyle w:val="3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textAlignment w:val="baseline"/>
              <w:rPr>
                <w:rFonts w:hint="default" w:ascii="Times New Roman" w:hAnsi="Times New Roman" w:eastAsia="宋体" w:cs="Times New Roman"/>
                <w:b/>
                <w:bCs w:val="0"/>
                <w:color w:val="auto"/>
                <w:spacing w:val="0"/>
                <w:kern w:val="2"/>
                <w:sz w:val="21"/>
                <w:szCs w:val="21"/>
              </w:rPr>
            </w:pPr>
            <w:r>
              <w:rPr>
                <w:rFonts w:hint="default" w:ascii="Times New Roman" w:hAnsi="Times New Roman" w:eastAsia="宋体" w:cs="Times New Roman"/>
                <w:b/>
                <w:bCs w:val="0"/>
                <w:color w:val="auto"/>
                <w:spacing w:val="0"/>
                <w:kern w:val="2"/>
                <w:sz w:val="21"/>
                <w:szCs w:val="21"/>
              </w:rPr>
              <w:t>表</w:t>
            </w:r>
            <w:r>
              <w:rPr>
                <w:rFonts w:hint="default" w:ascii="Times New Roman" w:hAnsi="Times New Roman" w:eastAsia="宋体" w:cs="Times New Roman"/>
                <w:b/>
                <w:bCs w:val="0"/>
                <w:color w:val="auto"/>
                <w:spacing w:val="0"/>
                <w:kern w:val="2"/>
                <w:sz w:val="21"/>
                <w:szCs w:val="21"/>
                <w:lang w:val="en-US" w:eastAsia="zh-CN"/>
              </w:rPr>
              <w:t>5-</w:t>
            </w:r>
            <w:r>
              <w:rPr>
                <w:rFonts w:hint="default" w:ascii="Times New Roman" w:hAnsi="Times New Roman" w:eastAsia="宋体" w:cs="Times New Roman"/>
                <w:b/>
                <w:bCs w:val="0"/>
                <w:color w:val="auto"/>
                <w:spacing w:val="0"/>
                <w:kern w:val="2"/>
                <w:sz w:val="21"/>
                <w:szCs w:val="21"/>
                <w:lang w:val="en-US" w:eastAsia="zh-CN"/>
              </w:rPr>
              <w:t>2</w:t>
            </w:r>
            <w:r>
              <w:rPr>
                <w:rFonts w:hint="default" w:ascii="Times New Roman" w:hAnsi="Times New Roman" w:eastAsia="宋体" w:cs="Times New Roman"/>
                <w:b/>
                <w:bCs w:val="0"/>
                <w:color w:val="auto"/>
                <w:spacing w:val="0"/>
                <w:kern w:val="2"/>
                <w:sz w:val="21"/>
                <w:szCs w:val="21"/>
              </w:rPr>
              <w:t>运营期环境监测计划表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73"/>
              <w:gridCol w:w="1004"/>
              <w:gridCol w:w="1235"/>
              <w:gridCol w:w="3040"/>
              <w:gridCol w:w="1850"/>
            </w:tblGrid>
            <w:tr w14:paraId="40EB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7" w:hRule="atLeast"/>
                <w:jc w:val="center"/>
              </w:trPr>
              <w:tc>
                <w:tcPr>
                  <w:tcW w:w="0" w:type="auto"/>
                  <w:tcBorders>
                    <w:tl2br w:val="nil"/>
                    <w:tr2bl w:val="nil"/>
                  </w:tcBorders>
                  <w:noWrap w:val="0"/>
                  <w:vAlign w:val="center"/>
                </w:tcPr>
                <w:p w14:paraId="340ECB65">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2332" w:type="dxa"/>
                  <w:gridSpan w:val="2"/>
                  <w:tcBorders>
                    <w:tl2br w:val="nil"/>
                    <w:tr2bl w:val="nil"/>
                  </w:tcBorders>
                  <w:noWrap w:val="0"/>
                  <w:vAlign w:val="center"/>
                </w:tcPr>
                <w:p w14:paraId="17F82790">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监测内容</w:t>
                  </w:r>
                </w:p>
              </w:tc>
              <w:tc>
                <w:tcPr>
                  <w:tcW w:w="3040" w:type="dxa"/>
                  <w:tcBorders>
                    <w:tl2br w:val="nil"/>
                    <w:tr2bl w:val="nil"/>
                  </w:tcBorders>
                  <w:noWrap w:val="0"/>
                  <w:vAlign w:val="center"/>
                </w:tcPr>
                <w:p w14:paraId="283B1D33">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监测因子、频率</w:t>
                  </w:r>
                </w:p>
              </w:tc>
              <w:tc>
                <w:tcPr>
                  <w:tcW w:w="0" w:type="auto"/>
                  <w:tcBorders>
                    <w:tl2br w:val="nil"/>
                    <w:tr2bl w:val="nil"/>
                  </w:tcBorders>
                  <w:noWrap w:val="0"/>
                  <w:vAlign w:val="center"/>
                </w:tcPr>
                <w:p w14:paraId="4D58AADA">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监测点位</w:t>
                  </w:r>
                </w:p>
              </w:tc>
            </w:tr>
            <w:tr w14:paraId="5285D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14" w:hRule="atLeast"/>
                <w:jc w:val="center"/>
              </w:trPr>
              <w:tc>
                <w:tcPr>
                  <w:tcW w:w="0" w:type="auto"/>
                  <w:vMerge w:val="restart"/>
                  <w:tcBorders>
                    <w:tl2br w:val="nil"/>
                    <w:tr2bl w:val="nil"/>
                  </w:tcBorders>
                  <w:noWrap w:val="0"/>
                  <w:vAlign w:val="center"/>
                </w:tcPr>
                <w:p w14:paraId="398868A1">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0" w:type="auto"/>
                  <w:vMerge w:val="restart"/>
                  <w:tcBorders>
                    <w:tl2br w:val="nil"/>
                    <w:tr2bl w:val="nil"/>
                  </w:tcBorders>
                  <w:noWrap w:val="0"/>
                  <w:vAlign w:val="center"/>
                </w:tcPr>
                <w:p w14:paraId="4F7BA06E">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生态环境质量监控</w:t>
                  </w:r>
                </w:p>
              </w:tc>
              <w:tc>
                <w:tcPr>
                  <w:tcW w:w="1235" w:type="dxa"/>
                  <w:tcBorders>
                    <w:tl2br w:val="nil"/>
                    <w:tr2bl w:val="nil"/>
                  </w:tcBorders>
                  <w:noWrap w:val="0"/>
                  <w:vAlign w:val="center"/>
                </w:tcPr>
                <w:p w14:paraId="11482080">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草场植被</w:t>
                  </w:r>
                </w:p>
              </w:tc>
              <w:tc>
                <w:tcPr>
                  <w:tcW w:w="3040" w:type="dxa"/>
                  <w:tcBorders>
                    <w:tl2br w:val="nil"/>
                    <w:tr2bl w:val="nil"/>
                  </w:tcBorders>
                  <w:noWrap w:val="0"/>
                  <w:vAlign w:val="center"/>
                </w:tcPr>
                <w:p w14:paraId="136B19BB">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1.调查项目：植被类型、植物的种类、组成、高度、盖度、产量</w:t>
                  </w:r>
                </w:p>
                <w:p w14:paraId="6432E247">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2.调查频率：1次/年</w:t>
                  </w:r>
                </w:p>
              </w:tc>
              <w:tc>
                <w:tcPr>
                  <w:tcW w:w="0" w:type="auto"/>
                  <w:tcBorders>
                    <w:tl2br w:val="nil"/>
                    <w:tr2bl w:val="nil"/>
                  </w:tcBorders>
                  <w:noWrap w:val="0"/>
                  <w:vAlign w:val="center"/>
                </w:tcPr>
                <w:p w14:paraId="27D38AD7">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进场道路两侧等布设3~5个调查点</w:t>
                  </w:r>
                </w:p>
              </w:tc>
            </w:tr>
            <w:tr w14:paraId="045D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3" w:hRule="atLeast"/>
                <w:jc w:val="center"/>
              </w:trPr>
              <w:tc>
                <w:tcPr>
                  <w:tcW w:w="0" w:type="auto"/>
                  <w:vMerge w:val="continue"/>
                  <w:tcBorders>
                    <w:tl2br w:val="nil"/>
                    <w:tr2bl w:val="nil"/>
                  </w:tcBorders>
                  <w:noWrap w:val="0"/>
                  <w:vAlign w:val="center"/>
                </w:tcPr>
                <w:p w14:paraId="16282465">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p>
              </w:tc>
              <w:tc>
                <w:tcPr>
                  <w:tcW w:w="0" w:type="auto"/>
                  <w:vMerge w:val="continue"/>
                  <w:tcBorders>
                    <w:tl2br w:val="nil"/>
                    <w:tr2bl w:val="nil"/>
                  </w:tcBorders>
                  <w:noWrap w:val="0"/>
                  <w:vAlign w:val="center"/>
                </w:tcPr>
                <w:p w14:paraId="2907F62A">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p>
              </w:tc>
              <w:tc>
                <w:tcPr>
                  <w:tcW w:w="1235" w:type="dxa"/>
                  <w:tcBorders>
                    <w:tl2br w:val="nil"/>
                    <w:tr2bl w:val="nil"/>
                  </w:tcBorders>
                  <w:noWrap w:val="0"/>
                  <w:vAlign w:val="center"/>
                </w:tcPr>
                <w:p w14:paraId="3C6A9ECC">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en-US"/>
                    </w:rPr>
                    <w:t>生物多样性</w:t>
                  </w:r>
                </w:p>
              </w:tc>
              <w:tc>
                <w:tcPr>
                  <w:tcW w:w="3040" w:type="dxa"/>
                  <w:tcBorders>
                    <w:tl2br w:val="nil"/>
                    <w:tr2bl w:val="nil"/>
                  </w:tcBorders>
                  <w:noWrap w:val="0"/>
                  <w:vAlign w:val="center"/>
                </w:tcPr>
                <w:p w14:paraId="71165CCB">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1.调查项目：物种数</w:t>
                  </w:r>
                </w:p>
                <w:p w14:paraId="1C69171A">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2.调查频率：1次/年</w:t>
                  </w:r>
                </w:p>
              </w:tc>
              <w:tc>
                <w:tcPr>
                  <w:tcW w:w="0" w:type="auto"/>
                  <w:tcBorders>
                    <w:tl2br w:val="nil"/>
                    <w:tr2bl w:val="nil"/>
                  </w:tcBorders>
                  <w:noWrap w:val="0"/>
                  <w:vAlign w:val="center"/>
                </w:tcPr>
                <w:p w14:paraId="120837EE">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en-US"/>
                    </w:rPr>
                    <w:t>进场道路沿线</w:t>
                  </w:r>
                </w:p>
              </w:tc>
            </w:tr>
            <w:tr w14:paraId="0DD4C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3" w:hRule="atLeast"/>
                <w:jc w:val="center"/>
              </w:trPr>
              <w:tc>
                <w:tcPr>
                  <w:tcW w:w="0" w:type="auto"/>
                  <w:tcBorders>
                    <w:tl2br w:val="nil"/>
                    <w:tr2bl w:val="nil"/>
                  </w:tcBorders>
                  <w:noWrap w:val="0"/>
                  <w:vAlign w:val="center"/>
                </w:tcPr>
                <w:p w14:paraId="655672C2">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2332" w:type="dxa"/>
                  <w:gridSpan w:val="2"/>
                  <w:tcBorders>
                    <w:tl2br w:val="nil"/>
                    <w:tr2bl w:val="nil"/>
                  </w:tcBorders>
                  <w:noWrap w:val="0"/>
                  <w:vAlign w:val="center"/>
                </w:tcPr>
                <w:p w14:paraId="71C01585">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声环境质量监测</w:t>
                  </w:r>
                </w:p>
              </w:tc>
              <w:tc>
                <w:tcPr>
                  <w:tcW w:w="3040" w:type="dxa"/>
                  <w:tcBorders>
                    <w:tl2br w:val="nil"/>
                    <w:tr2bl w:val="nil"/>
                  </w:tcBorders>
                  <w:noWrap w:val="0"/>
                  <w:vAlign w:val="center"/>
                </w:tcPr>
                <w:p w14:paraId="5F235170">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1.监测项目：厂界噪声</w:t>
                  </w:r>
                </w:p>
                <w:p w14:paraId="31D6735D">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2.监测频率：1~2次/年，昼、夜各一次</w:t>
                  </w:r>
                </w:p>
              </w:tc>
              <w:tc>
                <w:tcPr>
                  <w:tcW w:w="0" w:type="auto"/>
                  <w:tcBorders>
                    <w:tl2br w:val="nil"/>
                    <w:tr2bl w:val="nil"/>
                  </w:tcBorders>
                  <w:noWrap w:val="0"/>
                  <w:vAlign w:val="center"/>
                </w:tcPr>
                <w:p w14:paraId="7D8A0880">
                  <w:pPr>
                    <w:pStyle w:val="15"/>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电场</w:t>
                  </w:r>
                  <w:r>
                    <w:rPr>
                      <w:rFonts w:hint="default" w:ascii="Times New Roman" w:hAnsi="Times New Roman" w:eastAsia="宋体" w:cs="Times New Roman"/>
                      <w:color w:val="auto"/>
                      <w:sz w:val="21"/>
                      <w:szCs w:val="21"/>
                    </w:rPr>
                    <w:t>四周各布设一个监测点；</w:t>
                  </w:r>
                </w:p>
              </w:tc>
            </w:tr>
          </w:tbl>
          <w:p w14:paraId="120EE7F5">
            <w:pPr>
              <w:pStyle w:val="15"/>
              <w:numPr>
                <w:ilvl w:val="0"/>
                <w:numId w:val="0"/>
              </w:numPr>
              <w:spacing w:before="0" w:beforeLines="0" w:after="0" w:afterLines="0" w:line="520" w:lineRule="exact"/>
              <w:ind w:leftChars="0" w:firstLine="482" w:firstLineChars="200"/>
              <w:rPr>
                <w:rFonts w:hint="default" w:ascii="Times New Roman" w:hAnsi="Times New Roman" w:eastAsia="宋体" w:cs="Times New Roman"/>
                <w:b/>
                <w:bCs/>
                <w:color w:val="auto"/>
              </w:rPr>
            </w:pPr>
            <w:r>
              <w:rPr>
                <w:rFonts w:hint="default" w:ascii="Times New Roman" w:hAnsi="Times New Roman" w:eastAsia="宋体" w:cs="Times New Roman"/>
                <w:b/>
                <w:bCs/>
                <w:color w:val="auto"/>
                <w:lang w:val="en-US" w:eastAsia="zh-CN"/>
              </w:rPr>
              <w:t>4、</w:t>
            </w:r>
            <w:r>
              <w:rPr>
                <w:rFonts w:hint="default" w:ascii="Times New Roman" w:hAnsi="Times New Roman" w:eastAsia="宋体" w:cs="Times New Roman"/>
                <w:b/>
                <w:bCs/>
                <w:color w:val="auto"/>
              </w:rPr>
              <w:t>“三同时”制度</w:t>
            </w:r>
          </w:p>
          <w:p w14:paraId="4D935B87">
            <w:pPr>
              <w:pStyle w:val="15"/>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firstLine="48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根据《建设项目环境保护“三同时”管理办法》，工程建设过程中的污染防治措施必须与建设项目同时设计、同时施工、同时投入运行。建设项目与“三同时”污染防治措施业主必须自主验收合格后才能正式投入运行。防治污染的设施不得擅自拆除或闲置。</w:t>
            </w:r>
          </w:p>
          <w:p w14:paraId="264CC139">
            <w:pPr>
              <w:pStyle w:val="15"/>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firstLine="48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环保“三同时”竣工验收见表</w:t>
            </w:r>
            <w:r>
              <w:rPr>
                <w:rFonts w:hint="default" w:ascii="Times New Roman" w:hAnsi="Times New Roman" w:eastAsia="宋体" w:cs="Times New Roman"/>
                <w:color w:val="auto"/>
                <w:lang w:val="en-US" w:eastAsia="zh-CN"/>
              </w:rPr>
              <w:t>5-</w:t>
            </w:r>
            <w:r>
              <w:rPr>
                <w:rFonts w:hint="default" w:ascii="Times New Roman" w:hAnsi="Times New Roman" w:eastAsia="宋体" w:cs="Times New Roman"/>
                <w:color w:val="auto"/>
                <w:lang w:val="en-US" w:eastAsia="zh-CN"/>
              </w:rPr>
              <w:t>3</w:t>
            </w:r>
            <w:r>
              <w:rPr>
                <w:rFonts w:hint="default" w:ascii="Times New Roman" w:hAnsi="Times New Roman" w:eastAsia="宋体" w:cs="Times New Roman"/>
                <w:color w:val="auto"/>
              </w:rPr>
              <w:t>。</w:t>
            </w:r>
          </w:p>
          <w:p w14:paraId="60F6FFD7">
            <w:pPr>
              <w:pStyle w:val="3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textAlignment w:val="baseline"/>
              <w:rPr>
                <w:rFonts w:hint="default" w:ascii="Times New Roman" w:hAnsi="Times New Roman" w:eastAsia="黑体" w:cs="Times New Roman"/>
                <w:b w:val="0"/>
                <w:bCs/>
                <w:color w:val="auto"/>
                <w:spacing w:val="0"/>
                <w:kern w:val="2"/>
                <w:sz w:val="24"/>
                <w:szCs w:val="24"/>
                <w:lang w:val="en-US" w:eastAsia="zh-CN"/>
              </w:rPr>
            </w:pPr>
            <w:r>
              <w:rPr>
                <w:rFonts w:hint="default" w:ascii="Times New Roman" w:hAnsi="Times New Roman" w:eastAsia="宋体" w:cs="Times New Roman"/>
                <w:b/>
                <w:bCs w:val="0"/>
                <w:color w:val="auto"/>
                <w:spacing w:val="0"/>
                <w:kern w:val="2"/>
                <w:sz w:val="21"/>
                <w:szCs w:val="21"/>
                <w:lang w:val="en-US" w:eastAsia="zh-CN"/>
              </w:rPr>
              <w:t>表5-</w:t>
            </w:r>
            <w:r>
              <w:rPr>
                <w:rFonts w:hint="default" w:ascii="Times New Roman" w:hAnsi="Times New Roman" w:eastAsia="宋体" w:cs="Times New Roman"/>
                <w:b/>
                <w:bCs w:val="0"/>
                <w:color w:val="auto"/>
                <w:spacing w:val="0"/>
                <w:kern w:val="2"/>
                <w:sz w:val="21"/>
                <w:szCs w:val="21"/>
                <w:lang w:val="en-US" w:eastAsia="zh-CN"/>
              </w:rPr>
              <w:t>3</w:t>
            </w:r>
            <w:r>
              <w:rPr>
                <w:rFonts w:hint="default" w:ascii="Times New Roman" w:hAnsi="Times New Roman" w:eastAsia="宋体" w:cs="Times New Roman"/>
                <w:b/>
                <w:bCs w:val="0"/>
                <w:color w:val="auto"/>
                <w:spacing w:val="0"/>
                <w:kern w:val="2"/>
                <w:sz w:val="21"/>
                <w:szCs w:val="21"/>
                <w:lang w:val="en-US" w:eastAsia="zh-CN"/>
              </w:rPr>
              <w:t>“三同时”环保竣工验收内容</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2"/>
              <w:gridCol w:w="1695"/>
              <w:gridCol w:w="5345"/>
            </w:tblGrid>
            <w:tr w14:paraId="6D879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0" w:type="auto"/>
                  <w:tcBorders>
                    <w:tl2br w:val="nil"/>
                    <w:tr2bl w:val="nil"/>
                  </w:tcBorders>
                  <w:noWrap w:val="0"/>
                  <w:vAlign w:val="center"/>
                </w:tcPr>
                <w:p w14:paraId="774C5C4A">
                  <w:pPr>
                    <w:spacing w:line="240" w:lineRule="auto"/>
                    <w:jc w:val="center"/>
                    <w:rPr>
                      <w:rFonts w:hint="default" w:ascii="Times New Roman" w:hAnsi="Times New Roman" w:eastAsia="宋体" w:cs="Times New Roman"/>
                      <w:b/>
                      <w:bCs w:val="0"/>
                      <w:color w:val="auto"/>
                    </w:rPr>
                  </w:pPr>
                  <w:r>
                    <w:rPr>
                      <w:rFonts w:hint="default" w:ascii="Times New Roman" w:hAnsi="Times New Roman" w:eastAsia="宋体" w:cs="Times New Roman"/>
                      <w:b/>
                      <w:bCs w:val="0"/>
                      <w:color w:val="auto"/>
                    </w:rPr>
                    <w:t>序号</w:t>
                  </w:r>
                </w:p>
              </w:tc>
              <w:tc>
                <w:tcPr>
                  <w:tcW w:w="1695" w:type="dxa"/>
                  <w:tcBorders>
                    <w:tl2br w:val="nil"/>
                    <w:tr2bl w:val="nil"/>
                  </w:tcBorders>
                  <w:noWrap w:val="0"/>
                  <w:vAlign w:val="center"/>
                </w:tcPr>
                <w:p w14:paraId="21AC3EFC">
                  <w:pPr>
                    <w:spacing w:line="240" w:lineRule="auto"/>
                    <w:jc w:val="center"/>
                    <w:rPr>
                      <w:rFonts w:hint="default" w:ascii="Times New Roman" w:hAnsi="Times New Roman" w:eastAsia="宋体" w:cs="Times New Roman"/>
                      <w:b/>
                      <w:bCs w:val="0"/>
                      <w:color w:val="auto"/>
                    </w:rPr>
                  </w:pPr>
                  <w:r>
                    <w:rPr>
                      <w:rFonts w:hint="default" w:ascii="Times New Roman" w:hAnsi="Times New Roman" w:eastAsia="宋体" w:cs="Times New Roman"/>
                      <w:b/>
                      <w:bCs w:val="0"/>
                      <w:color w:val="auto"/>
                    </w:rPr>
                    <w:t>验收调查项目</w:t>
                  </w:r>
                </w:p>
              </w:tc>
              <w:tc>
                <w:tcPr>
                  <w:tcW w:w="5345" w:type="dxa"/>
                  <w:tcBorders>
                    <w:tl2br w:val="nil"/>
                    <w:tr2bl w:val="nil"/>
                  </w:tcBorders>
                  <w:noWrap w:val="0"/>
                  <w:vAlign w:val="center"/>
                </w:tcPr>
                <w:p w14:paraId="5C2F6F69">
                  <w:pPr>
                    <w:spacing w:line="240" w:lineRule="auto"/>
                    <w:jc w:val="center"/>
                    <w:rPr>
                      <w:rFonts w:hint="default" w:ascii="Times New Roman" w:hAnsi="Times New Roman" w:eastAsia="宋体" w:cs="Times New Roman"/>
                      <w:b/>
                      <w:bCs w:val="0"/>
                      <w:color w:val="auto"/>
                    </w:rPr>
                  </w:pPr>
                  <w:r>
                    <w:rPr>
                      <w:rFonts w:hint="default" w:ascii="Times New Roman" w:hAnsi="Times New Roman" w:eastAsia="宋体" w:cs="Times New Roman"/>
                      <w:b/>
                      <w:bCs w:val="0"/>
                      <w:color w:val="auto"/>
                    </w:rPr>
                    <w:t>竣工环境保护验收调查内容</w:t>
                  </w:r>
                </w:p>
              </w:tc>
            </w:tr>
            <w:tr w14:paraId="0EF4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l2br w:val="nil"/>
                    <w:tr2bl w:val="nil"/>
                  </w:tcBorders>
                  <w:noWrap w:val="0"/>
                  <w:vAlign w:val="center"/>
                </w:tcPr>
                <w:p w14:paraId="663ABB23">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1</w:t>
                  </w:r>
                </w:p>
              </w:tc>
              <w:tc>
                <w:tcPr>
                  <w:tcW w:w="1695" w:type="dxa"/>
                  <w:tcBorders>
                    <w:tl2br w:val="nil"/>
                    <w:tr2bl w:val="nil"/>
                  </w:tcBorders>
                  <w:noWrap w:val="0"/>
                  <w:vAlign w:val="center"/>
                </w:tcPr>
                <w:p w14:paraId="7E134197">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相关批复文件</w:t>
                  </w:r>
                </w:p>
              </w:tc>
              <w:tc>
                <w:tcPr>
                  <w:tcW w:w="5345" w:type="dxa"/>
                  <w:tcBorders>
                    <w:tl2br w:val="nil"/>
                    <w:tr2bl w:val="nil"/>
                  </w:tcBorders>
                  <w:noWrap w:val="0"/>
                  <w:vAlign w:val="center"/>
                </w:tcPr>
                <w:p w14:paraId="0CD40F5D">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项目是否取得核准文件，相关批复文件是否齐备，项目是否具备开工条件。</w:t>
                  </w:r>
                </w:p>
              </w:tc>
            </w:tr>
            <w:tr w14:paraId="31838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l2br w:val="nil"/>
                    <w:tr2bl w:val="nil"/>
                  </w:tcBorders>
                  <w:noWrap w:val="0"/>
                  <w:vAlign w:val="center"/>
                </w:tcPr>
                <w:p w14:paraId="0DE75151">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2</w:t>
                  </w:r>
                </w:p>
              </w:tc>
              <w:tc>
                <w:tcPr>
                  <w:tcW w:w="1695" w:type="dxa"/>
                  <w:tcBorders>
                    <w:tl2br w:val="nil"/>
                    <w:tr2bl w:val="nil"/>
                  </w:tcBorders>
                  <w:noWrap w:val="0"/>
                  <w:vAlign w:val="center"/>
                </w:tcPr>
                <w:p w14:paraId="7DD6E7EA">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工程建设与规划的相符性</w:t>
                  </w:r>
                </w:p>
              </w:tc>
              <w:tc>
                <w:tcPr>
                  <w:tcW w:w="5345" w:type="dxa"/>
                  <w:tcBorders>
                    <w:tl2br w:val="nil"/>
                    <w:tr2bl w:val="nil"/>
                  </w:tcBorders>
                  <w:noWrap w:val="0"/>
                  <w:vAlign w:val="center"/>
                </w:tcPr>
                <w:p w14:paraId="4612692B">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本项目的建设是否符合相关规划要求。</w:t>
                  </w:r>
                </w:p>
              </w:tc>
            </w:tr>
            <w:tr w14:paraId="61A9F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l2br w:val="nil"/>
                    <w:tr2bl w:val="nil"/>
                  </w:tcBorders>
                  <w:noWrap w:val="0"/>
                  <w:vAlign w:val="center"/>
                </w:tcPr>
                <w:p w14:paraId="51E8E258">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3</w:t>
                  </w:r>
                </w:p>
              </w:tc>
              <w:tc>
                <w:tcPr>
                  <w:tcW w:w="1695" w:type="dxa"/>
                  <w:tcBorders>
                    <w:tl2br w:val="nil"/>
                    <w:tr2bl w:val="nil"/>
                  </w:tcBorders>
                  <w:noWrap w:val="0"/>
                  <w:vAlign w:val="center"/>
                </w:tcPr>
                <w:p w14:paraId="64CCA899">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工程建设内容与环评的相符性</w:t>
                  </w:r>
                </w:p>
              </w:tc>
              <w:tc>
                <w:tcPr>
                  <w:tcW w:w="5345" w:type="dxa"/>
                  <w:tcBorders>
                    <w:tl2br w:val="nil"/>
                    <w:tr2bl w:val="nil"/>
                  </w:tcBorders>
                  <w:noWrap w:val="0"/>
                  <w:vAlign w:val="center"/>
                </w:tcPr>
                <w:p w14:paraId="5EF29D22">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与环评报告及环评报告批复对比，若工程的场址、建设规模发生变更，应就变更情况以及变更原因进行说明。</w:t>
                  </w:r>
                </w:p>
              </w:tc>
            </w:tr>
            <w:tr w14:paraId="4FEB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0" w:type="auto"/>
                  <w:tcBorders>
                    <w:tl2br w:val="nil"/>
                    <w:tr2bl w:val="nil"/>
                  </w:tcBorders>
                  <w:noWrap w:val="0"/>
                  <w:vAlign w:val="center"/>
                </w:tcPr>
                <w:p w14:paraId="06F52EB0">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4</w:t>
                  </w:r>
                </w:p>
              </w:tc>
              <w:tc>
                <w:tcPr>
                  <w:tcW w:w="1695" w:type="dxa"/>
                  <w:tcBorders>
                    <w:tl2br w:val="nil"/>
                    <w:tr2bl w:val="nil"/>
                  </w:tcBorders>
                  <w:noWrap w:val="0"/>
                  <w:vAlign w:val="center"/>
                </w:tcPr>
                <w:p w14:paraId="7B4B1AFC">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敏感目标调查</w:t>
                  </w:r>
                </w:p>
              </w:tc>
              <w:tc>
                <w:tcPr>
                  <w:tcW w:w="5345" w:type="dxa"/>
                  <w:tcBorders>
                    <w:tl2br w:val="nil"/>
                    <w:tr2bl w:val="nil"/>
                  </w:tcBorders>
                  <w:noWrap w:val="0"/>
                  <w:vAlign w:val="center"/>
                </w:tcPr>
                <w:p w14:paraId="08C341E8">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调查工程周围生态影响评价范围内环境敏感区的分布情况；对比环评报告，说明生态保护目标的变化情况以及原因。</w:t>
                  </w:r>
                </w:p>
              </w:tc>
            </w:tr>
            <w:tr w14:paraId="09E69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0" w:type="auto"/>
                  <w:tcBorders>
                    <w:tl2br w:val="nil"/>
                    <w:tr2bl w:val="nil"/>
                  </w:tcBorders>
                  <w:noWrap w:val="0"/>
                  <w:vAlign w:val="center"/>
                </w:tcPr>
                <w:p w14:paraId="00C4CD0C">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5</w:t>
                  </w:r>
                </w:p>
              </w:tc>
              <w:tc>
                <w:tcPr>
                  <w:tcW w:w="1695" w:type="dxa"/>
                  <w:tcBorders>
                    <w:tl2br w:val="nil"/>
                    <w:tr2bl w:val="nil"/>
                  </w:tcBorders>
                  <w:noWrap w:val="0"/>
                  <w:vAlign w:val="center"/>
                </w:tcPr>
                <w:p w14:paraId="147D2DF9">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施工期环保措施落实情况</w:t>
                  </w:r>
                </w:p>
              </w:tc>
              <w:tc>
                <w:tcPr>
                  <w:tcW w:w="5345" w:type="dxa"/>
                  <w:tcBorders>
                    <w:tl2br w:val="nil"/>
                    <w:tr2bl w:val="nil"/>
                  </w:tcBorders>
                  <w:noWrap w:val="0"/>
                  <w:vAlign w:val="center"/>
                </w:tcPr>
                <w:p w14:paraId="501CFC20">
                  <w:pPr>
                    <w:spacing w:line="240" w:lineRule="auto"/>
                    <w:jc w:val="left"/>
                    <w:rPr>
                      <w:rFonts w:hint="default" w:ascii="Times New Roman" w:hAnsi="Times New Roman" w:eastAsia="宋体" w:cs="Times New Roman"/>
                      <w:bCs/>
                      <w:color w:val="auto"/>
                    </w:rPr>
                  </w:pPr>
                  <w:r>
                    <w:rPr>
                      <w:rFonts w:hint="default" w:ascii="Times New Roman" w:hAnsi="Times New Roman" w:eastAsia="宋体" w:cs="Times New Roman"/>
                      <w:bCs/>
                      <w:color w:val="auto"/>
                    </w:rPr>
                    <w:t>调查工程施工期废水处理措施；施工期固废处理处置方式，调查工程施工临时占地恢复情况及效果；分析采取相关措施的有效性及存在问题，针对存在问题提出整改、补救措施与建议。</w:t>
                  </w:r>
                </w:p>
              </w:tc>
            </w:tr>
            <w:tr w14:paraId="6E4B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0" w:type="auto"/>
                  <w:tcBorders>
                    <w:tl2br w:val="nil"/>
                    <w:tr2bl w:val="nil"/>
                  </w:tcBorders>
                  <w:noWrap w:val="0"/>
                  <w:vAlign w:val="center"/>
                </w:tcPr>
                <w:p w14:paraId="451830F8">
                  <w:pPr>
                    <w:spacing w:line="240" w:lineRule="auto"/>
                    <w:jc w:val="center"/>
                    <w:rPr>
                      <w:rFonts w:hint="default" w:ascii="Times New Roman" w:hAnsi="Times New Roman" w:eastAsia="宋体" w:cs="Times New Roman"/>
                      <w:bCs/>
                      <w:color w:val="auto"/>
                      <w:lang w:eastAsia="zh-CN"/>
                    </w:rPr>
                  </w:pPr>
                  <w:r>
                    <w:rPr>
                      <w:rFonts w:hint="default" w:ascii="Times New Roman" w:hAnsi="Times New Roman" w:eastAsia="宋体" w:cs="Times New Roman"/>
                      <w:bCs/>
                      <w:color w:val="auto"/>
                      <w:lang w:val="en-US" w:eastAsia="zh-CN"/>
                    </w:rPr>
                    <w:t>6</w:t>
                  </w:r>
                </w:p>
              </w:tc>
              <w:tc>
                <w:tcPr>
                  <w:tcW w:w="1695" w:type="dxa"/>
                  <w:tcBorders>
                    <w:tl2br w:val="nil"/>
                    <w:tr2bl w:val="nil"/>
                  </w:tcBorders>
                  <w:noWrap w:val="0"/>
                  <w:vAlign w:val="center"/>
                </w:tcPr>
                <w:p w14:paraId="6CB14D0F">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运行期噪声</w:t>
                  </w:r>
                </w:p>
              </w:tc>
              <w:tc>
                <w:tcPr>
                  <w:tcW w:w="5345" w:type="dxa"/>
                  <w:tcBorders>
                    <w:tl2br w:val="nil"/>
                    <w:tr2bl w:val="nil"/>
                  </w:tcBorders>
                  <w:noWrap w:val="0"/>
                  <w:vAlign w:val="center"/>
                </w:tcPr>
                <w:p w14:paraId="59D8A5B6">
                  <w:pPr>
                    <w:spacing w:line="240" w:lineRule="auto"/>
                    <w:jc w:val="left"/>
                    <w:rPr>
                      <w:rFonts w:hint="default" w:ascii="Times New Roman" w:hAnsi="Times New Roman" w:eastAsia="宋体" w:cs="Times New Roman"/>
                      <w:bCs/>
                      <w:color w:val="auto"/>
                    </w:rPr>
                  </w:pPr>
                  <w:r>
                    <w:rPr>
                      <w:rFonts w:hint="default" w:ascii="Times New Roman" w:hAnsi="Times New Roman" w:eastAsia="宋体" w:cs="Times New Roman"/>
                      <w:bCs/>
                      <w:color w:val="auto"/>
                    </w:rPr>
                    <w:t>选用低噪声设备，声环境监测值是否满足《声环境质量标准》（GB3096-2008）</w:t>
                  </w:r>
                  <w:r>
                    <w:rPr>
                      <w:rFonts w:hint="default" w:ascii="Times New Roman" w:hAnsi="Times New Roman" w:eastAsia="宋体" w:cs="Times New Roman"/>
                      <w:bCs/>
                      <w:color w:val="auto"/>
                      <w:lang w:val="en-US" w:eastAsia="zh-CN"/>
                    </w:rPr>
                    <w:t>2类区域标准要求</w:t>
                  </w:r>
                  <w:r>
                    <w:rPr>
                      <w:rFonts w:hint="default" w:ascii="Times New Roman" w:hAnsi="Times New Roman" w:eastAsia="宋体" w:cs="Times New Roman"/>
                      <w:bCs/>
                      <w:color w:val="auto"/>
                    </w:rPr>
                    <w:t>，如有超标，提出处置措施</w:t>
                  </w:r>
                </w:p>
              </w:tc>
            </w:tr>
            <w:tr w14:paraId="31248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0" w:type="auto"/>
                  <w:tcBorders>
                    <w:tl2br w:val="nil"/>
                    <w:tr2bl w:val="nil"/>
                  </w:tcBorders>
                  <w:noWrap w:val="0"/>
                  <w:vAlign w:val="center"/>
                </w:tcPr>
                <w:p w14:paraId="51CDCA24">
                  <w:pPr>
                    <w:spacing w:line="240" w:lineRule="auto"/>
                    <w:jc w:val="center"/>
                    <w:rPr>
                      <w:rFonts w:hint="default" w:ascii="Times New Roman" w:hAnsi="Times New Roman" w:eastAsia="宋体" w:cs="Times New Roman"/>
                      <w:bCs/>
                      <w:color w:val="auto"/>
                      <w:lang w:eastAsia="zh-CN"/>
                    </w:rPr>
                  </w:pPr>
                  <w:r>
                    <w:rPr>
                      <w:rFonts w:hint="default" w:ascii="Times New Roman" w:hAnsi="Times New Roman" w:eastAsia="宋体" w:cs="Times New Roman"/>
                      <w:bCs/>
                      <w:color w:val="auto"/>
                      <w:lang w:val="en-US" w:eastAsia="zh-CN"/>
                    </w:rPr>
                    <w:t>7</w:t>
                  </w:r>
                </w:p>
              </w:tc>
              <w:tc>
                <w:tcPr>
                  <w:tcW w:w="1695" w:type="dxa"/>
                  <w:tcBorders>
                    <w:tl2br w:val="nil"/>
                    <w:tr2bl w:val="nil"/>
                  </w:tcBorders>
                  <w:noWrap w:val="0"/>
                  <w:vAlign w:val="center"/>
                </w:tcPr>
                <w:p w14:paraId="6AD0DE64">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运行期固体废物</w:t>
                  </w:r>
                </w:p>
              </w:tc>
              <w:tc>
                <w:tcPr>
                  <w:tcW w:w="5345" w:type="dxa"/>
                  <w:tcBorders>
                    <w:tl2br w:val="nil"/>
                    <w:tr2bl w:val="nil"/>
                  </w:tcBorders>
                  <w:noWrap w:val="0"/>
                  <w:vAlign w:val="center"/>
                </w:tcPr>
                <w:p w14:paraId="6849954C">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lang w:val="en-US" w:eastAsia="zh-CN"/>
                    </w:rPr>
                    <w:t>运行期废润滑油、废变压器集中收集后，由公司工作人员，及时</w:t>
                  </w:r>
                  <w:r>
                    <w:rPr>
                      <w:rFonts w:hint="default" w:ascii="Times New Roman" w:hAnsi="Times New Roman" w:cs="Times New Roman"/>
                      <w:bCs/>
                      <w:color w:val="auto"/>
                      <w:lang w:val="en-US" w:eastAsia="zh-CN"/>
                    </w:rPr>
                    <w:t>交由</w:t>
                  </w:r>
                  <w:r>
                    <w:rPr>
                      <w:rFonts w:hint="default" w:ascii="Times New Roman" w:hAnsi="Times New Roman" w:eastAsia="宋体" w:cs="Times New Roman"/>
                      <w:bCs/>
                      <w:color w:val="auto"/>
                      <w:lang w:val="en-US" w:eastAsia="zh-CN"/>
                    </w:rPr>
                    <w:t>资质单位处置；无生活垃圾产生</w:t>
                  </w:r>
                </w:p>
              </w:tc>
            </w:tr>
            <w:tr w14:paraId="12C85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0" w:type="auto"/>
                  <w:tcBorders>
                    <w:tl2br w:val="nil"/>
                    <w:tr2bl w:val="nil"/>
                  </w:tcBorders>
                  <w:noWrap w:val="0"/>
                  <w:vAlign w:val="center"/>
                </w:tcPr>
                <w:p w14:paraId="60A662B4">
                  <w:pPr>
                    <w:spacing w:line="240" w:lineRule="auto"/>
                    <w:jc w:val="center"/>
                    <w:rPr>
                      <w:rFonts w:hint="default" w:ascii="Times New Roman" w:hAnsi="Times New Roman" w:eastAsia="宋体" w:cs="Times New Roman"/>
                      <w:bCs/>
                      <w:color w:val="auto"/>
                      <w:lang w:eastAsia="zh-CN"/>
                    </w:rPr>
                  </w:pPr>
                  <w:r>
                    <w:rPr>
                      <w:rFonts w:hint="default" w:ascii="Times New Roman" w:hAnsi="Times New Roman" w:eastAsia="宋体" w:cs="Times New Roman"/>
                      <w:bCs/>
                      <w:color w:val="auto"/>
                      <w:lang w:val="en-US" w:eastAsia="zh-CN"/>
                    </w:rPr>
                    <w:t>8</w:t>
                  </w:r>
                </w:p>
              </w:tc>
              <w:tc>
                <w:tcPr>
                  <w:tcW w:w="1695" w:type="dxa"/>
                  <w:tcBorders>
                    <w:tl2br w:val="nil"/>
                    <w:tr2bl w:val="nil"/>
                  </w:tcBorders>
                  <w:noWrap w:val="0"/>
                  <w:vAlign w:val="center"/>
                </w:tcPr>
                <w:p w14:paraId="6D46B2AC">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生态环境</w:t>
                  </w:r>
                </w:p>
              </w:tc>
              <w:tc>
                <w:tcPr>
                  <w:tcW w:w="5345" w:type="dxa"/>
                  <w:tcBorders>
                    <w:tl2br w:val="nil"/>
                    <w:tr2bl w:val="nil"/>
                  </w:tcBorders>
                  <w:noWrap w:val="0"/>
                  <w:vAlign w:val="center"/>
                </w:tcPr>
                <w:p w14:paraId="62353D1A">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调查工程采取的生态保护措施的实施效果；列表说明工程实际占地变化情况，明确占地性质、占地位置、用途、临时占地恢复措施和恢复效果。根据上述调查结果，对存在的问题分析原因，并从保护、恢复、补偿、建设等方面提出具有操作性的补偿措施与建议。</w:t>
                  </w:r>
                </w:p>
              </w:tc>
            </w:tr>
            <w:tr w14:paraId="0FC8C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0" w:type="auto"/>
                  <w:tcBorders>
                    <w:tl2br w:val="nil"/>
                    <w:tr2bl w:val="nil"/>
                  </w:tcBorders>
                  <w:noWrap w:val="0"/>
                  <w:vAlign w:val="center"/>
                </w:tcPr>
                <w:p w14:paraId="71EEEB08">
                  <w:pPr>
                    <w:spacing w:line="240" w:lineRule="auto"/>
                    <w:jc w:val="center"/>
                    <w:rPr>
                      <w:rFonts w:hint="default" w:ascii="Times New Roman" w:hAnsi="Times New Roman" w:eastAsia="宋体" w:cs="Times New Roman"/>
                      <w:bCs/>
                      <w:color w:val="auto"/>
                      <w:lang w:eastAsia="zh-CN"/>
                    </w:rPr>
                  </w:pPr>
                  <w:r>
                    <w:rPr>
                      <w:rFonts w:hint="default" w:ascii="Times New Roman" w:hAnsi="Times New Roman" w:eastAsia="宋体" w:cs="Times New Roman"/>
                      <w:bCs/>
                      <w:color w:val="auto"/>
                      <w:lang w:val="en-US" w:eastAsia="zh-CN"/>
                    </w:rPr>
                    <w:t>9</w:t>
                  </w:r>
                </w:p>
              </w:tc>
              <w:tc>
                <w:tcPr>
                  <w:tcW w:w="1695" w:type="dxa"/>
                  <w:tcBorders>
                    <w:tl2br w:val="nil"/>
                    <w:tr2bl w:val="nil"/>
                  </w:tcBorders>
                  <w:noWrap w:val="0"/>
                  <w:vAlign w:val="center"/>
                </w:tcPr>
                <w:p w14:paraId="0BDCFAD7">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环境保护</w:t>
                  </w:r>
                </w:p>
              </w:tc>
              <w:tc>
                <w:tcPr>
                  <w:tcW w:w="5345" w:type="dxa"/>
                  <w:tcBorders>
                    <w:tl2br w:val="nil"/>
                    <w:tr2bl w:val="nil"/>
                  </w:tcBorders>
                  <w:noWrap w:val="0"/>
                  <w:vAlign w:val="center"/>
                </w:tcPr>
                <w:p w14:paraId="20120CE6">
                  <w:pPr>
                    <w:spacing w:line="240" w:lineRule="auto"/>
                    <w:jc w:val="center"/>
                    <w:rPr>
                      <w:rFonts w:hint="default" w:ascii="Times New Roman" w:hAnsi="Times New Roman" w:eastAsia="宋体" w:cs="Times New Roman"/>
                      <w:bCs/>
                      <w:color w:val="auto"/>
                    </w:rPr>
                  </w:pPr>
                  <w:r>
                    <w:rPr>
                      <w:rFonts w:hint="default" w:ascii="Times New Roman" w:hAnsi="Times New Roman" w:eastAsia="宋体" w:cs="Times New Roman"/>
                      <w:bCs/>
                      <w:color w:val="auto"/>
                    </w:rPr>
                    <w:t>环境管理、环境监测落实情况；环保投资资金是否到位，工程所在区域各级生态环境主管部门是否收到相关环保投诉，投诉原因及处理结果。</w:t>
                  </w:r>
                </w:p>
              </w:tc>
            </w:tr>
          </w:tbl>
          <w:p w14:paraId="51206809">
            <w:pPr>
              <w:pStyle w:val="31"/>
              <w:spacing w:before="0" w:line="240" w:lineRule="auto"/>
              <w:ind w:firstLine="0" w:firstLineChars="0"/>
              <w:jc w:val="both"/>
              <w:rPr>
                <w:rFonts w:hint="default" w:ascii="Times New Roman" w:hAnsi="Times New Roman" w:cs="Times New Roman"/>
                <w:color w:val="auto"/>
                <w:szCs w:val="24"/>
              </w:rPr>
            </w:pPr>
          </w:p>
          <w:p w14:paraId="0D4E16D9">
            <w:pPr>
              <w:pStyle w:val="31"/>
              <w:spacing w:before="0" w:line="240" w:lineRule="auto"/>
              <w:ind w:firstLine="0" w:firstLineChars="0"/>
              <w:jc w:val="both"/>
              <w:rPr>
                <w:rFonts w:hint="default" w:ascii="Times New Roman" w:hAnsi="Times New Roman" w:cs="Times New Roman"/>
                <w:color w:val="auto"/>
                <w:szCs w:val="24"/>
              </w:rPr>
            </w:pPr>
          </w:p>
          <w:p w14:paraId="6AC366A3">
            <w:pPr>
              <w:pStyle w:val="31"/>
              <w:spacing w:before="0" w:line="240" w:lineRule="auto"/>
              <w:ind w:firstLine="0" w:firstLineChars="0"/>
              <w:jc w:val="both"/>
              <w:rPr>
                <w:rFonts w:hint="default" w:ascii="Times New Roman" w:hAnsi="Times New Roman" w:cs="Times New Roman"/>
                <w:color w:val="auto"/>
                <w:szCs w:val="24"/>
              </w:rPr>
            </w:pPr>
          </w:p>
        </w:tc>
      </w:tr>
      <w:tr w14:paraId="310AA7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8" w:hRule="atLeast"/>
          <w:jc w:val="center"/>
        </w:trPr>
        <w:tc>
          <w:tcPr>
            <w:tcW w:w="761" w:type="dxa"/>
            <w:noWrap w:val="0"/>
            <w:vAlign w:val="center"/>
          </w:tcPr>
          <w:p w14:paraId="19D30410">
            <w:pPr>
              <w:adjustRightInd w:val="0"/>
              <w:snapToGrid w:val="0"/>
              <w:jc w:val="center"/>
              <w:rPr>
                <w:rFonts w:hint="default" w:ascii="Times New Roman" w:hAnsi="Times New Roman" w:cs="Times New Roman"/>
                <w:bCs/>
                <w:color w:val="auto"/>
                <w:spacing w:val="10"/>
                <w:sz w:val="24"/>
              </w:rPr>
            </w:pPr>
            <w:r>
              <w:rPr>
                <w:rFonts w:hint="default" w:ascii="Times New Roman" w:hAnsi="Times New Roman" w:cs="Times New Roman"/>
                <w:bCs/>
                <w:color w:val="auto"/>
                <w:sz w:val="24"/>
              </w:rPr>
              <w:t>环保投资</w:t>
            </w:r>
          </w:p>
        </w:tc>
        <w:tc>
          <w:tcPr>
            <w:tcW w:w="8449" w:type="dxa"/>
            <w:noWrap w:val="0"/>
            <w:vAlign w:val="top"/>
          </w:tcPr>
          <w:p w14:paraId="6094ABDB">
            <w:pPr>
              <w:adjustRightInd w:val="0"/>
              <w:snapToGrid w:val="0"/>
              <w:spacing w:line="480" w:lineRule="exact"/>
              <w:ind w:firstLine="480" w:firstLineChars="200"/>
              <w:rPr>
                <w:rFonts w:hint="default" w:ascii="Times New Roman" w:hAnsi="Times New Roman" w:cs="Times New Roman"/>
                <w:color w:val="auto"/>
                <w:sz w:val="24"/>
                <w:szCs w:val="32"/>
              </w:rPr>
            </w:pPr>
            <w:r>
              <w:rPr>
                <w:rFonts w:hint="default" w:ascii="Times New Roman" w:hAnsi="Times New Roman" w:cs="Times New Roman"/>
                <w:color w:val="auto"/>
                <w:sz w:val="24"/>
                <w:szCs w:val="32"/>
              </w:rPr>
              <w:t>本项目总投资为</w:t>
            </w:r>
            <w:r>
              <w:rPr>
                <w:rFonts w:hint="default" w:ascii="Times New Roman" w:hAnsi="Times New Roman" w:cs="Times New Roman"/>
                <w:color w:val="auto"/>
                <w:sz w:val="24"/>
                <w:szCs w:val="32"/>
                <w:lang w:eastAsia="zh-CN"/>
              </w:rPr>
              <w:t>149000</w:t>
            </w:r>
            <w:r>
              <w:rPr>
                <w:rFonts w:hint="default" w:ascii="Times New Roman" w:hAnsi="Times New Roman" w:cs="Times New Roman"/>
                <w:color w:val="auto"/>
                <w:sz w:val="24"/>
                <w:szCs w:val="32"/>
              </w:rPr>
              <w:t>万元，环保投资</w:t>
            </w:r>
            <w:r>
              <w:rPr>
                <w:rFonts w:hint="default" w:ascii="Times New Roman" w:hAnsi="Times New Roman" w:cs="Times New Roman"/>
                <w:color w:val="auto"/>
                <w:sz w:val="24"/>
                <w:szCs w:val="32"/>
                <w:lang w:val="en-US" w:eastAsia="zh-CN"/>
              </w:rPr>
              <w:t>1075</w:t>
            </w:r>
            <w:r>
              <w:rPr>
                <w:rFonts w:hint="default" w:ascii="Times New Roman" w:hAnsi="Times New Roman" w:cs="Times New Roman"/>
                <w:color w:val="auto"/>
                <w:sz w:val="24"/>
                <w:szCs w:val="32"/>
              </w:rPr>
              <w:t>万元，占总投资</w:t>
            </w:r>
            <w:r>
              <w:rPr>
                <w:rFonts w:hint="default" w:ascii="Times New Roman" w:hAnsi="Times New Roman" w:cs="Times New Roman"/>
                <w:color w:val="auto"/>
                <w:sz w:val="24"/>
                <w:szCs w:val="32"/>
                <w:lang w:val="en-US" w:eastAsia="zh-CN"/>
              </w:rPr>
              <w:t>0.72</w:t>
            </w:r>
            <w:r>
              <w:rPr>
                <w:rFonts w:hint="default" w:ascii="Times New Roman" w:hAnsi="Times New Roman" w:cs="Times New Roman"/>
                <w:color w:val="auto"/>
                <w:sz w:val="24"/>
                <w:szCs w:val="32"/>
              </w:rPr>
              <w:t>%。项目环保投资详情见表5-</w:t>
            </w:r>
            <w:r>
              <w:rPr>
                <w:rFonts w:hint="default" w:ascii="Times New Roman" w:hAnsi="Times New Roman" w:cs="Times New Roman"/>
                <w:color w:val="auto"/>
                <w:sz w:val="24"/>
                <w:szCs w:val="32"/>
                <w:lang w:val="en-US" w:eastAsia="zh-CN"/>
              </w:rPr>
              <w:t>4</w:t>
            </w:r>
            <w:r>
              <w:rPr>
                <w:rFonts w:hint="default" w:ascii="Times New Roman" w:hAnsi="Times New Roman" w:cs="Times New Roman"/>
                <w:color w:val="auto"/>
                <w:sz w:val="24"/>
                <w:szCs w:val="32"/>
              </w:rPr>
              <w:t>。</w:t>
            </w:r>
          </w:p>
          <w:p w14:paraId="15DCBCC8">
            <w:pPr>
              <w:pStyle w:val="3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textAlignment w:val="baseline"/>
              <w:rPr>
                <w:rFonts w:hint="default" w:ascii="Times New Roman" w:hAnsi="Times New Roman" w:eastAsia="宋体" w:cs="Times New Roman"/>
                <w:b/>
                <w:bCs w:val="0"/>
                <w:color w:val="auto"/>
                <w:spacing w:val="0"/>
                <w:kern w:val="2"/>
                <w:sz w:val="21"/>
                <w:szCs w:val="21"/>
                <w:lang w:val="en-US" w:eastAsia="zh-CN"/>
              </w:rPr>
            </w:pPr>
            <w:r>
              <w:rPr>
                <w:rFonts w:hint="default" w:ascii="Times New Roman" w:hAnsi="Times New Roman" w:eastAsia="宋体" w:cs="Times New Roman"/>
                <w:b/>
                <w:bCs w:val="0"/>
                <w:color w:val="auto"/>
                <w:spacing w:val="0"/>
                <w:kern w:val="2"/>
                <w:sz w:val="21"/>
                <w:szCs w:val="21"/>
                <w:lang w:val="en-US" w:eastAsia="zh-CN"/>
              </w:rPr>
              <w:t>表5-</w:t>
            </w:r>
            <w:r>
              <w:rPr>
                <w:rFonts w:hint="default" w:ascii="Times New Roman" w:hAnsi="Times New Roman" w:eastAsia="宋体" w:cs="Times New Roman"/>
                <w:b/>
                <w:bCs w:val="0"/>
                <w:color w:val="auto"/>
                <w:spacing w:val="0"/>
                <w:kern w:val="2"/>
                <w:sz w:val="21"/>
                <w:szCs w:val="21"/>
                <w:lang w:val="en-US" w:eastAsia="zh-CN"/>
              </w:rPr>
              <w:t>4</w:t>
            </w:r>
            <w:r>
              <w:rPr>
                <w:rFonts w:hint="default" w:ascii="Times New Roman" w:hAnsi="Times New Roman" w:eastAsia="宋体" w:cs="Times New Roman"/>
                <w:b/>
                <w:bCs w:val="0"/>
                <w:color w:val="auto"/>
                <w:spacing w:val="0"/>
                <w:kern w:val="2"/>
                <w:sz w:val="21"/>
                <w:szCs w:val="21"/>
                <w:lang w:val="en-US" w:eastAsia="zh-CN"/>
              </w:rPr>
              <w:t>项目环保投资一览表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62"/>
              <w:gridCol w:w="938"/>
              <w:gridCol w:w="933"/>
              <w:gridCol w:w="1155"/>
              <w:gridCol w:w="3201"/>
              <w:gridCol w:w="810"/>
            </w:tblGrid>
            <w:tr w14:paraId="2C996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8" w:hRule="atLeast"/>
                <w:jc w:val="center"/>
              </w:trPr>
              <w:tc>
                <w:tcPr>
                  <w:tcW w:w="308" w:type="pct"/>
                  <w:noWrap w:val="0"/>
                  <w:vAlign w:val="center"/>
                </w:tcPr>
                <w:p w14:paraId="767ACC0C">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625" w:type="pct"/>
                  <w:noWrap w:val="0"/>
                  <w:vAlign w:val="center"/>
                </w:tcPr>
                <w:p w14:paraId="54F72162">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w:t>
                  </w:r>
                </w:p>
              </w:tc>
              <w:tc>
                <w:tcPr>
                  <w:tcW w:w="3526" w:type="pct"/>
                  <w:gridSpan w:val="3"/>
                  <w:noWrap w:val="0"/>
                  <w:vAlign w:val="center"/>
                </w:tcPr>
                <w:p w14:paraId="59E7621E">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环保设施名称</w:t>
                  </w:r>
                </w:p>
              </w:tc>
              <w:tc>
                <w:tcPr>
                  <w:tcW w:w="540" w:type="pct"/>
                  <w:noWrap w:val="0"/>
                  <w:vAlign w:val="center"/>
                </w:tcPr>
                <w:p w14:paraId="4ED882A3">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投资额</w:t>
                  </w:r>
                </w:p>
                <w:p w14:paraId="5DBF9C69">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（万元）</w:t>
                  </w:r>
                </w:p>
              </w:tc>
            </w:tr>
            <w:tr w14:paraId="64417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2" w:hRule="atLeast"/>
                <w:jc w:val="center"/>
              </w:trPr>
              <w:tc>
                <w:tcPr>
                  <w:tcW w:w="308" w:type="pct"/>
                  <w:noWrap w:val="0"/>
                  <w:vAlign w:val="center"/>
                </w:tcPr>
                <w:p w14:paraId="4C67F4CC">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625" w:type="pct"/>
                  <w:noWrap w:val="0"/>
                  <w:vAlign w:val="center"/>
                </w:tcPr>
                <w:p w14:paraId="569F6992">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废气治理</w:t>
                  </w:r>
                </w:p>
              </w:tc>
              <w:tc>
                <w:tcPr>
                  <w:tcW w:w="622" w:type="pct"/>
                  <w:noWrap w:val="0"/>
                  <w:vAlign w:val="center"/>
                </w:tcPr>
                <w:p w14:paraId="183EEB29">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施工期</w:t>
                  </w:r>
                </w:p>
              </w:tc>
              <w:tc>
                <w:tcPr>
                  <w:tcW w:w="770" w:type="pct"/>
                  <w:noWrap w:val="0"/>
                  <w:vAlign w:val="center"/>
                </w:tcPr>
                <w:p w14:paraId="672F6E94">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施工扬尘</w:t>
                  </w:r>
                </w:p>
              </w:tc>
              <w:tc>
                <w:tcPr>
                  <w:tcW w:w="2134" w:type="pct"/>
                  <w:noWrap w:val="0"/>
                  <w:vAlign w:val="center"/>
                </w:tcPr>
                <w:p w14:paraId="4195F58F">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设置围挡、洒水设施、防尘网等</w:t>
                  </w:r>
                </w:p>
              </w:tc>
              <w:tc>
                <w:tcPr>
                  <w:tcW w:w="540" w:type="pct"/>
                  <w:noWrap w:val="0"/>
                  <w:vAlign w:val="center"/>
                </w:tcPr>
                <w:p w14:paraId="2814C989">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r>
            <w:tr w14:paraId="41CB3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2" w:hRule="atLeast"/>
                <w:jc w:val="center"/>
              </w:trPr>
              <w:tc>
                <w:tcPr>
                  <w:tcW w:w="308" w:type="pct"/>
                  <w:noWrap w:val="0"/>
                  <w:vAlign w:val="center"/>
                </w:tcPr>
                <w:p w14:paraId="47FF8848">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625" w:type="pct"/>
                  <w:noWrap w:val="0"/>
                  <w:vAlign w:val="center"/>
                </w:tcPr>
                <w:p w14:paraId="039EE00E">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废水治理</w:t>
                  </w:r>
                </w:p>
              </w:tc>
              <w:tc>
                <w:tcPr>
                  <w:tcW w:w="622" w:type="pct"/>
                  <w:noWrap w:val="0"/>
                  <w:vAlign w:val="center"/>
                </w:tcPr>
                <w:p w14:paraId="28E3D7D1">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施工期</w:t>
                  </w:r>
                </w:p>
              </w:tc>
              <w:tc>
                <w:tcPr>
                  <w:tcW w:w="770" w:type="pct"/>
                  <w:noWrap w:val="0"/>
                  <w:vAlign w:val="center"/>
                </w:tcPr>
                <w:p w14:paraId="3F4BF5FC">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施工废水</w:t>
                  </w:r>
                </w:p>
              </w:tc>
              <w:tc>
                <w:tcPr>
                  <w:tcW w:w="2134" w:type="pct"/>
                  <w:noWrap w:val="0"/>
                  <w:vAlign w:val="center"/>
                </w:tcPr>
                <w:p w14:paraId="4C9970AC">
                  <w:pPr>
                    <w:pStyle w:val="18"/>
                    <w:adjustRightIn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临时环保厕所</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kern w:val="0"/>
                      <w:sz w:val="20"/>
                      <w:szCs w:val="20"/>
                      <w:lang w:val="en-US" w:eastAsia="zh-CN" w:bidi="ar"/>
                    </w:rPr>
                    <w:t>施工废水沉淀池、</w:t>
                  </w:r>
                </w:p>
              </w:tc>
              <w:tc>
                <w:tcPr>
                  <w:tcW w:w="540" w:type="pct"/>
                  <w:noWrap w:val="0"/>
                  <w:vAlign w:val="center"/>
                </w:tcPr>
                <w:p w14:paraId="73DCDA7C">
                  <w:pPr>
                    <w:pStyle w:val="18"/>
                    <w:adjustRightIn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w:t>
                  </w:r>
                </w:p>
              </w:tc>
            </w:tr>
            <w:tr w14:paraId="2D75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2" w:hRule="atLeast"/>
                <w:jc w:val="center"/>
              </w:trPr>
              <w:tc>
                <w:tcPr>
                  <w:tcW w:w="308" w:type="pct"/>
                  <w:vMerge w:val="restart"/>
                  <w:noWrap w:val="0"/>
                  <w:vAlign w:val="center"/>
                </w:tcPr>
                <w:p w14:paraId="5A579DCF">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625" w:type="pct"/>
                  <w:vMerge w:val="restart"/>
                  <w:noWrap w:val="0"/>
                  <w:vAlign w:val="center"/>
                </w:tcPr>
                <w:p w14:paraId="7F29F62B">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固废治理</w:t>
                  </w:r>
                </w:p>
              </w:tc>
              <w:tc>
                <w:tcPr>
                  <w:tcW w:w="622" w:type="pct"/>
                  <w:noWrap w:val="0"/>
                  <w:vAlign w:val="center"/>
                </w:tcPr>
                <w:p w14:paraId="06F3987B">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施工期</w:t>
                  </w:r>
                </w:p>
              </w:tc>
              <w:tc>
                <w:tcPr>
                  <w:tcW w:w="2904" w:type="pct"/>
                  <w:gridSpan w:val="2"/>
                  <w:noWrap w:val="0"/>
                  <w:vAlign w:val="center"/>
                </w:tcPr>
                <w:p w14:paraId="55F071A5">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建筑垃圾等收集、外运、处置</w:t>
                  </w:r>
                </w:p>
              </w:tc>
              <w:tc>
                <w:tcPr>
                  <w:tcW w:w="540" w:type="pct"/>
                  <w:noWrap w:val="0"/>
                  <w:vAlign w:val="center"/>
                </w:tcPr>
                <w:p w14:paraId="58E6B1B5">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w:t>
                  </w:r>
                </w:p>
              </w:tc>
            </w:tr>
            <w:tr w14:paraId="36F8E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2" w:hRule="atLeast"/>
                <w:jc w:val="center"/>
              </w:trPr>
              <w:tc>
                <w:tcPr>
                  <w:tcW w:w="308" w:type="pct"/>
                  <w:vMerge w:val="continue"/>
                  <w:noWrap w:val="0"/>
                  <w:vAlign w:val="center"/>
                </w:tcPr>
                <w:p w14:paraId="5E876488">
                  <w:pPr>
                    <w:adjustRightInd w:val="0"/>
                    <w:jc w:val="center"/>
                    <w:rPr>
                      <w:rFonts w:hint="default" w:ascii="Times New Roman" w:hAnsi="Times New Roman" w:eastAsia="宋体" w:cs="Times New Roman"/>
                      <w:color w:val="auto"/>
                      <w:sz w:val="21"/>
                      <w:szCs w:val="21"/>
                    </w:rPr>
                  </w:pPr>
                </w:p>
              </w:tc>
              <w:tc>
                <w:tcPr>
                  <w:tcW w:w="625" w:type="pct"/>
                  <w:vMerge w:val="continue"/>
                  <w:noWrap w:val="0"/>
                  <w:vAlign w:val="center"/>
                </w:tcPr>
                <w:p w14:paraId="265606F7">
                  <w:pPr>
                    <w:adjustRightInd w:val="0"/>
                    <w:jc w:val="center"/>
                    <w:rPr>
                      <w:rFonts w:hint="default" w:ascii="Times New Roman" w:hAnsi="Times New Roman" w:eastAsia="宋体" w:cs="Times New Roman"/>
                      <w:color w:val="auto"/>
                      <w:sz w:val="21"/>
                      <w:szCs w:val="21"/>
                    </w:rPr>
                  </w:pPr>
                </w:p>
              </w:tc>
              <w:tc>
                <w:tcPr>
                  <w:tcW w:w="622" w:type="pct"/>
                  <w:noWrap w:val="0"/>
                  <w:vAlign w:val="center"/>
                </w:tcPr>
                <w:p w14:paraId="0F155139">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运行期</w:t>
                  </w:r>
                </w:p>
              </w:tc>
              <w:tc>
                <w:tcPr>
                  <w:tcW w:w="2904" w:type="pct"/>
                  <w:gridSpan w:val="2"/>
                  <w:noWrap w:val="0"/>
                  <w:vAlign w:val="center"/>
                </w:tcPr>
                <w:p w14:paraId="351EC7AC">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0"/>
                      <w:szCs w:val="20"/>
                      <w:lang w:val="en-US" w:eastAsia="zh-CN" w:bidi="ar"/>
                    </w:rPr>
                    <w:t>危废暂存间，</w:t>
                  </w:r>
                  <w:r>
                    <w:rPr>
                      <w:rFonts w:hint="default" w:ascii="Times New Roman" w:hAnsi="Times New Roman" w:cs="Times New Roman"/>
                      <w:color w:val="auto"/>
                      <w:sz w:val="21"/>
                      <w:szCs w:val="21"/>
                      <w:lang w:val="en-US" w:eastAsia="zh-CN"/>
                    </w:rPr>
                    <w:t>危险废物</w:t>
                  </w:r>
                  <w:r>
                    <w:rPr>
                      <w:rFonts w:hint="default" w:ascii="Times New Roman" w:hAnsi="Times New Roman" w:eastAsia="宋体" w:cs="Times New Roman"/>
                      <w:color w:val="auto"/>
                      <w:sz w:val="21"/>
                      <w:szCs w:val="21"/>
                    </w:rPr>
                    <w:t>由公司工作人员及时</w:t>
                  </w:r>
                  <w:r>
                    <w:rPr>
                      <w:rFonts w:hint="default" w:ascii="Times New Roman" w:hAnsi="Times New Roman" w:cs="Times New Roman"/>
                      <w:color w:val="auto"/>
                      <w:sz w:val="21"/>
                      <w:szCs w:val="21"/>
                      <w:lang w:eastAsia="zh-CN"/>
                    </w:rPr>
                    <w:t>交由</w:t>
                  </w:r>
                  <w:r>
                    <w:rPr>
                      <w:rFonts w:hint="default" w:ascii="Times New Roman" w:hAnsi="Times New Roman" w:eastAsia="宋体" w:cs="Times New Roman"/>
                      <w:color w:val="auto"/>
                      <w:sz w:val="21"/>
                      <w:szCs w:val="21"/>
                    </w:rPr>
                    <w:t>资质单位处置</w:t>
                  </w:r>
                  <w:r>
                    <w:rPr>
                      <w:rFonts w:hint="default" w:ascii="Times New Roman" w:hAnsi="Times New Roman" w:cs="Times New Roman"/>
                      <w:color w:val="auto"/>
                      <w:sz w:val="21"/>
                      <w:szCs w:val="21"/>
                      <w:lang w:eastAsia="zh-CN"/>
                    </w:rPr>
                    <w:t>，</w:t>
                  </w:r>
                  <w:r>
                    <w:rPr>
                      <w:rFonts w:hint="default" w:ascii="Times New Roman" w:hAnsi="Times New Roman" w:eastAsia="宋体" w:cs="Times New Roman"/>
                      <w:color w:val="auto"/>
                      <w:kern w:val="0"/>
                      <w:sz w:val="20"/>
                      <w:szCs w:val="20"/>
                      <w:lang w:val="en-US" w:eastAsia="zh-CN" w:bidi="ar"/>
                    </w:rPr>
                    <w:t>事故油池等</w:t>
                  </w:r>
                </w:p>
              </w:tc>
              <w:tc>
                <w:tcPr>
                  <w:tcW w:w="540" w:type="pct"/>
                  <w:noWrap w:val="0"/>
                  <w:vAlign w:val="center"/>
                </w:tcPr>
                <w:p w14:paraId="3A7C459B">
                  <w:pPr>
                    <w:adjustRightIn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20</w:t>
                  </w:r>
                </w:p>
              </w:tc>
            </w:tr>
            <w:tr w14:paraId="41EC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2" w:hRule="atLeast"/>
                <w:jc w:val="center"/>
              </w:trPr>
              <w:tc>
                <w:tcPr>
                  <w:tcW w:w="308" w:type="pct"/>
                  <w:noWrap w:val="0"/>
                  <w:vAlign w:val="center"/>
                </w:tcPr>
                <w:p w14:paraId="6E051D21">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625" w:type="pct"/>
                  <w:noWrap w:val="0"/>
                  <w:vAlign w:val="center"/>
                </w:tcPr>
                <w:p w14:paraId="48861B8C">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噪声治理</w:t>
                  </w:r>
                </w:p>
              </w:tc>
              <w:tc>
                <w:tcPr>
                  <w:tcW w:w="622" w:type="pct"/>
                  <w:noWrap w:val="0"/>
                  <w:vAlign w:val="center"/>
                </w:tcPr>
                <w:p w14:paraId="6C73FA23">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运行期</w:t>
                  </w:r>
                </w:p>
              </w:tc>
              <w:tc>
                <w:tcPr>
                  <w:tcW w:w="2904" w:type="pct"/>
                  <w:gridSpan w:val="2"/>
                  <w:noWrap w:val="0"/>
                  <w:vAlign w:val="center"/>
                </w:tcPr>
                <w:p w14:paraId="78691E64">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选用低噪声设备；加强日常保养和维护，使其良好运行</w:t>
                  </w:r>
                </w:p>
              </w:tc>
              <w:tc>
                <w:tcPr>
                  <w:tcW w:w="540" w:type="pct"/>
                  <w:noWrap w:val="0"/>
                  <w:vAlign w:val="center"/>
                </w:tcPr>
                <w:p w14:paraId="27A86730">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w:t>
                  </w:r>
                </w:p>
              </w:tc>
            </w:tr>
            <w:tr w14:paraId="7DD3E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2" w:hRule="atLeast"/>
                <w:jc w:val="center"/>
              </w:trPr>
              <w:tc>
                <w:tcPr>
                  <w:tcW w:w="308" w:type="pct"/>
                  <w:noWrap w:val="0"/>
                  <w:vAlign w:val="center"/>
                </w:tcPr>
                <w:p w14:paraId="4FA3642A">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625" w:type="pct"/>
                  <w:noWrap w:val="0"/>
                  <w:vAlign w:val="center"/>
                </w:tcPr>
                <w:p w14:paraId="2800214D">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水土保持</w:t>
                  </w:r>
                </w:p>
              </w:tc>
              <w:tc>
                <w:tcPr>
                  <w:tcW w:w="622" w:type="pct"/>
                  <w:noWrap w:val="0"/>
                  <w:vAlign w:val="center"/>
                </w:tcPr>
                <w:p w14:paraId="504D2C6B">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施工期</w:t>
                  </w:r>
                </w:p>
              </w:tc>
              <w:tc>
                <w:tcPr>
                  <w:tcW w:w="2904" w:type="pct"/>
                  <w:gridSpan w:val="2"/>
                  <w:noWrap w:val="0"/>
                  <w:vAlign w:val="center"/>
                </w:tcPr>
                <w:p w14:paraId="04B0F46A">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地貌恢复</w:t>
                  </w:r>
                </w:p>
              </w:tc>
              <w:tc>
                <w:tcPr>
                  <w:tcW w:w="540" w:type="pct"/>
                  <w:noWrap w:val="0"/>
                  <w:vAlign w:val="center"/>
                </w:tcPr>
                <w:p w14:paraId="5841F9C6">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50</w:t>
                  </w:r>
                  <w:r>
                    <w:rPr>
                      <w:rFonts w:hint="default" w:ascii="Times New Roman" w:hAnsi="Times New Roman" w:eastAsia="宋体" w:cs="Times New Roman"/>
                      <w:color w:val="auto"/>
                      <w:sz w:val="21"/>
                      <w:szCs w:val="21"/>
                    </w:rPr>
                    <w:t>0</w:t>
                  </w:r>
                </w:p>
              </w:tc>
            </w:tr>
            <w:tr w14:paraId="5F8E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2" w:hRule="atLeast"/>
                <w:jc w:val="center"/>
              </w:trPr>
              <w:tc>
                <w:tcPr>
                  <w:tcW w:w="308" w:type="pct"/>
                  <w:noWrap w:val="0"/>
                  <w:vAlign w:val="center"/>
                </w:tcPr>
                <w:p w14:paraId="57736E48">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625" w:type="pct"/>
                  <w:noWrap w:val="0"/>
                  <w:vAlign w:val="center"/>
                </w:tcPr>
                <w:p w14:paraId="555725F0">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生态恢复</w:t>
                  </w:r>
                </w:p>
              </w:tc>
              <w:tc>
                <w:tcPr>
                  <w:tcW w:w="622" w:type="pct"/>
                  <w:noWrap w:val="0"/>
                  <w:vAlign w:val="center"/>
                </w:tcPr>
                <w:p w14:paraId="6958C8A9">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施工期</w:t>
                  </w:r>
                </w:p>
              </w:tc>
              <w:tc>
                <w:tcPr>
                  <w:tcW w:w="2904" w:type="pct"/>
                  <w:gridSpan w:val="2"/>
                  <w:noWrap w:val="0"/>
                  <w:vAlign w:val="center"/>
                </w:tcPr>
                <w:p w14:paraId="14A1CEFB">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临时用地生态恢复</w:t>
                  </w:r>
                </w:p>
              </w:tc>
              <w:tc>
                <w:tcPr>
                  <w:tcW w:w="540" w:type="pct"/>
                  <w:noWrap w:val="0"/>
                  <w:vAlign w:val="center"/>
                </w:tcPr>
                <w:p w14:paraId="2A69ADE0">
                  <w:pPr>
                    <w:adjustRightInd w:val="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eastAsia="zh-CN"/>
                    </w:rPr>
                    <w:t>500</w:t>
                  </w:r>
                </w:p>
              </w:tc>
            </w:tr>
            <w:tr w14:paraId="14B9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17" w:hRule="atLeast"/>
                <w:jc w:val="center"/>
              </w:trPr>
              <w:tc>
                <w:tcPr>
                  <w:tcW w:w="308" w:type="pct"/>
                  <w:noWrap w:val="0"/>
                  <w:vAlign w:val="center"/>
                </w:tcPr>
                <w:p w14:paraId="793EE778">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w:t>
                  </w:r>
                </w:p>
              </w:tc>
              <w:tc>
                <w:tcPr>
                  <w:tcW w:w="4151" w:type="pct"/>
                  <w:gridSpan w:val="4"/>
                  <w:noWrap w:val="0"/>
                  <w:vAlign w:val="center"/>
                </w:tcPr>
                <w:p w14:paraId="3B8BEDC3">
                  <w:pPr>
                    <w:adjustRightIn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合计</w:t>
                  </w:r>
                </w:p>
              </w:tc>
              <w:tc>
                <w:tcPr>
                  <w:tcW w:w="540" w:type="pct"/>
                  <w:noWrap w:val="0"/>
                  <w:vAlign w:val="center"/>
                </w:tcPr>
                <w:p w14:paraId="6AE52260">
                  <w:pPr>
                    <w:adjustRightIn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1075</w:t>
                  </w:r>
                </w:p>
              </w:tc>
            </w:tr>
          </w:tbl>
          <w:p w14:paraId="47D0E3C1">
            <w:pPr>
              <w:adjustRightInd w:val="0"/>
              <w:snapToGrid w:val="0"/>
              <w:rPr>
                <w:rFonts w:hint="default" w:ascii="Times New Roman" w:hAnsi="Times New Roman" w:cs="Times New Roman"/>
                <w:color w:val="auto"/>
              </w:rPr>
            </w:pPr>
          </w:p>
          <w:p w14:paraId="1C0422F5">
            <w:pPr>
              <w:pStyle w:val="15"/>
              <w:ind w:left="0" w:leftChars="0" w:firstLine="0" w:firstLineChars="0"/>
              <w:rPr>
                <w:rFonts w:hint="default" w:ascii="Times New Roman" w:hAnsi="Times New Roman" w:cs="Times New Roman"/>
                <w:color w:val="auto"/>
              </w:rPr>
            </w:pPr>
          </w:p>
          <w:p w14:paraId="622EF79E">
            <w:pPr>
              <w:pStyle w:val="12"/>
              <w:rPr>
                <w:rFonts w:hint="default" w:ascii="Times New Roman" w:hAnsi="Times New Roman" w:cs="Times New Roman"/>
                <w:color w:val="auto"/>
              </w:rPr>
            </w:pPr>
          </w:p>
          <w:p w14:paraId="119E7C43">
            <w:pPr>
              <w:pStyle w:val="20"/>
              <w:rPr>
                <w:rFonts w:hint="default" w:ascii="Times New Roman" w:hAnsi="Times New Roman" w:cs="Times New Roman"/>
                <w:bCs/>
                <w:color w:val="auto"/>
                <w:spacing w:val="10"/>
                <w:sz w:val="24"/>
              </w:rPr>
            </w:pPr>
          </w:p>
          <w:p w14:paraId="0890D64A">
            <w:pPr>
              <w:pStyle w:val="20"/>
              <w:rPr>
                <w:rFonts w:hint="default" w:ascii="Times New Roman" w:hAnsi="Times New Roman" w:cs="Times New Roman"/>
                <w:bCs/>
                <w:color w:val="auto"/>
                <w:spacing w:val="10"/>
                <w:sz w:val="24"/>
              </w:rPr>
            </w:pPr>
          </w:p>
          <w:p w14:paraId="1F92D37C">
            <w:pPr>
              <w:pStyle w:val="20"/>
              <w:rPr>
                <w:rFonts w:hint="default" w:ascii="Times New Roman" w:hAnsi="Times New Roman" w:cs="Times New Roman"/>
                <w:bCs/>
                <w:color w:val="auto"/>
                <w:spacing w:val="10"/>
                <w:sz w:val="24"/>
              </w:rPr>
            </w:pPr>
          </w:p>
          <w:p w14:paraId="218D950B">
            <w:pPr>
              <w:pStyle w:val="20"/>
              <w:rPr>
                <w:rFonts w:hint="default" w:ascii="Times New Roman" w:hAnsi="Times New Roman" w:cs="Times New Roman"/>
                <w:bCs/>
                <w:color w:val="auto"/>
                <w:spacing w:val="10"/>
                <w:sz w:val="24"/>
              </w:rPr>
            </w:pPr>
          </w:p>
          <w:p w14:paraId="546B93D7">
            <w:pPr>
              <w:pStyle w:val="20"/>
              <w:rPr>
                <w:rFonts w:hint="default" w:ascii="Times New Roman" w:hAnsi="Times New Roman" w:cs="Times New Roman"/>
                <w:bCs/>
                <w:color w:val="auto"/>
                <w:spacing w:val="10"/>
                <w:sz w:val="24"/>
              </w:rPr>
            </w:pPr>
          </w:p>
        </w:tc>
      </w:tr>
    </w:tbl>
    <w:p w14:paraId="2EAE47DD">
      <w:pPr>
        <w:pStyle w:val="14"/>
        <w:rPr>
          <w:rFonts w:hint="default" w:ascii="Times New Roman" w:hAnsi="Times New Roman" w:cs="Times New Roman"/>
          <w:color w:val="auto"/>
        </w:rPr>
        <w:sectPr>
          <w:pgSz w:w="11907" w:h="16840"/>
          <w:pgMar w:top="1440" w:right="1797" w:bottom="1440" w:left="1797" w:header="851" w:footer="1077" w:gutter="0"/>
          <w:pgBorders>
            <w:top w:val="none" w:sz="0" w:space="0"/>
            <w:left w:val="none" w:sz="0" w:space="0"/>
            <w:bottom w:val="none" w:sz="0" w:space="0"/>
            <w:right w:val="none" w:sz="0" w:space="0"/>
          </w:pgBorders>
          <w:pgNumType w:fmt="decimal"/>
          <w:cols w:space="720" w:num="1"/>
          <w:docGrid w:linePitch="312" w:charSpace="0"/>
        </w:sectPr>
      </w:pPr>
    </w:p>
    <w:p w14:paraId="6274D2C6">
      <w:pPr>
        <w:pStyle w:val="21"/>
        <w:jc w:val="center"/>
        <w:outlineLvl w:val="0"/>
        <w:rPr>
          <w:rFonts w:hint="default" w:ascii="Times New Roman" w:hAnsi="Times New Roman" w:eastAsia="黑体" w:cs="Times New Roman"/>
          <w:snapToGrid w:val="0"/>
          <w:color w:val="auto"/>
          <w:sz w:val="30"/>
          <w:szCs w:val="30"/>
        </w:rPr>
      </w:pPr>
      <w:bookmarkStart w:id="9" w:name="_Toc16768"/>
      <w:r>
        <w:rPr>
          <w:rFonts w:hint="default" w:ascii="Times New Roman" w:hAnsi="Times New Roman" w:eastAsia="黑体" w:cs="Times New Roman"/>
          <w:snapToGrid w:val="0"/>
          <w:color w:val="auto"/>
          <w:sz w:val="30"/>
          <w:szCs w:val="30"/>
        </w:rPr>
        <w:t>六、生态环境保护措施监督检查清单</w:t>
      </w:r>
      <w:bookmarkEnd w:id="9"/>
    </w:p>
    <w:tbl>
      <w:tblPr>
        <w:tblStyle w:val="22"/>
        <w:tblW w:w="881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883"/>
        <w:gridCol w:w="1932"/>
        <w:gridCol w:w="1669"/>
        <w:gridCol w:w="1946"/>
      </w:tblGrid>
      <w:tr w14:paraId="6DC08A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389" w:type="dxa"/>
            <w:vMerge w:val="restart"/>
            <w:tcBorders>
              <w:tl2br w:val="single" w:color="auto" w:sz="4" w:space="0"/>
            </w:tcBorders>
            <w:noWrap w:val="0"/>
            <w:vAlign w:val="top"/>
          </w:tcPr>
          <w:p w14:paraId="0221DF98">
            <w:pPr>
              <w:pStyle w:val="21"/>
              <w:adjustRightInd w:val="0"/>
              <w:snapToGrid w:val="0"/>
              <w:spacing w:before="72" w:beforeLines="30" w:beforeAutospacing="0" w:after="0" w:afterAutospacing="0"/>
              <w:jc w:val="right"/>
              <w:outlineLvl w:val="0"/>
              <w:rPr>
                <w:rFonts w:hint="default" w:ascii="Times New Roman" w:hAnsi="Times New Roman" w:eastAsia="宋体" w:cs="Times New Roman"/>
                <w:color w:val="auto"/>
                <w:kern w:val="2"/>
                <w:lang w:eastAsia="zh-CN"/>
              </w:rPr>
            </w:pPr>
            <w:bookmarkStart w:id="10" w:name="_Toc9020"/>
            <w:r>
              <w:rPr>
                <w:rFonts w:hint="default" w:ascii="Times New Roman" w:hAnsi="Times New Roman" w:cs="Times New Roman"/>
                <w:color w:val="auto"/>
                <w:kern w:val="2"/>
              </w:rPr>
              <w:t>内容</w:t>
            </w:r>
            <w:bookmarkEnd w:id="10"/>
          </w:p>
          <w:p w14:paraId="6E567EF7">
            <w:pPr>
              <w:pStyle w:val="21"/>
              <w:adjustRightInd w:val="0"/>
              <w:snapToGrid w:val="0"/>
              <w:spacing w:before="0" w:beforeAutospacing="0" w:after="0" w:afterAutospacing="0" w:line="14" w:lineRule="auto"/>
              <w:outlineLvl w:val="9"/>
              <w:rPr>
                <w:rFonts w:hint="default" w:ascii="Times New Roman" w:hAnsi="Times New Roman" w:eastAsia="宋体" w:cs="Times New Roman"/>
                <w:color w:val="auto"/>
                <w:kern w:val="2"/>
                <w:lang w:eastAsia="zh-CN"/>
              </w:rPr>
            </w:pPr>
          </w:p>
          <w:p w14:paraId="0A121356">
            <w:pPr>
              <w:pStyle w:val="21"/>
              <w:adjustRightInd w:val="0"/>
              <w:snapToGrid w:val="0"/>
              <w:spacing w:before="0" w:beforeAutospacing="0" w:after="0" w:afterAutospacing="0"/>
              <w:outlineLvl w:val="0"/>
              <w:rPr>
                <w:rFonts w:hint="default" w:ascii="Times New Roman" w:hAnsi="Times New Roman" w:cs="Times New Roman"/>
                <w:color w:val="auto"/>
                <w:kern w:val="2"/>
              </w:rPr>
            </w:pPr>
            <w:bookmarkStart w:id="11" w:name="_Toc6714"/>
          </w:p>
          <w:p w14:paraId="4E0D8C7C">
            <w:pPr>
              <w:pStyle w:val="21"/>
              <w:adjustRightInd w:val="0"/>
              <w:snapToGrid w:val="0"/>
              <w:spacing w:before="0" w:beforeAutospacing="0" w:after="0" w:afterAutospacing="0"/>
              <w:outlineLvl w:val="0"/>
              <w:rPr>
                <w:rFonts w:hint="default" w:ascii="Times New Roman" w:hAnsi="Times New Roman" w:cs="Times New Roman"/>
                <w:color w:val="auto"/>
                <w:kern w:val="2"/>
              </w:rPr>
            </w:pPr>
            <w:r>
              <w:rPr>
                <w:rFonts w:hint="default" w:ascii="Times New Roman" w:hAnsi="Times New Roman" w:cs="Times New Roman"/>
                <w:color w:val="auto"/>
                <w:kern w:val="2"/>
              </w:rPr>
              <w:t>要素</w:t>
            </w:r>
            <w:bookmarkEnd w:id="11"/>
          </w:p>
        </w:tc>
        <w:tc>
          <w:tcPr>
            <w:tcW w:w="3815" w:type="dxa"/>
            <w:gridSpan w:val="2"/>
            <w:noWrap w:val="0"/>
            <w:vAlign w:val="center"/>
          </w:tcPr>
          <w:p w14:paraId="54BDF1E3">
            <w:pPr>
              <w:pStyle w:val="21"/>
              <w:adjustRightInd w:val="0"/>
              <w:snapToGrid w:val="0"/>
              <w:spacing w:before="0" w:beforeAutospacing="0" w:after="0" w:afterAutospacing="0"/>
              <w:jc w:val="center"/>
              <w:outlineLvl w:val="0"/>
              <w:rPr>
                <w:rFonts w:hint="default" w:ascii="Times New Roman" w:hAnsi="Times New Roman" w:cs="Times New Roman"/>
                <w:color w:val="auto"/>
                <w:kern w:val="2"/>
              </w:rPr>
            </w:pPr>
            <w:bookmarkStart w:id="12" w:name="_Toc23128"/>
            <w:r>
              <w:rPr>
                <w:rFonts w:hint="default" w:ascii="Times New Roman" w:hAnsi="Times New Roman" w:cs="Times New Roman"/>
                <w:color w:val="auto"/>
                <w:kern w:val="2"/>
              </w:rPr>
              <w:t>施工期</w:t>
            </w:r>
            <w:bookmarkEnd w:id="12"/>
          </w:p>
        </w:tc>
        <w:tc>
          <w:tcPr>
            <w:tcW w:w="3615" w:type="dxa"/>
            <w:gridSpan w:val="2"/>
            <w:noWrap w:val="0"/>
            <w:vAlign w:val="center"/>
          </w:tcPr>
          <w:p w14:paraId="6D060579">
            <w:pPr>
              <w:pStyle w:val="21"/>
              <w:adjustRightInd w:val="0"/>
              <w:snapToGrid w:val="0"/>
              <w:spacing w:before="0" w:beforeAutospacing="0" w:after="0" w:afterAutospacing="0"/>
              <w:jc w:val="center"/>
              <w:outlineLvl w:val="0"/>
              <w:rPr>
                <w:rFonts w:hint="default" w:ascii="Times New Roman" w:hAnsi="Times New Roman" w:cs="Times New Roman"/>
                <w:color w:val="auto"/>
                <w:kern w:val="2"/>
              </w:rPr>
            </w:pPr>
            <w:bookmarkStart w:id="13" w:name="_Toc32167"/>
            <w:r>
              <w:rPr>
                <w:rFonts w:hint="default" w:ascii="Times New Roman" w:hAnsi="Times New Roman" w:cs="Times New Roman"/>
                <w:color w:val="auto"/>
                <w:kern w:val="2"/>
              </w:rPr>
              <w:t>运营期</w:t>
            </w:r>
            <w:bookmarkEnd w:id="13"/>
          </w:p>
        </w:tc>
      </w:tr>
      <w:tr w14:paraId="61DC3D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389" w:type="dxa"/>
            <w:vMerge w:val="continue"/>
            <w:noWrap w:val="0"/>
            <w:vAlign w:val="top"/>
          </w:tcPr>
          <w:p w14:paraId="27993239">
            <w:pPr>
              <w:pStyle w:val="21"/>
              <w:adjustRightInd w:val="0"/>
              <w:snapToGrid w:val="0"/>
              <w:spacing w:before="0" w:beforeAutospacing="0" w:after="0" w:afterAutospacing="0"/>
              <w:ind w:firstLine="840"/>
              <w:jc w:val="center"/>
              <w:outlineLvl w:val="9"/>
              <w:rPr>
                <w:rFonts w:hint="default" w:ascii="Times New Roman" w:hAnsi="Times New Roman" w:cs="Times New Roman"/>
                <w:color w:val="auto"/>
                <w:kern w:val="2"/>
              </w:rPr>
            </w:pPr>
          </w:p>
        </w:tc>
        <w:tc>
          <w:tcPr>
            <w:tcW w:w="1883" w:type="dxa"/>
            <w:noWrap w:val="0"/>
            <w:vAlign w:val="center"/>
          </w:tcPr>
          <w:p w14:paraId="5B1FFF13">
            <w:pPr>
              <w:pStyle w:val="21"/>
              <w:adjustRightInd w:val="0"/>
              <w:snapToGrid w:val="0"/>
              <w:spacing w:before="0" w:beforeAutospacing="0" w:after="0" w:afterAutospacing="0"/>
              <w:jc w:val="center"/>
              <w:outlineLvl w:val="0"/>
              <w:rPr>
                <w:rFonts w:hint="default" w:ascii="Times New Roman" w:hAnsi="Times New Roman" w:cs="Times New Roman"/>
                <w:color w:val="auto"/>
                <w:kern w:val="2"/>
              </w:rPr>
            </w:pPr>
            <w:bookmarkStart w:id="14" w:name="_Toc12275"/>
            <w:r>
              <w:rPr>
                <w:rFonts w:hint="default" w:ascii="Times New Roman" w:hAnsi="Times New Roman" w:cs="Times New Roman"/>
                <w:color w:val="auto"/>
                <w:kern w:val="2"/>
              </w:rPr>
              <w:t>环境保护</w:t>
            </w:r>
            <w:bookmarkEnd w:id="14"/>
            <w:bookmarkStart w:id="15" w:name="_Toc11991"/>
            <w:r>
              <w:rPr>
                <w:rFonts w:hint="default" w:ascii="Times New Roman" w:hAnsi="Times New Roman" w:cs="Times New Roman"/>
                <w:color w:val="auto"/>
                <w:kern w:val="2"/>
              </w:rPr>
              <w:t>措施</w:t>
            </w:r>
            <w:bookmarkEnd w:id="15"/>
          </w:p>
        </w:tc>
        <w:tc>
          <w:tcPr>
            <w:tcW w:w="1932" w:type="dxa"/>
            <w:noWrap w:val="0"/>
            <w:vAlign w:val="center"/>
          </w:tcPr>
          <w:p w14:paraId="1BFE5213">
            <w:pPr>
              <w:pStyle w:val="21"/>
              <w:adjustRightInd w:val="0"/>
              <w:snapToGrid w:val="0"/>
              <w:spacing w:before="0" w:beforeAutospacing="0" w:after="0" w:afterAutospacing="0"/>
              <w:jc w:val="center"/>
              <w:outlineLvl w:val="0"/>
              <w:rPr>
                <w:rFonts w:hint="default" w:ascii="Times New Roman" w:hAnsi="Times New Roman" w:cs="Times New Roman"/>
                <w:color w:val="auto"/>
                <w:kern w:val="2"/>
              </w:rPr>
            </w:pPr>
            <w:bookmarkStart w:id="16" w:name="_Toc29058"/>
            <w:r>
              <w:rPr>
                <w:rFonts w:hint="default" w:ascii="Times New Roman" w:hAnsi="Times New Roman" w:cs="Times New Roman"/>
                <w:color w:val="auto"/>
                <w:kern w:val="2"/>
              </w:rPr>
              <w:t>验收要求</w:t>
            </w:r>
            <w:bookmarkEnd w:id="16"/>
          </w:p>
        </w:tc>
        <w:tc>
          <w:tcPr>
            <w:tcW w:w="1669" w:type="dxa"/>
            <w:noWrap w:val="0"/>
            <w:vAlign w:val="center"/>
          </w:tcPr>
          <w:p w14:paraId="7CFC6A92">
            <w:pPr>
              <w:pStyle w:val="21"/>
              <w:adjustRightInd w:val="0"/>
              <w:snapToGrid w:val="0"/>
              <w:spacing w:before="0" w:beforeAutospacing="0" w:after="0" w:afterAutospacing="0"/>
              <w:jc w:val="center"/>
              <w:outlineLvl w:val="0"/>
              <w:rPr>
                <w:rFonts w:hint="default" w:ascii="Times New Roman" w:hAnsi="Times New Roman" w:cs="Times New Roman"/>
                <w:color w:val="auto"/>
                <w:kern w:val="2"/>
              </w:rPr>
            </w:pPr>
            <w:bookmarkStart w:id="17" w:name="_Toc10606"/>
            <w:r>
              <w:rPr>
                <w:rFonts w:hint="default" w:ascii="Times New Roman" w:hAnsi="Times New Roman" w:cs="Times New Roman"/>
                <w:color w:val="auto"/>
                <w:kern w:val="2"/>
              </w:rPr>
              <w:t>环境保护</w:t>
            </w:r>
            <w:bookmarkEnd w:id="17"/>
            <w:bookmarkStart w:id="18" w:name="_Toc2070"/>
            <w:r>
              <w:rPr>
                <w:rFonts w:hint="default" w:ascii="Times New Roman" w:hAnsi="Times New Roman" w:cs="Times New Roman"/>
                <w:color w:val="auto"/>
                <w:kern w:val="2"/>
              </w:rPr>
              <w:t>措施</w:t>
            </w:r>
            <w:bookmarkEnd w:id="18"/>
          </w:p>
        </w:tc>
        <w:tc>
          <w:tcPr>
            <w:tcW w:w="1946" w:type="dxa"/>
            <w:noWrap w:val="0"/>
            <w:vAlign w:val="center"/>
          </w:tcPr>
          <w:p w14:paraId="0A3D1638">
            <w:pPr>
              <w:pStyle w:val="21"/>
              <w:adjustRightInd w:val="0"/>
              <w:snapToGrid w:val="0"/>
              <w:spacing w:before="0" w:beforeAutospacing="0" w:after="0" w:afterAutospacing="0"/>
              <w:jc w:val="center"/>
              <w:outlineLvl w:val="0"/>
              <w:rPr>
                <w:rFonts w:hint="default" w:ascii="Times New Roman" w:hAnsi="Times New Roman" w:cs="Times New Roman"/>
                <w:color w:val="auto"/>
                <w:kern w:val="2"/>
              </w:rPr>
            </w:pPr>
            <w:bookmarkStart w:id="19" w:name="_Toc1607"/>
            <w:r>
              <w:rPr>
                <w:rFonts w:hint="default" w:ascii="Times New Roman" w:hAnsi="Times New Roman" w:cs="Times New Roman"/>
                <w:color w:val="auto"/>
                <w:kern w:val="2"/>
              </w:rPr>
              <w:t>验收要求</w:t>
            </w:r>
            <w:bookmarkEnd w:id="19"/>
          </w:p>
        </w:tc>
      </w:tr>
      <w:tr w14:paraId="05F837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1389" w:type="dxa"/>
            <w:noWrap w:val="0"/>
            <w:vAlign w:val="center"/>
          </w:tcPr>
          <w:p w14:paraId="5D30837E">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陆生生态</w:t>
            </w:r>
          </w:p>
        </w:tc>
        <w:tc>
          <w:tcPr>
            <w:tcW w:w="1883" w:type="dxa"/>
            <w:noWrap w:val="0"/>
            <w:vAlign w:val="center"/>
          </w:tcPr>
          <w:p w14:paraId="1269B8B5">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减少占地</w:t>
            </w:r>
          </w:p>
        </w:tc>
        <w:tc>
          <w:tcPr>
            <w:tcW w:w="1932" w:type="dxa"/>
            <w:noWrap w:val="0"/>
            <w:vAlign w:val="center"/>
          </w:tcPr>
          <w:p w14:paraId="54B2105B">
            <w:pPr>
              <w:adjustRightInd w:val="0"/>
              <w:snapToGrid w:val="0"/>
              <w:rPr>
                <w:rFonts w:hint="default" w:ascii="Times New Roman" w:hAnsi="Times New Roman" w:cs="Times New Roman"/>
                <w:color w:val="auto"/>
                <w:sz w:val="24"/>
              </w:rPr>
            </w:pPr>
            <w:r>
              <w:rPr>
                <w:rFonts w:hint="default" w:ascii="Times New Roman" w:hAnsi="Times New Roman" w:cs="Times New Roman"/>
                <w:color w:val="auto"/>
                <w:sz w:val="24"/>
              </w:rPr>
              <w:t>弃土用于场地平整及临时占地生态恢复；</w:t>
            </w:r>
          </w:p>
        </w:tc>
        <w:tc>
          <w:tcPr>
            <w:tcW w:w="1669" w:type="dxa"/>
            <w:noWrap w:val="0"/>
            <w:vAlign w:val="center"/>
          </w:tcPr>
          <w:p w14:paraId="050FAABF">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c>
          <w:tcPr>
            <w:tcW w:w="1946" w:type="dxa"/>
            <w:noWrap w:val="0"/>
            <w:vAlign w:val="center"/>
          </w:tcPr>
          <w:p w14:paraId="525122F4">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r>
      <w:tr w14:paraId="2F6BB5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389" w:type="dxa"/>
            <w:noWrap w:val="0"/>
            <w:vAlign w:val="center"/>
          </w:tcPr>
          <w:p w14:paraId="2C0E808C">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水生生态</w:t>
            </w:r>
          </w:p>
        </w:tc>
        <w:tc>
          <w:tcPr>
            <w:tcW w:w="1883" w:type="dxa"/>
            <w:noWrap w:val="0"/>
            <w:vAlign w:val="center"/>
          </w:tcPr>
          <w:p w14:paraId="2BCCC8A1">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c>
          <w:tcPr>
            <w:tcW w:w="1932" w:type="dxa"/>
            <w:noWrap w:val="0"/>
            <w:vAlign w:val="center"/>
          </w:tcPr>
          <w:p w14:paraId="1FA958F9">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c>
          <w:tcPr>
            <w:tcW w:w="1669" w:type="dxa"/>
            <w:noWrap w:val="0"/>
            <w:vAlign w:val="center"/>
          </w:tcPr>
          <w:p w14:paraId="391A9F84">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c>
          <w:tcPr>
            <w:tcW w:w="1946" w:type="dxa"/>
            <w:noWrap w:val="0"/>
            <w:vAlign w:val="center"/>
          </w:tcPr>
          <w:p w14:paraId="40CB8C48">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r>
      <w:tr w14:paraId="60B093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389" w:type="dxa"/>
            <w:noWrap w:val="0"/>
            <w:vAlign w:val="center"/>
          </w:tcPr>
          <w:p w14:paraId="231B88BD">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地表水</w:t>
            </w:r>
          </w:p>
          <w:p w14:paraId="28E5F2AD">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环境</w:t>
            </w:r>
          </w:p>
        </w:tc>
        <w:tc>
          <w:tcPr>
            <w:tcW w:w="1883" w:type="dxa"/>
            <w:noWrap w:val="0"/>
            <w:vAlign w:val="center"/>
          </w:tcPr>
          <w:p w14:paraId="1EE87EFE">
            <w:pPr>
              <w:adjustRightInd w:val="0"/>
              <w:snapToGrid w:val="0"/>
              <w:rPr>
                <w:rFonts w:hint="default" w:ascii="Times New Roman" w:hAnsi="Times New Roman" w:cs="Times New Roman"/>
                <w:color w:val="auto"/>
                <w:sz w:val="24"/>
              </w:rPr>
            </w:pPr>
            <w:r>
              <w:rPr>
                <w:rFonts w:hint="default" w:ascii="Times New Roman" w:hAnsi="Times New Roman" w:cs="Times New Roman"/>
                <w:color w:val="auto"/>
                <w:sz w:val="24"/>
              </w:rPr>
              <w:t>施工废水经沉淀池沉淀后回用工段；施工期生活污水排入临时环保公厕。</w:t>
            </w:r>
          </w:p>
        </w:tc>
        <w:tc>
          <w:tcPr>
            <w:tcW w:w="1932" w:type="dxa"/>
            <w:noWrap w:val="0"/>
            <w:vAlign w:val="center"/>
          </w:tcPr>
          <w:p w14:paraId="15068F36">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废水不外排</w:t>
            </w:r>
          </w:p>
        </w:tc>
        <w:tc>
          <w:tcPr>
            <w:tcW w:w="1669" w:type="dxa"/>
            <w:noWrap w:val="0"/>
            <w:vAlign w:val="center"/>
          </w:tcPr>
          <w:p w14:paraId="6FBED169">
            <w:pPr>
              <w:adjustRightInd w:val="0"/>
              <w:snapToGrid w:val="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w:t>
            </w:r>
          </w:p>
        </w:tc>
        <w:tc>
          <w:tcPr>
            <w:tcW w:w="1946" w:type="dxa"/>
            <w:noWrap w:val="0"/>
            <w:vAlign w:val="center"/>
          </w:tcPr>
          <w:p w14:paraId="4A1D367F">
            <w:pPr>
              <w:adjustRightInd w:val="0"/>
              <w:snapToGrid w:val="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w:t>
            </w:r>
          </w:p>
        </w:tc>
      </w:tr>
      <w:tr w14:paraId="19C091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1389" w:type="dxa"/>
            <w:noWrap w:val="0"/>
            <w:vAlign w:val="center"/>
          </w:tcPr>
          <w:p w14:paraId="773A3E15">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地下水及土壤环境</w:t>
            </w:r>
          </w:p>
        </w:tc>
        <w:tc>
          <w:tcPr>
            <w:tcW w:w="1883" w:type="dxa"/>
            <w:noWrap w:val="0"/>
            <w:vAlign w:val="center"/>
          </w:tcPr>
          <w:p w14:paraId="7F36FB0A">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c>
          <w:tcPr>
            <w:tcW w:w="1932" w:type="dxa"/>
            <w:noWrap w:val="0"/>
            <w:vAlign w:val="center"/>
          </w:tcPr>
          <w:p w14:paraId="52F09E48">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c>
          <w:tcPr>
            <w:tcW w:w="1669" w:type="dxa"/>
            <w:noWrap w:val="0"/>
            <w:vAlign w:val="center"/>
          </w:tcPr>
          <w:p w14:paraId="4EC8964A">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危废暂存间和事故油池按要</w:t>
            </w:r>
          </w:p>
          <w:p w14:paraId="262DEBDD">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求做防渗</w:t>
            </w:r>
          </w:p>
        </w:tc>
        <w:tc>
          <w:tcPr>
            <w:tcW w:w="1946" w:type="dxa"/>
            <w:noWrap w:val="0"/>
            <w:vAlign w:val="center"/>
          </w:tcPr>
          <w:p w14:paraId="770BA6B0">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危废暂存间和事故油池按要</w:t>
            </w:r>
          </w:p>
          <w:p w14:paraId="5A49E2BD">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求防渗满足要求</w:t>
            </w:r>
          </w:p>
        </w:tc>
      </w:tr>
      <w:tr w14:paraId="2AA048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7" w:hRule="atLeast"/>
          <w:jc w:val="center"/>
        </w:trPr>
        <w:tc>
          <w:tcPr>
            <w:tcW w:w="1389" w:type="dxa"/>
            <w:noWrap w:val="0"/>
            <w:vAlign w:val="center"/>
          </w:tcPr>
          <w:p w14:paraId="03263B1B">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声环境</w:t>
            </w:r>
          </w:p>
        </w:tc>
        <w:tc>
          <w:tcPr>
            <w:tcW w:w="1883" w:type="dxa"/>
            <w:noWrap w:val="0"/>
            <w:vAlign w:val="center"/>
          </w:tcPr>
          <w:p w14:paraId="686DCF06">
            <w:pPr>
              <w:widowControl/>
              <w:ind w:left="-105" w:leftChars="-50" w:right="-105" w:rightChars="-50"/>
              <w:rPr>
                <w:rFonts w:hint="default" w:ascii="Times New Roman" w:hAnsi="Times New Roman" w:eastAsia="宋体" w:cs="Times New Roman"/>
                <w:color w:val="auto"/>
                <w:sz w:val="24"/>
                <w:lang w:eastAsia="zh-CN"/>
              </w:rPr>
            </w:pPr>
            <w:r>
              <w:rPr>
                <w:rFonts w:hint="default" w:ascii="Times New Roman" w:hAnsi="Times New Roman" w:cs="Times New Roman"/>
                <w:color w:val="auto"/>
                <w:kern w:val="0"/>
                <w:sz w:val="24"/>
                <w:lang w:bidi="ar"/>
              </w:rPr>
              <w:t>优先选用低噪声设备，固定类机械设备基础减震，夜间禁止施工</w:t>
            </w:r>
          </w:p>
        </w:tc>
        <w:tc>
          <w:tcPr>
            <w:tcW w:w="1932" w:type="dxa"/>
            <w:noWrap w:val="0"/>
            <w:vAlign w:val="center"/>
          </w:tcPr>
          <w:p w14:paraId="3A245369">
            <w:pPr>
              <w:adjustRightInd w:val="0"/>
              <w:snapToGrid w:val="0"/>
              <w:ind w:left="-105" w:leftChars="-50" w:right="-105" w:rightChars="-50"/>
              <w:jc w:val="center"/>
              <w:rPr>
                <w:rFonts w:hint="default" w:ascii="Times New Roman" w:hAnsi="Times New Roman" w:cs="Times New Roman"/>
                <w:color w:val="auto"/>
                <w:sz w:val="24"/>
              </w:rPr>
            </w:pPr>
            <w:r>
              <w:rPr>
                <w:rFonts w:hint="default" w:ascii="Times New Roman" w:hAnsi="Times New Roman" w:cs="Times New Roman"/>
                <w:color w:val="auto"/>
                <w:sz w:val="24"/>
              </w:rPr>
              <w:t>《建筑施工场界环境噪声排放标准》（GB12523-2011）</w:t>
            </w:r>
          </w:p>
        </w:tc>
        <w:tc>
          <w:tcPr>
            <w:tcW w:w="1669" w:type="dxa"/>
            <w:noWrap w:val="0"/>
            <w:vAlign w:val="center"/>
          </w:tcPr>
          <w:p w14:paraId="076C8993">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选用低噪声设备</w:t>
            </w:r>
          </w:p>
        </w:tc>
        <w:tc>
          <w:tcPr>
            <w:tcW w:w="1946" w:type="dxa"/>
            <w:noWrap w:val="0"/>
            <w:vAlign w:val="center"/>
          </w:tcPr>
          <w:p w14:paraId="520D1224">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szCs w:val="24"/>
              </w:rPr>
              <w:t>噪声执行《声环境质量标准》（GB3096-2008）</w:t>
            </w:r>
            <w:r>
              <w:rPr>
                <w:rFonts w:hint="default" w:ascii="Times New Roman" w:hAnsi="Times New Roman" w:cs="Times New Roman"/>
                <w:color w:val="auto"/>
                <w:sz w:val="24"/>
                <w:szCs w:val="24"/>
                <w:lang w:val="en-US" w:eastAsia="zh-CN"/>
              </w:rPr>
              <w:t>2类区域标准要求</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eastAsia="zh-CN"/>
              </w:rPr>
              <w:t>工业企业厂界环境噪声排放标准</w:t>
            </w:r>
            <w:r>
              <w:rPr>
                <w:rFonts w:hint="default" w:ascii="Times New Roman" w:hAnsi="Times New Roman" w:cs="Times New Roman"/>
                <w:color w:val="auto"/>
                <w:sz w:val="24"/>
                <w:szCs w:val="24"/>
              </w:rPr>
              <w:t>》（GB12348-2008）2类标准</w:t>
            </w:r>
          </w:p>
        </w:tc>
      </w:tr>
      <w:tr w14:paraId="079B9D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28" w:hRule="atLeast"/>
          <w:jc w:val="center"/>
        </w:trPr>
        <w:tc>
          <w:tcPr>
            <w:tcW w:w="1389" w:type="dxa"/>
            <w:noWrap w:val="0"/>
            <w:vAlign w:val="center"/>
          </w:tcPr>
          <w:p w14:paraId="39D9296F">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振动</w:t>
            </w:r>
          </w:p>
        </w:tc>
        <w:tc>
          <w:tcPr>
            <w:tcW w:w="1883" w:type="dxa"/>
            <w:noWrap w:val="0"/>
            <w:vAlign w:val="center"/>
          </w:tcPr>
          <w:p w14:paraId="1D7F2DCC">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c>
          <w:tcPr>
            <w:tcW w:w="1932" w:type="dxa"/>
            <w:noWrap w:val="0"/>
            <w:vAlign w:val="center"/>
          </w:tcPr>
          <w:p w14:paraId="7241A7EC">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c>
          <w:tcPr>
            <w:tcW w:w="1669" w:type="dxa"/>
            <w:noWrap w:val="0"/>
            <w:vAlign w:val="center"/>
          </w:tcPr>
          <w:p w14:paraId="02479BDE">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c>
          <w:tcPr>
            <w:tcW w:w="1946" w:type="dxa"/>
            <w:noWrap w:val="0"/>
            <w:vAlign w:val="center"/>
          </w:tcPr>
          <w:p w14:paraId="624DBB60">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r>
      <w:tr w14:paraId="49D6B2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59" w:hRule="atLeast"/>
          <w:jc w:val="center"/>
        </w:trPr>
        <w:tc>
          <w:tcPr>
            <w:tcW w:w="1389" w:type="dxa"/>
            <w:noWrap w:val="0"/>
            <w:vAlign w:val="center"/>
          </w:tcPr>
          <w:p w14:paraId="0427643B">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大气环境</w:t>
            </w:r>
          </w:p>
        </w:tc>
        <w:tc>
          <w:tcPr>
            <w:tcW w:w="1883" w:type="dxa"/>
            <w:tcBorders>
              <w:bottom w:val="single" w:color="000000" w:sz="4" w:space="0"/>
            </w:tcBorders>
            <w:noWrap w:val="0"/>
            <w:vAlign w:val="center"/>
          </w:tcPr>
          <w:p w14:paraId="00D224D8">
            <w:pPr>
              <w:widowControl/>
              <w:ind w:left="-105" w:leftChars="-50" w:right="-105" w:rightChars="-50"/>
              <w:rPr>
                <w:rFonts w:hint="default" w:ascii="Times New Roman" w:hAnsi="Times New Roman" w:cs="Times New Roman"/>
                <w:color w:val="auto"/>
                <w:sz w:val="24"/>
              </w:rPr>
            </w:pPr>
            <w:r>
              <w:rPr>
                <w:rFonts w:hint="default" w:ascii="Times New Roman" w:hAnsi="Times New Roman" w:cs="Times New Roman"/>
                <w:color w:val="auto"/>
                <w:kern w:val="0"/>
                <w:sz w:val="24"/>
                <w:lang w:bidi="ar"/>
              </w:rPr>
              <w:t>围挡、围栏设施、定时洒水、加强</w:t>
            </w:r>
            <w:r>
              <w:rPr>
                <w:rFonts w:hint="default" w:ascii="Times New Roman" w:hAnsi="Times New Roman" w:cs="Times New Roman"/>
                <w:color w:val="auto"/>
                <w:sz w:val="24"/>
              </w:rPr>
              <w:t>物料防尘管理措施、及时清运施工垃圾、车辆运输时覆盖帆布等</w:t>
            </w:r>
          </w:p>
        </w:tc>
        <w:tc>
          <w:tcPr>
            <w:tcW w:w="1932" w:type="dxa"/>
            <w:tcBorders>
              <w:bottom w:val="single" w:color="000000" w:sz="4" w:space="0"/>
            </w:tcBorders>
            <w:noWrap w:val="0"/>
            <w:vAlign w:val="center"/>
          </w:tcPr>
          <w:p w14:paraId="7534161A">
            <w:pPr>
              <w:widowControl/>
              <w:adjustRightInd w:val="0"/>
              <w:snapToGrid w:val="0"/>
              <w:ind w:left="-105" w:leftChars="-50" w:right="-105" w:rightChars="-50"/>
              <w:jc w:val="center"/>
              <w:rPr>
                <w:rFonts w:hint="default" w:ascii="Times New Roman" w:hAnsi="Times New Roman" w:cs="Times New Roman"/>
                <w:color w:val="auto"/>
                <w:sz w:val="24"/>
              </w:rPr>
            </w:pPr>
            <w:r>
              <w:rPr>
                <w:rFonts w:hint="default" w:ascii="Times New Roman" w:hAnsi="Times New Roman" w:cs="Times New Roman"/>
                <w:color w:val="auto"/>
                <w:kern w:val="0"/>
                <w:sz w:val="24"/>
                <w:lang w:bidi="ar"/>
              </w:rPr>
              <w:t>《大气污染物综合排放标准》（GB16297-1996）</w:t>
            </w:r>
          </w:p>
        </w:tc>
        <w:tc>
          <w:tcPr>
            <w:tcW w:w="1669" w:type="dxa"/>
            <w:tcBorders>
              <w:bottom w:val="single" w:color="000000" w:sz="4" w:space="0"/>
            </w:tcBorders>
            <w:noWrap w:val="0"/>
            <w:vAlign w:val="center"/>
          </w:tcPr>
          <w:p w14:paraId="4DCE75BB">
            <w:pPr>
              <w:adjustRightInd w:val="0"/>
              <w:snapToGrid w:val="0"/>
              <w:ind w:left="-105" w:leftChars="-50" w:right="-105" w:rightChars="-5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w:t>
            </w:r>
          </w:p>
        </w:tc>
        <w:tc>
          <w:tcPr>
            <w:tcW w:w="1946" w:type="dxa"/>
            <w:tcBorders>
              <w:bottom w:val="single" w:color="000000" w:sz="4" w:space="0"/>
            </w:tcBorders>
            <w:noWrap w:val="0"/>
            <w:vAlign w:val="center"/>
          </w:tcPr>
          <w:p w14:paraId="3B7786FE">
            <w:pPr>
              <w:adjustRightInd w:val="0"/>
              <w:snapToGrid w:val="0"/>
              <w:ind w:left="-105" w:leftChars="-50" w:right="-105" w:rightChars="-5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w:t>
            </w:r>
          </w:p>
        </w:tc>
      </w:tr>
      <w:tr w14:paraId="396406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47" w:hRule="atLeast"/>
          <w:jc w:val="center"/>
        </w:trPr>
        <w:tc>
          <w:tcPr>
            <w:tcW w:w="1389" w:type="dxa"/>
            <w:noWrap w:val="0"/>
            <w:vAlign w:val="center"/>
          </w:tcPr>
          <w:p w14:paraId="7D59165B">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固体废物</w:t>
            </w:r>
          </w:p>
        </w:tc>
        <w:tc>
          <w:tcPr>
            <w:tcW w:w="1883" w:type="dxa"/>
            <w:noWrap w:val="0"/>
            <w:vAlign w:val="center"/>
          </w:tcPr>
          <w:p w14:paraId="7A85392F">
            <w:pPr>
              <w:adjustRightInd w:val="0"/>
              <w:snapToGrid w:val="0"/>
              <w:ind w:left="-105" w:leftChars="-50" w:right="-105" w:rightChars="-50"/>
              <w:rPr>
                <w:rFonts w:hint="default" w:ascii="Times New Roman" w:hAnsi="Times New Roman" w:cs="Times New Roman"/>
                <w:color w:val="auto"/>
                <w:sz w:val="24"/>
              </w:rPr>
            </w:pPr>
            <w:r>
              <w:rPr>
                <w:rFonts w:hint="default" w:ascii="Times New Roman" w:hAnsi="Times New Roman" w:cs="Times New Roman"/>
                <w:color w:val="auto"/>
                <w:sz w:val="24"/>
              </w:rPr>
              <w:t>弃土全部用于项目后期土地平整及施工迹地恢复；生活垃圾集中收集后清运</w:t>
            </w:r>
          </w:p>
        </w:tc>
        <w:tc>
          <w:tcPr>
            <w:tcW w:w="1932" w:type="dxa"/>
            <w:noWrap w:val="0"/>
            <w:vAlign w:val="center"/>
          </w:tcPr>
          <w:p w14:paraId="1011E6F3">
            <w:pPr>
              <w:widowControl/>
              <w:ind w:left="-105" w:leftChars="-50" w:right="-105" w:rightChars="-50"/>
              <w:jc w:val="center"/>
              <w:rPr>
                <w:rFonts w:hint="default" w:ascii="Times New Roman" w:hAnsi="Times New Roman" w:cs="Times New Roman"/>
                <w:color w:val="auto"/>
                <w:kern w:val="0"/>
                <w:sz w:val="24"/>
                <w:lang w:bidi="ar"/>
              </w:rPr>
            </w:pPr>
            <w:r>
              <w:rPr>
                <w:rFonts w:hint="default" w:ascii="Times New Roman" w:hAnsi="Times New Roman" w:cs="Times New Roman"/>
                <w:color w:val="auto"/>
                <w:kern w:val="0"/>
                <w:sz w:val="24"/>
                <w:lang w:bidi="ar"/>
              </w:rPr>
              <w:t>《一般工业固体废物贮存和填埋污染控制标准》</w:t>
            </w:r>
          </w:p>
          <w:p w14:paraId="4A0123B5">
            <w:pPr>
              <w:widowControl/>
              <w:ind w:left="-105" w:leftChars="-50" w:right="-105" w:rightChars="-50"/>
              <w:jc w:val="center"/>
              <w:rPr>
                <w:rFonts w:hint="default" w:ascii="Times New Roman" w:hAnsi="Times New Roman" w:cs="Times New Roman"/>
                <w:color w:val="auto"/>
                <w:sz w:val="24"/>
              </w:rPr>
            </w:pPr>
            <w:r>
              <w:rPr>
                <w:rFonts w:hint="default" w:ascii="Times New Roman" w:hAnsi="Times New Roman" w:cs="Times New Roman"/>
                <w:color w:val="auto"/>
                <w:kern w:val="0"/>
                <w:sz w:val="24"/>
                <w:lang w:bidi="ar"/>
              </w:rPr>
              <w:t>（GB18599-2020）</w:t>
            </w:r>
          </w:p>
        </w:tc>
        <w:tc>
          <w:tcPr>
            <w:tcW w:w="1669" w:type="dxa"/>
            <w:noWrap w:val="0"/>
            <w:vAlign w:val="center"/>
          </w:tcPr>
          <w:p w14:paraId="726CB3A9">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蓄电池经收集后由生产厂家回收，</w:t>
            </w:r>
            <w:r>
              <w:rPr>
                <w:rFonts w:hint="default" w:ascii="Times New Roman" w:hAnsi="Times New Roman" w:cs="Times New Roman"/>
                <w:color w:val="auto"/>
                <w:sz w:val="24"/>
                <w:lang w:val="en-US" w:eastAsia="zh-CN"/>
              </w:rPr>
              <w:t>危险废物</w:t>
            </w:r>
            <w:r>
              <w:rPr>
                <w:rFonts w:hint="default" w:ascii="Times New Roman" w:hAnsi="Times New Roman" w:cs="Times New Roman"/>
                <w:color w:val="auto"/>
                <w:sz w:val="24"/>
              </w:rPr>
              <w:t>由公司工作人员及时交有资质单位处置</w:t>
            </w:r>
          </w:p>
        </w:tc>
        <w:tc>
          <w:tcPr>
            <w:tcW w:w="1946" w:type="dxa"/>
            <w:noWrap w:val="0"/>
            <w:vAlign w:val="center"/>
          </w:tcPr>
          <w:p w14:paraId="71067828">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《危险废物贮存污染控制标准》（</w:t>
            </w:r>
            <w:r>
              <w:rPr>
                <w:rFonts w:hint="default" w:ascii="Times New Roman" w:hAnsi="Times New Roman" w:cs="Times New Roman"/>
                <w:color w:val="auto"/>
                <w:sz w:val="24"/>
                <w:lang w:eastAsia="zh-CN"/>
              </w:rPr>
              <w:t>GB 18597-2023</w:t>
            </w:r>
            <w:r>
              <w:rPr>
                <w:rFonts w:hint="default" w:ascii="Times New Roman" w:hAnsi="Times New Roman" w:cs="Times New Roman"/>
                <w:color w:val="auto"/>
                <w:sz w:val="24"/>
              </w:rPr>
              <w:t>）</w:t>
            </w:r>
          </w:p>
          <w:p w14:paraId="0AC325E2">
            <w:pPr>
              <w:adjustRightInd w:val="0"/>
              <w:snapToGrid w:val="0"/>
              <w:jc w:val="center"/>
              <w:rPr>
                <w:rFonts w:hint="default" w:ascii="Times New Roman" w:hAnsi="Times New Roman" w:cs="Times New Roman"/>
                <w:color w:val="auto"/>
                <w:sz w:val="24"/>
              </w:rPr>
            </w:pPr>
          </w:p>
        </w:tc>
      </w:tr>
      <w:tr w14:paraId="6C52C2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47" w:hRule="atLeast"/>
          <w:jc w:val="center"/>
        </w:trPr>
        <w:tc>
          <w:tcPr>
            <w:tcW w:w="1389" w:type="dxa"/>
            <w:noWrap w:val="0"/>
            <w:vAlign w:val="center"/>
          </w:tcPr>
          <w:p w14:paraId="19071D12">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电磁环境</w:t>
            </w:r>
          </w:p>
        </w:tc>
        <w:tc>
          <w:tcPr>
            <w:tcW w:w="1883" w:type="dxa"/>
            <w:noWrap w:val="0"/>
            <w:vAlign w:val="center"/>
          </w:tcPr>
          <w:p w14:paraId="45CC0E93">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c>
          <w:tcPr>
            <w:tcW w:w="1932" w:type="dxa"/>
            <w:noWrap w:val="0"/>
            <w:vAlign w:val="center"/>
          </w:tcPr>
          <w:p w14:paraId="72CAD477">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c>
          <w:tcPr>
            <w:tcW w:w="1669" w:type="dxa"/>
            <w:noWrap w:val="0"/>
            <w:vAlign w:val="center"/>
          </w:tcPr>
          <w:p w14:paraId="3DE5B8D3">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c>
          <w:tcPr>
            <w:tcW w:w="1946" w:type="dxa"/>
            <w:noWrap w:val="0"/>
            <w:vAlign w:val="center"/>
          </w:tcPr>
          <w:p w14:paraId="61B6F2AD">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r>
      <w:tr w14:paraId="22D291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6" w:hRule="atLeast"/>
          <w:jc w:val="center"/>
        </w:trPr>
        <w:tc>
          <w:tcPr>
            <w:tcW w:w="1389" w:type="dxa"/>
            <w:noWrap w:val="0"/>
            <w:vAlign w:val="center"/>
          </w:tcPr>
          <w:p w14:paraId="507D4E32">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环境风险</w:t>
            </w:r>
          </w:p>
        </w:tc>
        <w:tc>
          <w:tcPr>
            <w:tcW w:w="1883" w:type="dxa"/>
            <w:noWrap w:val="0"/>
            <w:vAlign w:val="center"/>
          </w:tcPr>
          <w:p w14:paraId="34BD364A">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c>
          <w:tcPr>
            <w:tcW w:w="1932" w:type="dxa"/>
            <w:noWrap w:val="0"/>
            <w:vAlign w:val="center"/>
          </w:tcPr>
          <w:p w14:paraId="0912EE20">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c>
          <w:tcPr>
            <w:tcW w:w="1669" w:type="dxa"/>
            <w:noWrap w:val="0"/>
            <w:vAlign w:val="center"/>
          </w:tcPr>
          <w:p w14:paraId="52C631C3">
            <w:pPr>
              <w:adjustRightInd w:val="0"/>
              <w:snapToGrid w:val="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w:t>
            </w:r>
          </w:p>
        </w:tc>
        <w:tc>
          <w:tcPr>
            <w:tcW w:w="1946" w:type="dxa"/>
            <w:noWrap w:val="0"/>
            <w:vAlign w:val="center"/>
          </w:tcPr>
          <w:p w14:paraId="37DBC54E">
            <w:pPr>
              <w:adjustRightInd w:val="0"/>
              <w:snapToGrid w:val="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w:t>
            </w:r>
          </w:p>
        </w:tc>
      </w:tr>
      <w:tr w14:paraId="6E7B6D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389" w:type="dxa"/>
            <w:noWrap w:val="0"/>
            <w:vAlign w:val="center"/>
          </w:tcPr>
          <w:p w14:paraId="288EA33E">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环境监测</w:t>
            </w:r>
          </w:p>
        </w:tc>
        <w:tc>
          <w:tcPr>
            <w:tcW w:w="1883" w:type="dxa"/>
            <w:noWrap w:val="0"/>
            <w:vAlign w:val="center"/>
          </w:tcPr>
          <w:p w14:paraId="414B814F">
            <w:pPr>
              <w:adjustRightInd w:val="0"/>
              <w:snapToGrid w:val="0"/>
              <w:ind w:left="-105" w:leftChars="-50" w:right="-105" w:rightChars="-50"/>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rPr>
              <w:t>施工边界噪声、扬尘</w:t>
            </w:r>
          </w:p>
        </w:tc>
        <w:tc>
          <w:tcPr>
            <w:tcW w:w="1932" w:type="dxa"/>
            <w:noWrap w:val="0"/>
            <w:vAlign w:val="center"/>
          </w:tcPr>
          <w:p w14:paraId="06B80795">
            <w:pPr>
              <w:adjustRightInd w:val="0"/>
              <w:snapToGrid w:val="0"/>
              <w:ind w:left="-105" w:leftChars="-50" w:right="-105" w:rightChars="-50"/>
              <w:jc w:val="center"/>
              <w:rPr>
                <w:rFonts w:hint="default" w:ascii="Times New Roman" w:hAnsi="Times New Roman" w:cs="Times New Roman"/>
                <w:color w:val="auto"/>
                <w:sz w:val="24"/>
              </w:rPr>
            </w:pPr>
            <w:r>
              <w:rPr>
                <w:rFonts w:hint="default" w:ascii="Times New Roman" w:hAnsi="Times New Roman" w:cs="Times New Roman"/>
                <w:color w:val="auto"/>
                <w:sz w:val="24"/>
              </w:rPr>
              <w:t>《建筑施工场界环境噪声排放标准》</w:t>
            </w:r>
          </w:p>
          <w:p w14:paraId="5F16D4C9">
            <w:pPr>
              <w:adjustRightInd w:val="0"/>
              <w:snapToGrid w:val="0"/>
              <w:ind w:left="-105" w:leftChars="-50" w:right="-105" w:rightChars="-50"/>
              <w:jc w:val="center"/>
              <w:rPr>
                <w:rFonts w:hint="default" w:ascii="Times New Roman" w:hAnsi="Times New Roman" w:cs="Times New Roman"/>
                <w:color w:val="auto"/>
                <w:sz w:val="24"/>
              </w:rPr>
            </w:pP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GB12523-2011</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及《大气污染物综合排放标准》（GB16297-1996）</w:t>
            </w:r>
          </w:p>
          <w:p w14:paraId="3BF4806E">
            <w:pPr>
              <w:adjustRightInd w:val="0"/>
              <w:snapToGrid w:val="0"/>
              <w:ind w:left="-105" w:leftChars="-50" w:right="-105" w:rightChars="-50"/>
              <w:jc w:val="center"/>
              <w:rPr>
                <w:rFonts w:hint="default" w:ascii="Times New Roman" w:hAnsi="Times New Roman" w:cs="Times New Roman"/>
                <w:color w:val="auto"/>
                <w:sz w:val="24"/>
              </w:rPr>
            </w:pPr>
            <w:r>
              <w:rPr>
                <w:rFonts w:hint="default" w:ascii="Times New Roman" w:hAnsi="Times New Roman" w:cs="Times New Roman"/>
                <w:color w:val="auto"/>
                <w:sz w:val="24"/>
              </w:rPr>
              <w:t>中无组织排放标准</w:t>
            </w:r>
          </w:p>
        </w:tc>
        <w:tc>
          <w:tcPr>
            <w:tcW w:w="1669" w:type="dxa"/>
            <w:noWrap w:val="0"/>
            <w:vAlign w:val="center"/>
          </w:tcPr>
          <w:p w14:paraId="0121F135">
            <w:pPr>
              <w:adjustRightInd w:val="0"/>
              <w:snapToGrid w:val="0"/>
              <w:ind w:left="-105" w:leftChars="-50" w:right="-105" w:rightChars="-50"/>
              <w:jc w:val="center"/>
              <w:rPr>
                <w:rFonts w:hint="default" w:ascii="Times New Roman" w:hAnsi="Times New Roman" w:cs="Times New Roman"/>
                <w:color w:val="auto"/>
                <w:sz w:val="24"/>
              </w:rPr>
            </w:pPr>
            <w:r>
              <w:rPr>
                <w:rFonts w:hint="default" w:ascii="Times New Roman" w:hAnsi="Times New Roman" w:cs="Times New Roman"/>
                <w:color w:val="auto"/>
                <w:sz w:val="24"/>
              </w:rPr>
              <w:t>厂界噪声</w:t>
            </w:r>
          </w:p>
        </w:tc>
        <w:tc>
          <w:tcPr>
            <w:tcW w:w="1946" w:type="dxa"/>
            <w:noWrap w:val="0"/>
            <w:vAlign w:val="center"/>
          </w:tcPr>
          <w:p w14:paraId="2F21119B">
            <w:pPr>
              <w:adjustRightInd w:val="0"/>
              <w:snapToGrid w:val="0"/>
              <w:ind w:left="-105" w:leftChars="-50" w:right="-105" w:rightChars="-5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《声环境质量标准》（GB3096-2008）</w:t>
            </w:r>
            <w:r>
              <w:rPr>
                <w:rFonts w:hint="default" w:ascii="Times New Roman" w:hAnsi="Times New Roman" w:cs="Times New Roman"/>
                <w:color w:val="auto"/>
                <w:sz w:val="24"/>
                <w:szCs w:val="24"/>
                <w:lang w:val="en-US" w:eastAsia="zh-CN"/>
              </w:rPr>
              <w:t>2类区域标准要求</w:t>
            </w:r>
          </w:p>
        </w:tc>
      </w:tr>
      <w:tr w14:paraId="43A655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4" w:hRule="atLeast"/>
          <w:jc w:val="center"/>
        </w:trPr>
        <w:tc>
          <w:tcPr>
            <w:tcW w:w="1389" w:type="dxa"/>
            <w:noWrap w:val="0"/>
            <w:vAlign w:val="center"/>
          </w:tcPr>
          <w:p w14:paraId="566D91AF">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其他</w:t>
            </w:r>
          </w:p>
        </w:tc>
        <w:tc>
          <w:tcPr>
            <w:tcW w:w="1883" w:type="dxa"/>
            <w:noWrap w:val="0"/>
            <w:vAlign w:val="center"/>
          </w:tcPr>
          <w:p w14:paraId="68B0B95F">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c>
          <w:tcPr>
            <w:tcW w:w="1932" w:type="dxa"/>
            <w:noWrap w:val="0"/>
            <w:vAlign w:val="center"/>
          </w:tcPr>
          <w:p w14:paraId="69794F2E">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c>
          <w:tcPr>
            <w:tcW w:w="1669" w:type="dxa"/>
            <w:noWrap w:val="0"/>
            <w:vAlign w:val="center"/>
          </w:tcPr>
          <w:p w14:paraId="24666796">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c>
          <w:tcPr>
            <w:tcW w:w="1946" w:type="dxa"/>
            <w:noWrap w:val="0"/>
            <w:vAlign w:val="center"/>
          </w:tcPr>
          <w:p w14:paraId="4199C8F1">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r>
    </w:tbl>
    <w:p w14:paraId="477B9540">
      <w:pPr>
        <w:pStyle w:val="21"/>
        <w:spacing w:before="0" w:beforeAutospacing="0" w:line="14" w:lineRule="auto"/>
        <w:jc w:val="center"/>
        <w:outlineLvl w:val="9"/>
        <w:rPr>
          <w:rFonts w:hint="default" w:ascii="Times New Roman" w:hAnsi="Times New Roman" w:cs="Times New Roman"/>
          <w:snapToGrid w:val="0"/>
          <w:color w:val="auto"/>
        </w:rPr>
      </w:pPr>
      <w:r>
        <w:rPr>
          <w:rFonts w:hint="default" w:ascii="Times New Roman" w:hAnsi="Times New Roman" w:cs="Times New Roman"/>
          <w:snapToGrid w:val="0"/>
          <w:color w:val="auto"/>
        </w:rPr>
        <w:br w:type="page"/>
      </w:r>
    </w:p>
    <w:p w14:paraId="3BDC4E1C">
      <w:pPr>
        <w:pStyle w:val="21"/>
        <w:spacing w:before="192" w:beforeLines="80" w:beforeAutospacing="0"/>
        <w:jc w:val="center"/>
        <w:outlineLvl w:val="0"/>
        <w:rPr>
          <w:rFonts w:hint="default" w:ascii="Times New Roman" w:hAnsi="Times New Roman" w:cs="Times New Roman"/>
          <w:b/>
          <w:bCs/>
          <w:snapToGrid w:val="0"/>
          <w:color w:val="auto"/>
          <w:sz w:val="30"/>
          <w:szCs w:val="30"/>
        </w:rPr>
      </w:pPr>
      <w:bookmarkStart w:id="20" w:name="_Toc29925"/>
      <w:r>
        <w:rPr>
          <w:rFonts w:hint="default" w:ascii="Times New Roman" w:hAnsi="Times New Roman" w:cs="Times New Roman"/>
          <w:b/>
          <w:bCs/>
          <w:snapToGrid w:val="0"/>
          <w:color w:val="auto"/>
          <w:sz w:val="30"/>
          <w:szCs w:val="30"/>
        </w:rPr>
        <w:t>七、结论</w:t>
      </w:r>
      <w:bookmarkEnd w:id="20"/>
    </w:p>
    <w:tbl>
      <w:tblPr>
        <w:tblStyle w:val="22"/>
        <w:tblW w:w="919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98"/>
      </w:tblGrid>
      <w:tr w14:paraId="39B062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48" w:hRule="atLeast"/>
          <w:jc w:val="center"/>
        </w:trPr>
        <w:tc>
          <w:tcPr>
            <w:tcW w:w="9198" w:type="dxa"/>
            <w:noWrap w:val="0"/>
            <w:vAlign w:val="center"/>
          </w:tcPr>
          <w:p w14:paraId="42D8E5DC">
            <w:pPr>
              <w:adjustRightInd w:val="0"/>
              <w:snapToGrid w:val="0"/>
              <w:spacing w:before="120" w:beforeLines="50" w:line="360" w:lineRule="auto"/>
              <w:ind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建设单位在严格落实本评价报告提出的各项污染防治措施及环保要求、污染物可达标排放，本项目对周围环境质量影响较小，符合国家、地方的环保标准，从环保角度来看，本项目的建设是可行的。</w:t>
            </w:r>
          </w:p>
          <w:p w14:paraId="722444FF">
            <w:pPr>
              <w:adjustRightInd w:val="0"/>
              <w:snapToGrid w:val="0"/>
              <w:spacing w:line="360" w:lineRule="auto"/>
              <w:ind w:firstLine="315"/>
              <w:rPr>
                <w:rFonts w:hint="default" w:ascii="Times New Roman" w:hAnsi="Times New Roman" w:cs="Times New Roman"/>
                <w:color w:val="auto"/>
                <w:sz w:val="24"/>
              </w:rPr>
            </w:pPr>
          </w:p>
        </w:tc>
      </w:tr>
    </w:tbl>
    <w:p w14:paraId="0AF91735">
      <w:pPr>
        <w:widowControl w:val="0"/>
        <w:spacing w:line="360" w:lineRule="auto"/>
        <w:ind w:firstLine="420" w:firstLineChars="200"/>
        <w:jc w:val="both"/>
        <w:rPr>
          <w:rFonts w:hint="default" w:ascii="Times New Roman" w:hAnsi="Times New Roman" w:cs="Times New Roman"/>
          <w:color w:val="auto"/>
        </w:rPr>
      </w:pPr>
    </w:p>
    <w:p w14:paraId="66A970F3">
      <w:pPr>
        <w:rPr>
          <w:rFonts w:hint="default" w:ascii="Times New Roman" w:hAnsi="Times New Roman" w:cs="Times New Roman"/>
          <w:color w:val="auto"/>
        </w:rPr>
        <w:sectPr>
          <w:footerReference r:id="rId7" w:type="default"/>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14:paraId="7856CDD0">
      <w:pPr>
        <w:rPr>
          <w:rFonts w:hint="default" w:ascii="Times New Roman" w:hAnsi="Times New Roman" w:cs="Times New Roman"/>
          <w:b/>
          <w:bCs/>
          <w:sz w:val="28"/>
          <w:szCs w:val="36"/>
          <w:lang w:val="en-US" w:eastAsia="zh-CN"/>
        </w:rPr>
      </w:pPr>
      <w:r>
        <w:rPr>
          <w:rFonts w:hint="default" w:ascii="Times New Roman" w:hAnsi="Times New Roman" w:cs="Times New Roman"/>
          <w:b/>
          <w:bCs/>
          <w:sz w:val="28"/>
          <w:szCs w:val="36"/>
          <w:lang w:val="en-US" w:eastAsia="zh-CN"/>
        </w:rPr>
        <w:t>附件1、委托书</w:t>
      </w:r>
    </w:p>
    <w:p w14:paraId="22B13B1A">
      <w:pPr>
        <w:rPr>
          <w:rFonts w:hint="default" w:ascii="Times New Roman" w:hAnsi="Times New Roman" w:cs="Times New Roman"/>
          <w:lang w:val="en-US" w:eastAsia="zh-CN"/>
        </w:rPr>
      </w:pPr>
    </w:p>
    <w:p w14:paraId="5E4C9B28">
      <w:pPr>
        <w:jc w:val="center"/>
        <w:rPr>
          <w:rFonts w:hint="default" w:ascii="Times New Roman" w:hAnsi="Times New Roman" w:cs="Times New Roman"/>
          <w:b/>
          <w:color w:val="000000"/>
          <w:sz w:val="44"/>
          <w:szCs w:val="44"/>
        </w:rPr>
      </w:pPr>
      <w:r>
        <w:rPr>
          <w:rFonts w:hint="default" w:ascii="Times New Roman" w:hAnsi="Times New Roman" w:cs="Times New Roman"/>
          <w:b/>
          <w:color w:val="000000"/>
          <w:sz w:val="44"/>
          <w:szCs w:val="44"/>
        </w:rPr>
        <w:t>环评委托书</w:t>
      </w:r>
    </w:p>
    <w:p w14:paraId="4737E447">
      <w:pPr>
        <w:jc w:val="center"/>
        <w:rPr>
          <w:rFonts w:hint="default" w:ascii="Times New Roman" w:hAnsi="Times New Roman" w:cs="Times New Roman"/>
          <w:b/>
          <w:color w:val="000000"/>
          <w:sz w:val="44"/>
          <w:szCs w:val="44"/>
        </w:rPr>
      </w:pPr>
    </w:p>
    <w:p w14:paraId="18286F13">
      <w:pPr>
        <w:tabs>
          <w:tab w:val="left" w:pos="4830"/>
        </w:tabs>
        <w:spacing w:line="480" w:lineRule="auto"/>
        <w:rPr>
          <w:rFonts w:hint="default" w:ascii="Times New Roman" w:hAnsi="Times New Roman" w:cs="Times New Roman"/>
          <w:b/>
          <w:color w:val="000000"/>
          <w:sz w:val="32"/>
          <w:szCs w:val="32"/>
        </w:rPr>
      </w:pPr>
      <w:r>
        <w:rPr>
          <w:rFonts w:hint="default" w:ascii="Times New Roman" w:hAnsi="Times New Roman" w:cs="Times New Roman"/>
          <w:b/>
          <w:color w:val="000000"/>
          <w:sz w:val="32"/>
          <w:szCs w:val="32"/>
        </w:rPr>
        <w:t>新疆中新荣耀环境工程有限公司：</w:t>
      </w:r>
    </w:p>
    <w:p w14:paraId="6A630E2F">
      <w:pPr>
        <w:tabs>
          <w:tab w:val="left" w:pos="4830"/>
        </w:tabs>
        <w:rPr>
          <w:rFonts w:hint="default" w:ascii="Times New Roman" w:hAnsi="Times New Roman" w:cs="Times New Roman"/>
          <w:b/>
          <w:color w:val="000000"/>
          <w:szCs w:val="21"/>
          <w:u w:val="single"/>
        </w:rPr>
      </w:pPr>
    </w:p>
    <w:p w14:paraId="5E40F9E4">
      <w:pPr>
        <w:keepNext w:val="0"/>
        <w:keepLines w:val="0"/>
        <w:pageBreakBefore w:val="0"/>
        <w:widowControl w:val="0"/>
        <w:tabs>
          <w:tab w:val="left" w:pos="4830"/>
        </w:tabs>
        <w:kinsoku/>
        <w:wordWrap/>
        <w:overflowPunct/>
        <w:topLinePunct w:val="0"/>
        <w:autoSpaceDE/>
        <w:autoSpaceDN/>
        <w:bidi w:val="0"/>
        <w:adjustRightInd/>
        <w:snapToGrid/>
        <w:spacing w:line="480" w:lineRule="auto"/>
        <w:ind w:firstLine="560" w:firstLineChars="200"/>
        <w:textAlignment w:val="auto"/>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我单位建设国能木垒40万千瓦风电项目</w:t>
      </w:r>
      <w:r>
        <w:rPr>
          <w:rFonts w:hint="default" w:ascii="Times New Roman" w:hAnsi="Times New Roman" w:cs="Times New Roman"/>
          <w:color w:val="000000"/>
          <w:sz w:val="28"/>
          <w:szCs w:val="28"/>
          <w:lang w:eastAsia="zh-CN"/>
        </w:rPr>
        <w:t>》，</w:t>
      </w:r>
      <w:r>
        <w:rPr>
          <w:rFonts w:hint="default" w:ascii="Times New Roman" w:hAnsi="Times New Roman" w:cs="Times New Roman"/>
          <w:color w:val="000000"/>
          <w:sz w:val="28"/>
          <w:szCs w:val="28"/>
        </w:rPr>
        <w:t>根据《中华人民共和国环境影响评价法》和《建设项目环境保护管理条例》的规定，需进行环境影响评价。现委托贵单位进行该项目的环境影响评价工作，请按照国家有关规定进行工作，并达到环境保护管理部门的有关要求。</w:t>
      </w:r>
    </w:p>
    <w:p w14:paraId="3AF87194">
      <w:pPr>
        <w:keepNext w:val="0"/>
        <w:keepLines w:val="0"/>
        <w:pageBreakBefore w:val="0"/>
        <w:widowControl w:val="0"/>
        <w:tabs>
          <w:tab w:val="left" w:pos="4830"/>
        </w:tabs>
        <w:kinsoku/>
        <w:wordWrap/>
        <w:overflowPunct/>
        <w:topLinePunct w:val="0"/>
        <w:autoSpaceDE/>
        <w:autoSpaceDN/>
        <w:bidi w:val="0"/>
        <w:adjustRightInd/>
        <w:snapToGrid/>
        <w:spacing w:line="480" w:lineRule="auto"/>
        <w:ind w:firstLine="560" w:firstLineChars="200"/>
        <w:textAlignment w:val="auto"/>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其他事项双方协商解决</w:t>
      </w:r>
      <w:r>
        <w:rPr>
          <w:rFonts w:hint="default" w:ascii="Times New Roman" w:hAnsi="Times New Roman" w:cs="Times New Roman"/>
          <w:color w:val="000000"/>
          <w:sz w:val="28"/>
          <w:szCs w:val="28"/>
          <w:lang w:eastAsia="zh-CN"/>
        </w:rPr>
        <w:t>，希</w:t>
      </w:r>
      <w:r>
        <w:rPr>
          <w:rFonts w:hint="default" w:ascii="Times New Roman" w:hAnsi="Times New Roman" w:cs="Times New Roman"/>
          <w:color w:val="000000"/>
          <w:sz w:val="28"/>
          <w:szCs w:val="28"/>
        </w:rPr>
        <w:t>望贵单位尽快完成工作。</w:t>
      </w:r>
    </w:p>
    <w:p w14:paraId="6EC7C588">
      <w:pPr>
        <w:keepNext w:val="0"/>
        <w:keepLines w:val="0"/>
        <w:pageBreakBefore w:val="0"/>
        <w:widowControl w:val="0"/>
        <w:tabs>
          <w:tab w:val="left" w:pos="4830"/>
        </w:tabs>
        <w:kinsoku/>
        <w:wordWrap/>
        <w:overflowPunct/>
        <w:topLinePunct w:val="0"/>
        <w:autoSpaceDE/>
        <w:autoSpaceDN/>
        <w:bidi w:val="0"/>
        <w:adjustRightInd/>
        <w:snapToGrid/>
        <w:spacing w:line="480" w:lineRule="auto"/>
        <w:ind w:firstLine="560" w:firstLineChars="200"/>
        <w:textAlignment w:val="auto"/>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特此委托！</w:t>
      </w:r>
    </w:p>
    <w:p w14:paraId="281B1789">
      <w:pPr>
        <w:tabs>
          <w:tab w:val="left" w:pos="4830"/>
        </w:tabs>
        <w:ind w:firstLine="480"/>
        <w:rPr>
          <w:rFonts w:hint="default" w:ascii="Times New Roman" w:hAnsi="Times New Roman" w:cs="Times New Roman"/>
          <w:color w:val="000000"/>
          <w:sz w:val="28"/>
          <w:szCs w:val="28"/>
        </w:rPr>
      </w:pPr>
    </w:p>
    <w:p w14:paraId="36C54F8C">
      <w:pPr>
        <w:tabs>
          <w:tab w:val="left" w:pos="4830"/>
        </w:tabs>
        <w:ind w:firstLine="480"/>
        <w:rPr>
          <w:rFonts w:hint="default" w:ascii="Times New Roman" w:hAnsi="Times New Roman" w:cs="Times New Roman"/>
          <w:color w:val="000000"/>
          <w:sz w:val="24"/>
        </w:rPr>
      </w:pPr>
    </w:p>
    <w:p w14:paraId="7790C1A3">
      <w:pPr>
        <w:tabs>
          <w:tab w:val="left" w:pos="4830"/>
        </w:tabs>
        <w:ind w:firstLine="480"/>
        <w:rPr>
          <w:rFonts w:hint="default" w:ascii="Times New Roman" w:hAnsi="Times New Roman" w:cs="Times New Roman"/>
          <w:color w:val="000000"/>
          <w:sz w:val="24"/>
        </w:rPr>
      </w:pPr>
    </w:p>
    <w:p w14:paraId="42661519">
      <w:pPr>
        <w:tabs>
          <w:tab w:val="left" w:pos="5625"/>
          <w:tab w:val="left" w:pos="6540"/>
        </w:tabs>
        <w:wordWrap w:val="0"/>
        <w:spacing w:line="480" w:lineRule="auto"/>
        <w:jc w:val="right"/>
        <w:rPr>
          <w:rFonts w:hint="default" w:ascii="Times New Roman" w:hAnsi="Times New Roman" w:cs="Times New Roman"/>
          <w:b/>
          <w:color w:val="000000"/>
          <w:sz w:val="28"/>
          <w:szCs w:val="28"/>
        </w:rPr>
      </w:pPr>
      <w:r>
        <w:rPr>
          <w:rFonts w:hint="default" w:ascii="Times New Roman" w:hAnsi="Times New Roman" w:cs="Times New Roman"/>
          <w:b/>
          <w:color w:val="000000"/>
          <w:sz w:val="28"/>
          <w:szCs w:val="28"/>
        </w:rPr>
        <w:t>委托单位：</w:t>
      </w:r>
      <w:r>
        <w:rPr>
          <w:rFonts w:hint="default" w:ascii="Times New Roman" w:hAnsi="Times New Roman" w:cs="Times New Roman"/>
          <w:color w:val="000000"/>
          <w:sz w:val="28"/>
          <w:szCs w:val="28"/>
        </w:rPr>
        <w:t>国能木垒新能源开发有限公司</w:t>
      </w:r>
    </w:p>
    <w:p w14:paraId="5D114378">
      <w:pPr>
        <w:tabs>
          <w:tab w:val="left" w:pos="5625"/>
          <w:tab w:val="left" w:pos="6540"/>
        </w:tabs>
        <w:wordWrap w:val="0"/>
        <w:spacing w:line="480" w:lineRule="auto"/>
        <w:ind w:firstLine="4498" w:firstLineChars="1600"/>
        <w:jc w:val="right"/>
        <w:rPr>
          <w:rFonts w:hint="default" w:ascii="Times New Roman" w:hAnsi="Times New Roman" w:eastAsia="宋体" w:cs="Times New Roman"/>
          <w:b/>
          <w:color w:val="000000"/>
          <w:sz w:val="28"/>
          <w:szCs w:val="28"/>
          <w:lang w:val="en-US" w:eastAsia="zh-CN"/>
        </w:rPr>
      </w:pPr>
      <w:r>
        <w:rPr>
          <w:rFonts w:hint="default" w:ascii="Times New Roman" w:hAnsi="Times New Roman" w:cs="Times New Roman"/>
          <w:b/>
          <w:color w:val="000000"/>
          <w:sz w:val="28"/>
          <w:szCs w:val="28"/>
        </w:rPr>
        <w:t>202</w:t>
      </w:r>
      <w:r>
        <w:rPr>
          <w:rFonts w:hint="default" w:ascii="Times New Roman" w:hAnsi="Times New Roman" w:cs="Times New Roman"/>
          <w:b/>
          <w:color w:val="000000"/>
          <w:sz w:val="28"/>
          <w:szCs w:val="28"/>
          <w:lang w:val="en-US" w:eastAsia="zh-CN"/>
        </w:rPr>
        <w:t>5</w:t>
      </w:r>
      <w:r>
        <w:rPr>
          <w:rFonts w:hint="default" w:ascii="Times New Roman" w:hAnsi="Times New Roman" w:cs="Times New Roman"/>
          <w:b/>
          <w:color w:val="000000"/>
          <w:sz w:val="28"/>
          <w:szCs w:val="28"/>
        </w:rPr>
        <w:t>年</w:t>
      </w:r>
      <w:r>
        <w:rPr>
          <w:rFonts w:hint="default" w:ascii="Times New Roman" w:hAnsi="Times New Roman" w:cs="Times New Roman"/>
          <w:b/>
          <w:color w:val="000000"/>
          <w:sz w:val="28"/>
          <w:szCs w:val="28"/>
          <w:lang w:val="en-US" w:eastAsia="zh-CN"/>
        </w:rPr>
        <w:t xml:space="preserve">  </w:t>
      </w:r>
      <w:r>
        <w:rPr>
          <w:rFonts w:hint="default" w:ascii="Times New Roman" w:hAnsi="Times New Roman" w:cs="Times New Roman"/>
          <w:b/>
          <w:color w:val="000000"/>
          <w:sz w:val="28"/>
          <w:szCs w:val="28"/>
        </w:rPr>
        <w:t>月</w:t>
      </w:r>
      <w:r>
        <w:rPr>
          <w:rFonts w:hint="default" w:ascii="Times New Roman" w:hAnsi="Times New Roman" w:cs="Times New Roman"/>
          <w:b/>
          <w:color w:val="000000"/>
          <w:sz w:val="28"/>
          <w:szCs w:val="28"/>
          <w:lang w:val="en-US" w:eastAsia="zh-CN"/>
        </w:rPr>
        <w:t xml:space="preserve">  日</w:t>
      </w:r>
    </w:p>
    <w:p w14:paraId="0B594A66">
      <w:pPr>
        <w:rPr>
          <w:rFonts w:hint="default" w:ascii="Times New Roman" w:hAnsi="Times New Roman" w:cs="Times New Roman"/>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r>
        <w:rPr>
          <w:rFonts w:hint="default" w:ascii="Times New Roman" w:hAnsi="Times New Roman" w:eastAsia="宋体" w:cs="Times New Roman"/>
          <w:color w:val="auto"/>
          <w:lang w:eastAsia="zh-CN"/>
        </w:rPr>
        <w:drawing>
          <wp:inline distT="0" distB="0" distL="114300" distR="114300">
            <wp:extent cx="5271135" cy="7455535"/>
            <wp:effectExtent l="0" t="0" r="5715" b="12065"/>
            <wp:docPr id="13" name="图片 13" descr="附件1国能木垒40万千瓦风电项目备案证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附件1国能木垒40万千瓦风电项目备案证_1"/>
                    <pic:cNvPicPr>
                      <a:picLocks noChangeAspect="1"/>
                    </pic:cNvPicPr>
                  </pic:nvPicPr>
                  <pic:blipFill>
                    <a:blip r:embed="rId16"/>
                    <a:stretch>
                      <a:fillRect/>
                    </a:stretch>
                  </pic:blipFill>
                  <pic:spPr>
                    <a:xfrm>
                      <a:off x="0" y="0"/>
                      <a:ext cx="5271135" cy="7455535"/>
                    </a:xfrm>
                    <a:prstGeom prst="rect">
                      <a:avLst/>
                    </a:prstGeom>
                  </pic:spPr>
                </pic:pic>
              </a:graphicData>
            </a:graphic>
          </wp:inline>
        </w:drawing>
      </w:r>
      <w:r>
        <w:rPr>
          <w:rFonts w:hint="default" w:ascii="Times New Roman" w:hAnsi="Times New Roman" w:cs="Times New Roman"/>
        </w:rPr>
        <w:drawing>
          <wp:inline distT="0" distB="0" distL="114300" distR="114300">
            <wp:extent cx="5262880" cy="7115175"/>
            <wp:effectExtent l="0" t="0" r="13970" b="952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17"/>
                    <a:stretch>
                      <a:fillRect/>
                    </a:stretch>
                  </pic:blipFill>
                  <pic:spPr>
                    <a:xfrm>
                      <a:off x="0" y="0"/>
                      <a:ext cx="5262880" cy="7115175"/>
                    </a:xfrm>
                    <a:prstGeom prst="rect">
                      <a:avLst/>
                    </a:prstGeom>
                    <a:noFill/>
                    <a:ln>
                      <a:noFill/>
                    </a:ln>
                  </pic:spPr>
                </pic:pic>
              </a:graphicData>
            </a:graphic>
          </wp:inline>
        </w:drawing>
      </w:r>
    </w:p>
    <w:p w14:paraId="6EFB598E">
      <w:pPr>
        <w:ind w:firstLine="0" w:firstLineChars="0"/>
        <w:jc w:val="center"/>
        <w:rPr>
          <w:rFonts w:hint="default" w:ascii="Times New Roman" w:hAnsi="Times New Roman" w:eastAsia="黑体" w:cs="Times New Roman"/>
          <w:color w:val="FF0000"/>
          <w:kern w:val="2"/>
          <w:sz w:val="24"/>
          <w:szCs w:val="24"/>
          <w:lang w:val="en-US" w:eastAsia="zh-CN" w:bidi="ar-SA"/>
        </w:rPr>
        <w:sectPr>
          <w:pgSz w:w="16838" w:h="11906" w:orient="landscape"/>
          <w:pgMar w:top="1800" w:right="1440" w:bottom="1800" w:left="1440" w:header="851" w:footer="992" w:gutter="0"/>
          <w:pgNumType w:fmt="decimal"/>
          <w:cols w:space="425" w:num="1"/>
          <w:docGrid w:type="lines" w:linePitch="312" w:charSpace="0"/>
        </w:sectPr>
      </w:pPr>
      <w:r>
        <w:rPr>
          <w:rFonts w:hint="default" w:ascii="Times New Roman" w:hAnsi="Times New Roman" w:cs="Times New Roman"/>
          <w:color w:val="FF0000"/>
          <w:sz w:val="22"/>
        </w:rPr>
        <mc:AlternateContent>
          <mc:Choice Requires="wps">
            <w:drawing>
              <wp:anchor distT="0" distB="0" distL="114300" distR="114300" simplePos="0" relativeHeight="251664384" behindDoc="0" locked="0" layoutInCell="1" allowOverlap="1">
                <wp:simplePos x="0" y="0"/>
                <wp:positionH relativeFrom="column">
                  <wp:posOffset>6403340</wp:posOffset>
                </wp:positionH>
                <wp:positionV relativeFrom="paragraph">
                  <wp:posOffset>1224915</wp:posOffset>
                </wp:positionV>
                <wp:extent cx="1220470" cy="412750"/>
                <wp:effectExtent l="753110" t="12700" r="26670" b="927100"/>
                <wp:wrapNone/>
                <wp:docPr id="15" name="圆角矩形标注 15"/>
                <wp:cNvGraphicFramePr/>
                <a:graphic xmlns:a="http://schemas.openxmlformats.org/drawingml/2006/main">
                  <a:graphicData uri="http://schemas.microsoft.com/office/word/2010/wordprocessingShape">
                    <wps:wsp>
                      <wps:cNvSpPr/>
                      <wps:spPr>
                        <a:xfrm>
                          <a:off x="0" y="0"/>
                          <a:ext cx="1220470" cy="412750"/>
                        </a:xfrm>
                        <a:prstGeom prst="wedgeRoundRectCallout">
                          <a:avLst>
                            <a:gd name="adj1" fmla="val -110667"/>
                            <a:gd name="adj2" fmla="val 267074"/>
                            <a:gd name="adj3" fmla="val 16667"/>
                          </a:avLst>
                        </a:prstGeom>
                        <a:noFill/>
                        <a:ln w="25400" cap="flat" cmpd="sng">
                          <a:solidFill>
                            <a:srgbClr val="000000"/>
                          </a:solidFill>
                          <a:prstDash val="solid"/>
                          <a:round/>
                          <a:headEnd type="none" w="med" len="med"/>
                          <a:tailEnd type="none" w="med" len="med"/>
                        </a:ln>
                      </wps:spPr>
                      <wps:txbx>
                        <w:txbxContent>
                          <w:p w14:paraId="7CE0CFCB">
                            <w:pPr>
                              <w:jc w:val="both"/>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本项目所在地</w:t>
                            </w:r>
                          </w:p>
                        </w:txbxContent>
                      </wps:txbx>
                      <wps:bodyPr anchor="ctr" anchorCtr="0" upright="1"/>
                    </wps:wsp>
                  </a:graphicData>
                </a:graphic>
              </wp:anchor>
            </w:drawing>
          </mc:Choice>
          <mc:Fallback>
            <w:pict>
              <v:shape id="_x0000_s1026" o:spid="_x0000_s1026" o:spt="62" type="#_x0000_t62" style="position:absolute;left:0pt;margin-left:504.2pt;margin-top:96.45pt;height:32.5pt;width:96.1pt;z-index:251664384;v-text-anchor:middle;mso-width-relative:page;mso-height-relative:page;" filled="f" stroked="t" coordsize="21600,21600" o:gfxdata="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BvZ&#10;/4PbAAAADQEAAA8AAAAAAAAAAQAgAAAAIgAAAGRycy9kb3ducmV2LnhtbFBLAQIUABQAAAAIAIdO&#10;4kBuRzXMWQIAALMEAAAOAAAAAAAAAAEAIAAAACoBAABkcnMvZTJvRG9jLnhtbFBLBQYAAAAABgAG&#10;AFkBAAD1BQAAAAA=&#10;" adj="-13104,68488,14400">
                <v:fill on="f" focussize="0,0"/>
                <v:stroke weight="2pt" color="#000000" joinstyle="round"/>
                <v:imagedata o:title=""/>
                <o:lock v:ext="edit" aspectratio="f"/>
                <v:textbox>
                  <w:txbxContent>
                    <w:p w14:paraId="7CE0CFCB">
                      <w:pPr>
                        <w:jc w:val="both"/>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本项目所在地</w:t>
                      </w:r>
                    </w:p>
                  </w:txbxContent>
                </v:textbox>
              </v:shape>
            </w:pict>
          </mc:Fallback>
        </mc:AlternateContent>
      </w:r>
      <w:r>
        <w:rPr>
          <w:rFonts w:hint="default" w:ascii="Times New Roman" w:hAnsi="Times New Roman" w:cs="Times New Roman"/>
          <w:color w:val="FF0000"/>
          <w:sz w:val="22"/>
        </w:rPr>
        <mc:AlternateContent>
          <mc:Choice Requires="wps">
            <w:drawing>
              <wp:anchor distT="0" distB="0" distL="114300" distR="114300" simplePos="0" relativeHeight="251665408" behindDoc="0" locked="0" layoutInCell="1" allowOverlap="1">
                <wp:simplePos x="0" y="0"/>
                <wp:positionH relativeFrom="column">
                  <wp:posOffset>1910080</wp:posOffset>
                </wp:positionH>
                <wp:positionV relativeFrom="paragraph">
                  <wp:posOffset>4585335</wp:posOffset>
                </wp:positionV>
                <wp:extent cx="5447665" cy="47625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5447665" cy="476250"/>
                        </a:xfrm>
                        <a:prstGeom prst="rect">
                          <a:avLst/>
                        </a:prstGeom>
                        <a:noFill/>
                        <a:ln>
                          <a:noFill/>
                        </a:ln>
                      </wps:spPr>
                      <wps:txbx>
                        <w:txbxContent>
                          <w:p w14:paraId="4A3457F8">
                            <w:pPr>
                              <w:pStyle w:val="15"/>
                              <w:jc w:val="center"/>
                              <w:rPr>
                                <w:rFonts w:hint="eastAsia" w:eastAsia="宋体"/>
                                <w:lang w:val="en-US" w:eastAsia="zh-CN"/>
                              </w:rPr>
                            </w:pPr>
                            <w:r>
                              <w:rPr>
                                <w:rFonts w:hint="eastAsia" w:ascii="Times New Roman" w:hAnsi="Times New Roman" w:eastAsia="宋体" w:cs="Times New Roman"/>
                                <w:b/>
                                <w:bCs/>
                                <w:color w:val="000000"/>
                                <w:kern w:val="0"/>
                                <w:sz w:val="24"/>
                                <w:szCs w:val="24"/>
                                <w:lang w:val="en-US" w:eastAsia="zh-CN" w:bidi="ar-SA"/>
                              </w:rPr>
                              <w:t>附</w:t>
                            </w:r>
                            <w:r>
                              <w:rPr>
                                <w:rFonts w:hint="default" w:ascii="Times New Roman" w:hAnsi="Times New Roman" w:eastAsia="宋体" w:cs="Times New Roman"/>
                                <w:b/>
                                <w:bCs/>
                                <w:color w:val="000000"/>
                                <w:kern w:val="0"/>
                                <w:sz w:val="24"/>
                                <w:szCs w:val="24"/>
                                <w:lang w:val="en-US" w:eastAsia="zh-CN" w:bidi="ar-SA"/>
                              </w:rPr>
                              <w:t>图</w:t>
                            </w:r>
                            <w:r>
                              <w:rPr>
                                <w:rFonts w:hint="eastAsia" w:ascii="Times New Roman" w:hAnsi="Times New Roman" w:eastAsia="宋体" w:cs="Times New Roman"/>
                                <w:b/>
                                <w:bCs/>
                                <w:color w:val="000000"/>
                                <w:kern w:val="0"/>
                                <w:sz w:val="24"/>
                                <w:szCs w:val="24"/>
                                <w:lang w:val="en-US" w:eastAsia="zh-CN" w:bidi="ar-SA"/>
                              </w:rPr>
                              <w:t>1-1</w:t>
                            </w:r>
                            <w:r>
                              <w:rPr>
                                <w:rFonts w:hint="eastAsia" w:ascii="宋体" w:hAnsi="宋体" w:eastAsia="宋体" w:cs="宋体"/>
                                <w:b/>
                                <w:color w:val="000000"/>
                                <w:sz w:val="24"/>
                                <w:szCs w:val="24"/>
                              </w:rPr>
                              <w:t>项目在</w:t>
                            </w:r>
                            <w:r>
                              <w:rPr>
                                <w:rFonts w:hint="eastAsia" w:ascii="宋体" w:hAnsi="宋体" w:eastAsia="宋体" w:cs="宋体"/>
                                <w:b/>
                                <w:color w:val="000000"/>
                                <w:sz w:val="24"/>
                                <w:szCs w:val="24"/>
                                <w:lang w:val="en-US" w:eastAsia="zh-CN"/>
                              </w:rPr>
                              <w:t>昌吉回族自治州</w:t>
                            </w:r>
                            <w:r>
                              <w:rPr>
                                <w:rFonts w:hint="eastAsia" w:ascii="宋体" w:hAnsi="宋体" w:eastAsia="宋体" w:cs="宋体"/>
                                <w:b/>
                                <w:color w:val="000000"/>
                                <w:sz w:val="24"/>
                                <w:szCs w:val="24"/>
                              </w:rPr>
                              <w:t>环境管控单元分</w:t>
                            </w:r>
                            <w:r>
                              <w:rPr>
                                <w:rFonts w:hint="eastAsia" w:ascii="宋体" w:hAnsi="宋体" w:eastAsia="宋体" w:cs="宋体"/>
                                <w:b/>
                                <w:color w:val="000000"/>
                                <w:sz w:val="24"/>
                                <w:szCs w:val="24"/>
                                <w:lang w:val="en-US" w:eastAsia="zh-CN"/>
                              </w:rPr>
                              <w:t>类</w:t>
                            </w:r>
                            <w:r>
                              <w:rPr>
                                <w:rFonts w:hint="eastAsia" w:ascii="宋体" w:hAnsi="宋体" w:eastAsia="宋体" w:cs="宋体"/>
                                <w:b/>
                                <w:color w:val="000000"/>
                                <w:sz w:val="24"/>
                                <w:szCs w:val="24"/>
                              </w:rPr>
                              <w:t>图中的位置</w:t>
                            </w:r>
                            <w:r>
                              <w:rPr>
                                <w:rFonts w:hint="eastAsia" w:ascii="宋体" w:hAnsi="宋体" w:eastAsia="宋体" w:cs="宋体"/>
                                <w:b/>
                                <w:color w:val="000000"/>
                                <w:sz w:val="24"/>
                                <w:szCs w:val="24"/>
                                <w:lang w:val="en-US" w:eastAsia="zh-CN"/>
                              </w:rPr>
                              <w:t>图</w:t>
                            </w:r>
                          </w:p>
                          <w:p w14:paraId="515D4C88"/>
                        </w:txbxContent>
                      </wps:txbx>
                      <wps:bodyPr upright="1"/>
                    </wps:wsp>
                  </a:graphicData>
                </a:graphic>
              </wp:anchor>
            </w:drawing>
          </mc:Choice>
          <mc:Fallback>
            <w:pict>
              <v:shape id="_x0000_s1026" o:spid="_x0000_s1026" o:spt="202" type="#_x0000_t202" style="position:absolute;left:0pt;margin-left:150.4pt;margin-top:361.05pt;height:37.5pt;width:428.95pt;z-index:251665408;mso-width-relative:page;mso-height-relative:page;" filled="f" stroked="f" coordsize="21600,21600" o:gfxdata="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Eguin/Z&#10;AAAADAEAAA8AAAAAAAAAAQAgAAAAIgAAAGRycy9kb3ducmV2LnhtbFBLAQIUABQAAAAIAIdO4kAv&#10;xvmcrQEAAFADAAAOAAAAAAAAAAEAIAAAACgBAABkcnMvZTJvRG9jLnhtbFBLBQYAAAAABgAGAFkB&#10;AABHBQAAAAA=&#10;">
                <v:fill on="f" focussize="0,0"/>
                <v:stroke on="f"/>
                <v:imagedata o:title=""/>
                <o:lock v:ext="edit" aspectratio="f"/>
                <v:textbox>
                  <w:txbxContent>
                    <w:p w14:paraId="4A3457F8">
                      <w:pPr>
                        <w:pStyle w:val="15"/>
                        <w:jc w:val="center"/>
                        <w:rPr>
                          <w:rFonts w:hint="eastAsia" w:eastAsia="宋体"/>
                          <w:lang w:val="en-US" w:eastAsia="zh-CN"/>
                        </w:rPr>
                      </w:pPr>
                      <w:r>
                        <w:rPr>
                          <w:rFonts w:hint="eastAsia" w:ascii="Times New Roman" w:hAnsi="Times New Roman" w:eastAsia="宋体" w:cs="Times New Roman"/>
                          <w:b/>
                          <w:bCs/>
                          <w:color w:val="000000"/>
                          <w:kern w:val="0"/>
                          <w:sz w:val="24"/>
                          <w:szCs w:val="24"/>
                          <w:lang w:val="en-US" w:eastAsia="zh-CN" w:bidi="ar-SA"/>
                        </w:rPr>
                        <w:t>附</w:t>
                      </w:r>
                      <w:r>
                        <w:rPr>
                          <w:rFonts w:hint="default" w:ascii="Times New Roman" w:hAnsi="Times New Roman" w:eastAsia="宋体" w:cs="Times New Roman"/>
                          <w:b/>
                          <w:bCs/>
                          <w:color w:val="000000"/>
                          <w:kern w:val="0"/>
                          <w:sz w:val="24"/>
                          <w:szCs w:val="24"/>
                          <w:lang w:val="en-US" w:eastAsia="zh-CN" w:bidi="ar-SA"/>
                        </w:rPr>
                        <w:t>图</w:t>
                      </w:r>
                      <w:r>
                        <w:rPr>
                          <w:rFonts w:hint="eastAsia" w:ascii="Times New Roman" w:hAnsi="Times New Roman" w:eastAsia="宋体" w:cs="Times New Roman"/>
                          <w:b/>
                          <w:bCs/>
                          <w:color w:val="000000"/>
                          <w:kern w:val="0"/>
                          <w:sz w:val="24"/>
                          <w:szCs w:val="24"/>
                          <w:lang w:val="en-US" w:eastAsia="zh-CN" w:bidi="ar-SA"/>
                        </w:rPr>
                        <w:t>1-1</w:t>
                      </w:r>
                      <w:r>
                        <w:rPr>
                          <w:rFonts w:hint="eastAsia" w:ascii="宋体" w:hAnsi="宋体" w:eastAsia="宋体" w:cs="宋体"/>
                          <w:b/>
                          <w:color w:val="000000"/>
                          <w:sz w:val="24"/>
                          <w:szCs w:val="24"/>
                        </w:rPr>
                        <w:t>项目在</w:t>
                      </w:r>
                      <w:r>
                        <w:rPr>
                          <w:rFonts w:hint="eastAsia" w:ascii="宋体" w:hAnsi="宋体" w:eastAsia="宋体" w:cs="宋体"/>
                          <w:b/>
                          <w:color w:val="000000"/>
                          <w:sz w:val="24"/>
                          <w:szCs w:val="24"/>
                          <w:lang w:val="en-US" w:eastAsia="zh-CN"/>
                        </w:rPr>
                        <w:t>昌吉回族自治州</w:t>
                      </w:r>
                      <w:r>
                        <w:rPr>
                          <w:rFonts w:hint="eastAsia" w:ascii="宋体" w:hAnsi="宋体" w:eastAsia="宋体" w:cs="宋体"/>
                          <w:b/>
                          <w:color w:val="000000"/>
                          <w:sz w:val="24"/>
                          <w:szCs w:val="24"/>
                        </w:rPr>
                        <w:t>环境管控单元分</w:t>
                      </w:r>
                      <w:r>
                        <w:rPr>
                          <w:rFonts w:hint="eastAsia" w:ascii="宋体" w:hAnsi="宋体" w:eastAsia="宋体" w:cs="宋体"/>
                          <w:b/>
                          <w:color w:val="000000"/>
                          <w:sz w:val="24"/>
                          <w:szCs w:val="24"/>
                          <w:lang w:val="en-US" w:eastAsia="zh-CN"/>
                        </w:rPr>
                        <w:t>类</w:t>
                      </w:r>
                      <w:r>
                        <w:rPr>
                          <w:rFonts w:hint="eastAsia" w:ascii="宋体" w:hAnsi="宋体" w:eastAsia="宋体" w:cs="宋体"/>
                          <w:b/>
                          <w:color w:val="000000"/>
                          <w:sz w:val="24"/>
                          <w:szCs w:val="24"/>
                        </w:rPr>
                        <w:t>图中的位置</w:t>
                      </w:r>
                      <w:r>
                        <w:rPr>
                          <w:rFonts w:hint="eastAsia" w:ascii="宋体" w:hAnsi="宋体" w:eastAsia="宋体" w:cs="宋体"/>
                          <w:b/>
                          <w:color w:val="000000"/>
                          <w:sz w:val="24"/>
                          <w:szCs w:val="24"/>
                          <w:lang w:val="en-US" w:eastAsia="zh-CN"/>
                        </w:rPr>
                        <w:t>图</w:t>
                      </w:r>
                    </w:p>
                    <w:p w14:paraId="515D4C88"/>
                  </w:txbxContent>
                </v:textbox>
              </v:shape>
            </w:pict>
          </mc:Fallback>
        </mc:AlternateContent>
      </w:r>
      <w:r>
        <w:rPr>
          <w:rFonts w:hint="default" w:ascii="Times New Roman" w:hAnsi="Times New Roman" w:cs="Times New Roman"/>
          <w:color w:val="FF0000"/>
          <w:lang w:val="en-US" w:eastAsia="zh-CN"/>
        </w:rPr>
        <w:drawing>
          <wp:anchor distT="0" distB="0" distL="114300" distR="114300" simplePos="0" relativeHeight="251663360" behindDoc="0" locked="0" layoutInCell="1" allowOverlap="1">
            <wp:simplePos x="0" y="0"/>
            <wp:positionH relativeFrom="column">
              <wp:posOffset>245110</wp:posOffset>
            </wp:positionH>
            <wp:positionV relativeFrom="paragraph">
              <wp:posOffset>-250190</wp:posOffset>
            </wp:positionV>
            <wp:extent cx="8398510" cy="4782185"/>
            <wp:effectExtent l="0" t="0" r="2540" b="18415"/>
            <wp:wrapNone/>
            <wp:docPr id="17" name="图片 2" descr="昌吉州三线一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descr="昌吉州三线一单"/>
                    <pic:cNvPicPr>
                      <a:picLocks noChangeAspect="1"/>
                    </pic:cNvPicPr>
                  </pic:nvPicPr>
                  <pic:blipFill>
                    <a:blip r:embed="rId18"/>
                    <a:stretch>
                      <a:fillRect/>
                    </a:stretch>
                  </pic:blipFill>
                  <pic:spPr>
                    <a:xfrm>
                      <a:off x="0" y="0"/>
                      <a:ext cx="8398510" cy="4782185"/>
                    </a:xfrm>
                    <a:prstGeom prst="rect">
                      <a:avLst/>
                    </a:prstGeom>
                    <a:noFill/>
                    <a:ln>
                      <a:noFill/>
                    </a:ln>
                  </pic:spPr>
                </pic:pic>
              </a:graphicData>
            </a:graphic>
          </wp:anchor>
        </w:drawing>
      </w:r>
    </w:p>
    <w:p w14:paraId="7140F05E">
      <w:pPr>
        <w:pStyle w:val="15"/>
        <w:rPr>
          <w:rFonts w:hint="default" w:ascii="Times New Roman" w:hAnsi="Times New Roman" w:cs="Times New Roman"/>
          <w:color w:val="FF0000"/>
          <w:lang w:eastAsia="zh-CN"/>
        </w:rPr>
        <w:sectPr>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Times New Roman"/>
          <w:color w:val="FF0000"/>
          <w:sz w:val="22"/>
        </w:rPr>
        <mc:AlternateContent>
          <mc:Choice Requires="wps">
            <w:drawing>
              <wp:anchor distT="0" distB="0" distL="114300" distR="114300" simplePos="0" relativeHeight="251672576" behindDoc="0" locked="0" layoutInCell="1" allowOverlap="1">
                <wp:simplePos x="0" y="0"/>
                <wp:positionH relativeFrom="column">
                  <wp:posOffset>2545080</wp:posOffset>
                </wp:positionH>
                <wp:positionV relativeFrom="paragraph">
                  <wp:posOffset>2676525</wp:posOffset>
                </wp:positionV>
                <wp:extent cx="1220470" cy="412750"/>
                <wp:effectExtent l="753110" t="12700" r="26670" b="927100"/>
                <wp:wrapNone/>
                <wp:docPr id="18" name="圆角矩形标注 18"/>
                <wp:cNvGraphicFramePr/>
                <a:graphic xmlns:a="http://schemas.openxmlformats.org/drawingml/2006/main">
                  <a:graphicData uri="http://schemas.microsoft.com/office/word/2010/wordprocessingShape">
                    <wps:wsp>
                      <wps:cNvSpPr/>
                      <wps:spPr>
                        <a:xfrm>
                          <a:off x="0" y="0"/>
                          <a:ext cx="1220470" cy="412750"/>
                        </a:xfrm>
                        <a:prstGeom prst="wedgeRoundRectCallout">
                          <a:avLst>
                            <a:gd name="adj1" fmla="val -110667"/>
                            <a:gd name="adj2" fmla="val 267074"/>
                            <a:gd name="adj3" fmla="val 16667"/>
                          </a:avLst>
                        </a:prstGeom>
                        <a:noFill/>
                        <a:ln w="25400" cap="flat" cmpd="sng">
                          <a:solidFill>
                            <a:srgbClr val="000000"/>
                          </a:solidFill>
                          <a:prstDash val="solid"/>
                          <a:round/>
                          <a:headEnd type="none" w="med" len="med"/>
                          <a:tailEnd type="none" w="med" len="med"/>
                        </a:ln>
                      </wps:spPr>
                      <wps:txbx>
                        <w:txbxContent>
                          <w:p w14:paraId="7C13E441">
                            <w:pPr>
                              <w:jc w:val="both"/>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本项目所在地</w:t>
                            </w:r>
                          </w:p>
                        </w:txbxContent>
                      </wps:txbx>
                      <wps:bodyPr anchor="ctr" anchorCtr="0" upright="1"/>
                    </wps:wsp>
                  </a:graphicData>
                </a:graphic>
              </wp:anchor>
            </w:drawing>
          </mc:Choice>
          <mc:Fallback>
            <w:pict>
              <v:shape id="_x0000_s1026" o:spid="_x0000_s1026" o:spt="62" type="#_x0000_t62" style="position:absolute;left:0pt;margin-left:200.4pt;margin-top:210.75pt;height:32.5pt;width:96.1pt;z-index:251672576;v-text-anchor:middle;mso-width-relative:page;mso-height-relative:page;" filled="f" stroked="t" coordsize="21600,21600" o:gfxdata="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K&#10;c8k43AAAAAsBAAAPAAAAAAAAAAEAIAAAACIAAABkcnMvZG93bnJldi54bWxQSwECFAAUAAAACACH&#10;TuJAcvEDR1kCAACzBAAADgAAAAAAAAABACAAAAArAQAAZHJzL2Uyb0RvYy54bWxQSwUGAAAAAAYA&#10;BgBZAQAA9gUAAAAA&#10;" adj="-13104,68488,14400">
                <v:fill on="f" focussize="0,0"/>
                <v:stroke weight="2pt" color="#000000" joinstyle="round"/>
                <v:imagedata o:title=""/>
                <o:lock v:ext="edit" aspectratio="f"/>
                <v:textbox>
                  <w:txbxContent>
                    <w:p w14:paraId="7C13E441">
                      <w:pPr>
                        <w:jc w:val="both"/>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本项目所在地</w:t>
                      </w:r>
                    </w:p>
                  </w:txbxContent>
                </v:textbox>
              </v:shape>
            </w:pict>
          </mc:Fallback>
        </mc:AlternateContent>
      </w:r>
      <w:r>
        <w:rPr>
          <w:rFonts w:hint="default" w:ascii="Times New Roman" w:hAnsi="Times New Roman" w:cs="Times New Roman"/>
          <w:color w:val="FF0000"/>
          <w:sz w:val="22"/>
        </w:rPr>
        <mc:AlternateContent>
          <mc:Choice Requires="wps">
            <w:drawing>
              <wp:anchor distT="0" distB="0" distL="114300" distR="114300" simplePos="0" relativeHeight="251666432" behindDoc="0" locked="0" layoutInCell="1" allowOverlap="1">
                <wp:simplePos x="0" y="0"/>
                <wp:positionH relativeFrom="column">
                  <wp:posOffset>60325</wp:posOffset>
                </wp:positionH>
                <wp:positionV relativeFrom="paragraph">
                  <wp:posOffset>7984490</wp:posOffset>
                </wp:positionV>
                <wp:extent cx="5447665" cy="47625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5447665" cy="476250"/>
                        </a:xfrm>
                        <a:prstGeom prst="rect">
                          <a:avLst/>
                        </a:prstGeom>
                        <a:noFill/>
                        <a:ln>
                          <a:noFill/>
                        </a:ln>
                      </wps:spPr>
                      <wps:txbx>
                        <w:txbxContent>
                          <w:p w14:paraId="0A08B748">
                            <w:pPr>
                              <w:pStyle w:val="15"/>
                              <w:jc w:val="center"/>
                              <w:rPr>
                                <w:rFonts w:hint="eastAsia" w:eastAsia="宋体"/>
                                <w:lang w:val="en-US" w:eastAsia="zh-CN"/>
                              </w:rPr>
                            </w:pPr>
                            <w:r>
                              <w:rPr>
                                <w:rFonts w:hint="eastAsia" w:ascii="Times New Roman" w:hAnsi="Times New Roman" w:eastAsia="宋体" w:cs="Times New Roman"/>
                                <w:b/>
                                <w:bCs/>
                                <w:color w:val="000000"/>
                                <w:kern w:val="0"/>
                                <w:sz w:val="24"/>
                                <w:szCs w:val="24"/>
                                <w:lang w:val="en-US" w:eastAsia="zh-CN" w:bidi="ar-SA"/>
                              </w:rPr>
                              <w:t>附</w:t>
                            </w:r>
                            <w:r>
                              <w:rPr>
                                <w:rFonts w:hint="default" w:ascii="Times New Roman" w:hAnsi="Times New Roman" w:eastAsia="宋体" w:cs="Times New Roman"/>
                                <w:b/>
                                <w:bCs/>
                                <w:color w:val="000000"/>
                                <w:kern w:val="0"/>
                                <w:sz w:val="24"/>
                                <w:szCs w:val="24"/>
                                <w:lang w:val="en-US" w:eastAsia="zh-CN" w:bidi="ar-SA"/>
                              </w:rPr>
                              <w:t>图</w:t>
                            </w:r>
                            <w:r>
                              <w:rPr>
                                <w:rFonts w:hint="eastAsia" w:ascii="Times New Roman" w:hAnsi="Times New Roman" w:eastAsia="宋体" w:cs="Times New Roman"/>
                                <w:b/>
                                <w:bCs/>
                                <w:color w:val="000000"/>
                                <w:kern w:val="0"/>
                                <w:sz w:val="24"/>
                                <w:szCs w:val="24"/>
                                <w:lang w:val="en-US" w:eastAsia="zh-CN" w:bidi="ar-SA"/>
                              </w:rPr>
                              <w:t>1-</w:t>
                            </w:r>
                            <w:r>
                              <w:rPr>
                                <w:rFonts w:hint="eastAsia" w:eastAsia="宋体" w:cs="Times New Roman"/>
                                <w:b/>
                                <w:bCs/>
                                <w:color w:val="000000"/>
                                <w:kern w:val="0"/>
                                <w:sz w:val="24"/>
                                <w:szCs w:val="24"/>
                                <w:lang w:val="en-US" w:eastAsia="zh-CN" w:bidi="ar-SA"/>
                              </w:rPr>
                              <w:t>2</w:t>
                            </w:r>
                            <w:r>
                              <w:rPr>
                                <w:rFonts w:hint="eastAsia" w:ascii="宋体" w:hAnsi="宋体" w:eastAsia="宋体" w:cs="宋体"/>
                                <w:b/>
                                <w:color w:val="000000"/>
                                <w:sz w:val="24"/>
                                <w:szCs w:val="24"/>
                                <w:lang w:val="en-US" w:eastAsia="zh-CN"/>
                              </w:rPr>
                              <w:t>地理位置示意图</w:t>
                            </w:r>
                          </w:p>
                          <w:p w14:paraId="14FC6714"/>
                        </w:txbxContent>
                      </wps:txbx>
                      <wps:bodyPr upright="1"/>
                    </wps:wsp>
                  </a:graphicData>
                </a:graphic>
              </wp:anchor>
            </w:drawing>
          </mc:Choice>
          <mc:Fallback>
            <w:pict>
              <v:shape id="_x0000_s1026" o:spid="_x0000_s1026" o:spt="202" type="#_x0000_t202" style="position:absolute;left:0pt;margin-left:4.75pt;margin-top:628.7pt;height:37.5pt;width:428.95pt;z-index:251666432;mso-width-relative:page;mso-height-relative:page;" filled="f" stroked="f" coordsize="21600,21600" o:gfxdata="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ByTDxNgA&#10;AAALAQAADwAAAAAAAAABACAAAAAiAAAAZHJzL2Rvd25yZXYueG1sUEsBAhQAFAAAAAgAh07iQEOp&#10;6tqtAQAAUAMAAA4AAAAAAAAAAQAgAAAAJwEAAGRycy9lMm9Eb2MueG1sUEsFBgAAAAAGAAYAWQEA&#10;AEYFAAAAAA==&#10;">
                <v:fill on="f" focussize="0,0"/>
                <v:stroke on="f"/>
                <v:imagedata o:title=""/>
                <o:lock v:ext="edit" aspectratio="f"/>
                <v:textbox>
                  <w:txbxContent>
                    <w:p w14:paraId="0A08B748">
                      <w:pPr>
                        <w:pStyle w:val="15"/>
                        <w:jc w:val="center"/>
                        <w:rPr>
                          <w:rFonts w:hint="eastAsia" w:eastAsia="宋体"/>
                          <w:lang w:val="en-US" w:eastAsia="zh-CN"/>
                        </w:rPr>
                      </w:pPr>
                      <w:r>
                        <w:rPr>
                          <w:rFonts w:hint="eastAsia" w:ascii="Times New Roman" w:hAnsi="Times New Roman" w:eastAsia="宋体" w:cs="Times New Roman"/>
                          <w:b/>
                          <w:bCs/>
                          <w:color w:val="000000"/>
                          <w:kern w:val="0"/>
                          <w:sz w:val="24"/>
                          <w:szCs w:val="24"/>
                          <w:lang w:val="en-US" w:eastAsia="zh-CN" w:bidi="ar-SA"/>
                        </w:rPr>
                        <w:t>附</w:t>
                      </w:r>
                      <w:r>
                        <w:rPr>
                          <w:rFonts w:hint="default" w:ascii="Times New Roman" w:hAnsi="Times New Roman" w:eastAsia="宋体" w:cs="Times New Roman"/>
                          <w:b/>
                          <w:bCs/>
                          <w:color w:val="000000"/>
                          <w:kern w:val="0"/>
                          <w:sz w:val="24"/>
                          <w:szCs w:val="24"/>
                          <w:lang w:val="en-US" w:eastAsia="zh-CN" w:bidi="ar-SA"/>
                        </w:rPr>
                        <w:t>图</w:t>
                      </w:r>
                      <w:r>
                        <w:rPr>
                          <w:rFonts w:hint="eastAsia" w:ascii="Times New Roman" w:hAnsi="Times New Roman" w:eastAsia="宋体" w:cs="Times New Roman"/>
                          <w:b/>
                          <w:bCs/>
                          <w:color w:val="000000"/>
                          <w:kern w:val="0"/>
                          <w:sz w:val="24"/>
                          <w:szCs w:val="24"/>
                          <w:lang w:val="en-US" w:eastAsia="zh-CN" w:bidi="ar-SA"/>
                        </w:rPr>
                        <w:t>1-</w:t>
                      </w:r>
                      <w:r>
                        <w:rPr>
                          <w:rFonts w:hint="eastAsia" w:eastAsia="宋体" w:cs="Times New Roman"/>
                          <w:b/>
                          <w:bCs/>
                          <w:color w:val="000000"/>
                          <w:kern w:val="0"/>
                          <w:sz w:val="24"/>
                          <w:szCs w:val="24"/>
                          <w:lang w:val="en-US" w:eastAsia="zh-CN" w:bidi="ar-SA"/>
                        </w:rPr>
                        <w:t>2</w:t>
                      </w:r>
                      <w:r>
                        <w:rPr>
                          <w:rFonts w:hint="eastAsia" w:ascii="宋体" w:hAnsi="宋体" w:eastAsia="宋体" w:cs="宋体"/>
                          <w:b/>
                          <w:color w:val="000000"/>
                          <w:sz w:val="24"/>
                          <w:szCs w:val="24"/>
                          <w:lang w:val="en-US" w:eastAsia="zh-CN"/>
                        </w:rPr>
                        <w:t>地理位置示意图</w:t>
                      </w:r>
                    </w:p>
                    <w:p w14:paraId="14FC6714"/>
                  </w:txbxContent>
                </v:textbox>
              </v:shape>
            </w:pict>
          </mc:Fallback>
        </mc:AlternateContent>
      </w:r>
      <w:r>
        <w:rPr>
          <w:rFonts w:hint="default" w:ascii="Times New Roman" w:hAnsi="Times New Roman" w:cs="Times New Roman"/>
          <w:color w:val="FF0000"/>
          <w:lang w:eastAsia="zh-CN"/>
        </w:rPr>
        <w:drawing>
          <wp:anchor distT="0" distB="0" distL="114300" distR="114300" simplePos="0" relativeHeight="251667456" behindDoc="0" locked="0" layoutInCell="1" allowOverlap="1">
            <wp:simplePos x="0" y="0"/>
            <wp:positionH relativeFrom="column">
              <wp:posOffset>76200</wp:posOffset>
            </wp:positionH>
            <wp:positionV relativeFrom="paragraph">
              <wp:posOffset>-34290</wp:posOffset>
            </wp:positionV>
            <wp:extent cx="5265420" cy="7452995"/>
            <wp:effectExtent l="0" t="0" r="11430" b="14605"/>
            <wp:wrapSquare wrapText="bothSides"/>
            <wp:docPr id="19" name="图片 19" descr="102木垒哈萨克自治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02木垒哈萨克自治县"/>
                    <pic:cNvPicPr>
                      <a:picLocks noChangeAspect="1"/>
                    </pic:cNvPicPr>
                  </pic:nvPicPr>
                  <pic:blipFill>
                    <a:blip r:embed="rId19"/>
                    <a:stretch>
                      <a:fillRect/>
                    </a:stretch>
                  </pic:blipFill>
                  <pic:spPr>
                    <a:xfrm>
                      <a:off x="0" y="0"/>
                      <a:ext cx="5265420" cy="7452995"/>
                    </a:xfrm>
                    <a:prstGeom prst="rect">
                      <a:avLst/>
                    </a:prstGeom>
                  </pic:spPr>
                </pic:pic>
              </a:graphicData>
            </a:graphic>
          </wp:anchor>
        </w:drawing>
      </w:r>
    </w:p>
    <w:p w14:paraId="3A1A3413">
      <w:pPr>
        <w:rPr>
          <w:rFonts w:hint="default" w:ascii="Times New Roman" w:hAnsi="Times New Roman" w:cs="Times New Roman"/>
          <w:lang w:eastAsia="zh-CN"/>
        </w:rPr>
      </w:pPr>
      <w:r>
        <w:rPr>
          <w:rFonts w:hint="default" w:ascii="Times New Roman" w:hAnsi="Times New Roman" w:cs="Times New Roman" w:eastAsiaTheme="minorEastAsia"/>
          <w:lang w:eastAsia="zh-CN"/>
        </w:rPr>
        <w:drawing>
          <wp:anchor distT="0" distB="0" distL="114300" distR="114300" simplePos="0" relativeHeight="251676672" behindDoc="0" locked="0" layoutInCell="1" allowOverlap="1">
            <wp:simplePos x="0" y="0"/>
            <wp:positionH relativeFrom="column">
              <wp:posOffset>7942580</wp:posOffset>
            </wp:positionH>
            <wp:positionV relativeFrom="paragraph">
              <wp:posOffset>20320</wp:posOffset>
            </wp:positionV>
            <wp:extent cx="876300" cy="1447800"/>
            <wp:effectExtent l="0" t="0" r="0" b="0"/>
            <wp:wrapNone/>
            <wp:docPr id="30" name="图片 30" descr="1734434209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734434209466"/>
                    <pic:cNvPicPr>
                      <a:picLocks noChangeAspect="1"/>
                    </pic:cNvPicPr>
                  </pic:nvPicPr>
                  <pic:blipFill>
                    <a:blip r:embed="rId20"/>
                    <a:stretch>
                      <a:fillRect/>
                    </a:stretch>
                  </pic:blipFill>
                  <pic:spPr>
                    <a:xfrm>
                      <a:off x="0" y="0"/>
                      <a:ext cx="876300" cy="1447800"/>
                    </a:xfrm>
                    <a:prstGeom prst="rect">
                      <a:avLst/>
                    </a:prstGeom>
                  </pic:spPr>
                </pic:pic>
              </a:graphicData>
            </a:graphic>
          </wp:anchor>
        </w:drawing>
      </w:r>
      <w:r>
        <w:rPr>
          <w:rFonts w:hint="default" w:ascii="Times New Roman" w:hAnsi="Times New Roman" w:cs="Times New Roman"/>
          <w:sz w:val="21"/>
        </w:rPr>
        <mc:AlternateContent>
          <mc:Choice Requires="wps">
            <w:drawing>
              <wp:anchor distT="0" distB="0" distL="114300" distR="114300" simplePos="0" relativeHeight="251668480" behindDoc="0" locked="0" layoutInCell="1" allowOverlap="1">
                <wp:simplePos x="0" y="0"/>
                <wp:positionH relativeFrom="column">
                  <wp:posOffset>1605280</wp:posOffset>
                </wp:positionH>
                <wp:positionV relativeFrom="paragraph">
                  <wp:posOffset>5244465</wp:posOffset>
                </wp:positionV>
                <wp:extent cx="5332095" cy="765810"/>
                <wp:effectExtent l="0" t="0" r="1905" b="15240"/>
                <wp:wrapNone/>
                <wp:docPr id="21" name="文本框 21"/>
                <wp:cNvGraphicFramePr/>
                <a:graphic xmlns:a="http://schemas.openxmlformats.org/drawingml/2006/main">
                  <a:graphicData uri="http://schemas.microsoft.com/office/word/2010/wordprocessingShape">
                    <wps:wsp>
                      <wps:cNvSpPr txBox="1"/>
                      <wps:spPr>
                        <a:xfrm>
                          <a:off x="2519680" y="6387465"/>
                          <a:ext cx="5332095" cy="7658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4C03D71">
                            <w:pPr>
                              <w:jc w:val="center"/>
                              <w:rPr>
                                <w:rFonts w:hint="default" w:eastAsiaTheme="minorEastAsia"/>
                                <w:b/>
                                <w:bCs/>
                                <w:sz w:val="28"/>
                                <w:szCs w:val="36"/>
                                <w:lang w:val="en-US" w:eastAsia="zh-CN"/>
                              </w:rPr>
                            </w:pPr>
                            <w:r>
                              <w:rPr>
                                <w:rFonts w:hint="eastAsia"/>
                                <w:b/>
                                <w:bCs/>
                                <w:sz w:val="28"/>
                                <w:szCs w:val="36"/>
                                <w:lang w:val="en-US" w:eastAsia="zh-CN"/>
                              </w:rPr>
                              <w:t>附图2-2施工布置示意图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6.4pt;margin-top:412.95pt;height:60.3pt;width:419.85pt;z-index:251668480;mso-width-relative:page;mso-height-relative:page;" fillcolor="#FFFFFF [3201]" filled="t" stroked="f" coordsize="21600,21600" o:gfxdata="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EHECPdcAAAAMAQAADwAAAAAAAAABACAAAAAiAAAAZHJzL2Rvd25yZXYueG1sUEsBAhQAFAAAAAgA&#10;h07iQLXlEyhfAgAAnQQAAA4AAAAAAAAAAQAgAAAAJgEAAGRycy9lMm9Eb2MueG1sUEsFBgAAAAAG&#10;AAYAWQEAAPcFAAAAAA==&#10;">
                <v:fill on="t" focussize="0,0"/>
                <v:stroke on="f" weight="0.5pt"/>
                <v:imagedata o:title=""/>
                <o:lock v:ext="edit" aspectratio="f"/>
                <v:textbox>
                  <w:txbxContent>
                    <w:p w14:paraId="24C03D71">
                      <w:pPr>
                        <w:jc w:val="center"/>
                        <w:rPr>
                          <w:rFonts w:hint="default" w:eastAsiaTheme="minorEastAsia"/>
                          <w:b/>
                          <w:bCs/>
                          <w:sz w:val="28"/>
                          <w:szCs w:val="36"/>
                          <w:lang w:val="en-US" w:eastAsia="zh-CN"/>
                        </w:rPr>
                      </w:pPr>
                      <w:r>
                        <w:rPr>
                          <w:rFonts w:hint="eastAsia"/>
                          <w:b/>
                          <w:bCs/>
                          <w:sz w:val="28"/>
                          <w:szCs w:val="36"/>
                          <w:lang w:val="en-US" w:eastAsia="zh-CN"/>
                        </w:rPr>
                        <w:t>附图2-2施工布置示意图</w:t>
                      </w:r>
                    </w:p>
                  </w:txbxContent>
                </v:textbox>
              </v:shape>
            </w:pict>
          </mc:Fallback>
        </mc:AlternateContent>
      </w:r>
      <w:r>
        <w:rPr>
          <w:rFonts w:hint="default" w:ascii="Times New Roman" w:hAnsi="Times New Roman" w:cs="Times New Roman" w:eastAsiaTheme="minorEastAsia"/>
          <w:lang w:eastAsia="zh-CN"/>
        </w:rPr>
        <w:drawing>
          <wp:inline distT="0" distB="0" distL="114300" distR="114300">
            <wp:extent cx="8856980" cy="4882515"/>
            <wp:effectExtent l="0" t="0" r="1270" b="13335"/>
            <wp:docPr id="22" name="图片 22" descr="42866f0e-4bbb-43ba-849e-013b2c7f86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42866f0e-4bbb-43ba-849e-013b2c7f86f6"/>
                    <pic:cNvPicPr>
                      <a:picLocks noChangeAspect="1"/>
                    </pic:cNvPicPr>
                  </pic:nvPicPr>
                  <pic:blipFill>
                    <a:blip r:embed="rId21"/>
                    <a:stretch>
                      <a:fillRect/>
                    </a:stretch>
                  </pic:blipFill>
                  <pic:spPr>
                    <a:xfrm>
                      <a:off x="0" y="0"/>
                      <a:ext cx="8856980" cy="4882515"/>
                    </a:xfrm>
                    <a:prstGeom prst="rect">
                      <a:avLst/>
                    </a:prstGeom>
                  </pic:spPr>
                </pic:pic>
              </a:graphicData>
            </a:graphic>
          </wp:inline>
        </w:drawing>
      </w:r>
      <w:r>
        <w:rPr>
          <w:rFonts w:hint="default" w:ascii="Times New Roman" w:hAnsi="Times New Roman" w:cs="Times New Roman" w:eastAsiaTheme="minorEastAsia"/>
          <w:lang w:eastAsia="zh-CN"/>
        </w:rPr>
        <w:drawing>
          <wp:anchor distT="0" distB="0" distL="114300" distR="114300" simplePos="0" relativeHeight="251675648" behindDoc="0" locked="0" layoutInCell="1" allowOverlap="1">
            <wp:simplePos x="0" y="0"/>
            <wp:positionH relativeFrom="column">
              <wp:posOffset>7924800</wp:posOffset>
            </wp:positionH>
            <wp:positionV relativeFrom="paragraph">
              <wp:posOffset>27305</wp:posOffset>
            </wp:positionV>
            <wp:extent cx="876300" cy="1447800"/>
            <wp:effectExtent l="0" t="0" r="0" b="0"/>
            <wp:wrapNone/>
            <wp:docPr id="34" name="图片 34" descr="1734434209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1734434209466"/>
                    <pic:cNvPicPr>
                      <a:picLocks noChangeAspect="1"/>
                    </pic:cNvPicPr>
                  </pic:nvPicPr>
                  <pic:blipFill>
                    <a:blip r:embed="rId20"/>
                    <a:stretch>
                      <a:fillRect/>
                    </a:stretch>
                  </pic:blipFill>
                  <pic:spPr>
                    <a:xfrm>
                      <a:off x="0" y="0"/>
                      <a:ext cx="876300" cy="1447800"/>
                    </a:xfrm>
                    <a:prstGeom prst="rect">
                      <a:avLst/>
                    </a:prstGeom>
                  </pic:spPr>
                </pic:pic>
              </a:graphicData>
            </a:graphic>
          </wp:anchor>
        </w:drawing>
      </w:r>
      <w:r>
        <w:rPr>
          <w:rFonts w:hint="default" w:ascii="Times New Roman" w:hAnsi="Times New Roman" w:cs="Times New Roman"/>
          <w:sz w:val="21"/>
        </w:rPr>
        <mc:AlternateContent>
          <mc:Choice Requires="wps">
            <w:drawing>
              <wp:anchor distT="0" distB="0" distL="114300" distR="114300" simplePos="0" relativeHeight="251669504" behindDoc="0" locked="0" layoutInCell="1" allowOverlap="1">
                <wp:simplePos x="0" y="0"/>
                <wp:positionH relativeFrom="column">
                  <wp:posOffset>2858135</wp:posOffset>
                </wp:positionH>
                <wp:positionV relativeFrom="paragraph">
                  <wp:posOffset>5241290</wp:posOffset>
                </wp:positionV>
                <wp:extent cx="3996690" cy="538480"/>
                <wp:effectExtent l="0" t="0" r="3810" b="13970"/>
                <wp:wrapNone/>
                <wp:docPr id="12" name="文本框 12"/>
                <wp:cNvGraphicFramePr/>
                <a:graphic xmlns:a="http://schemas.openxmlformats.org/drawingml/2006/main">
                  <a:graphicData uri="http://schemas.microsoft.com/office/word/2010/wordprocessingShape">
                    <wps:wsp>
                      <wps:cNvSpPr txBox="1"/>
                      <wps:spPr>
                        <a:xfrm>
                          <a:off x="3772535" y="6384290"/>
                          <a:ext cx="3996690" cy="5384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DEA3D0F">
                            <w:pPr>
                              <w:jc w:val="center"/>
                              <w:rPr>
                                <w:rFonts w:hint="default" w:eastAsiaTheme="minorEastAsia"/>
                                <w:b/>
                                <w:bCs/>
                                <w:sz w:val="28"/>
                                <w:szCs w:val="36"/>
                                <w:lang w:val="en-US" w:eastAsia="zh-CN"/>
                              </w:rPr>
                            </w:pPr>
                            <w:r>
                              <w:rPr>
                                <w:rFonts w:hint="eastAsia"/>
                                <w:b/>
                                <w:bCs/>
                                <w:sz w:val="28"/>
                                <w:szCs w:val="36"/>
                                <w:lang w:val="en-US" w:eastAsia="zh-CN"/>
                              </w:rPr>
                              <w:t>附图3-2土地利用现状图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5.05pt;margin-top:412.7pt;height:42.4pt;width:314.7pt;z-index:251669504;mso-width-relative:page;mso-height-relative:page;" fillcolor="#FFFFFF [3201]" filled="t" stroked="f" coordsize="21600,21600" o:gfxdata="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4PfHk&#10;1wAAAAwBAAAPAAAAAAAAAAEAIAAAACIAAABkcnMvZG93bnJldi54bWxQSwECFAAUAAAACACHTuJA&#10;l5dXO1sCAACdBAAADgAAAAAAAAABACAAAAAmAQAAZHJzL2Uyb0RvYy54bWxQSwUGAAAAAAYABgBZ&#10;AQAA8wUAAAAA&#10;">
                <v:fill on="t" focussize="0,0"/>
                <v:stroke on="f" weight="0.5pt"/>
                <v:imagedata o:title=""/>
                <o:lock v:ext="edit" aspectratio="f"/>
                <v:textbox>
                  <w:txbxContent>
                    <w:p w14:paraId="1DEA3D0F">
                      <w:pPr>
                        <w:jc w:val="center"/>
                        <w:rPr>
                          <w:rFonts w:hint="default" w:eastAsiaTheme="minorEastAsia"/>
                          <w:b/>
                          <w:bCs/>
                          <w:sz w:val="28"/>
                          <w:szCs w:val="36"/>
                          <w:lang w:val="en-US" w:eastAsia="zh-CN"/>
                        </w:rPr>
                      </w:pPr>
                      <w:r>
                        <w:rPr>
                          <w:rFonts w:hint="eastAsia"/>
                          <w:b/>
                          <w:bCs/>
                          <w:sz w:val="28"/>
                          <w:szCs w:val="36"/>
                          <w:lang w:val="en-US" w:eastAsia="zh-CN"/>
                        </w:rPr>
                        <w:t>附图3-2土地利用现状图</w:t>
                      </w:r>
                    </w:p>
                  </w:txbxContent>
                </v:textbox>
              </v:shape>
            </w:pict>
          </mc:Fallback>
        </mc:AlternateContent>
      </w:r>
      <w:r>
        <w:rPr>
          <w:rFonts w:hint="default" w:ascii="Times New Roman" w:hAnsi="Times New Roman" w:cs="Times New Roman" w:eastAsiaTheme="minorEastAsia"/>
          <w:lang w:eastAsia="zh-CN"/>
        </w:rPr>
        <w:drawing>
          <wp:inline distT="0" distB="0" distL="114300" distR="114300">
            <wp:extent cx="8860790" cy="4916170"/>
            <wp:effectExtent l="0" t="0" r="16510" b="17780"/>
            <wp:docPr id="23" name="图片 23" descr="20666a40-2fc6-4226-9949-39548931a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20666a40-2fc6-4226-9949-39548931a266"/>
                    <pic:cNvPicPr>
                      <a:picLocks noChangeAspect="1"/>
                    </pic:cNvPicPr>
                  </pic:nvPicPr>
                  <pic:blipFill>
                    <a:blip r:embed="rId22"/>
                    <a:stretch>
                      <a:fillRect/>
                    </a:stretch>
                  </pic:blipFill>
                  <pic:spPr>
                    <a:xfrm>
                      <a:off x="0" y="0"/>
                      <a:ext cx="8860790" cy="4916170"/>
                    </a:xfrm>
                    <a:prstGeom prst="rect">
                      <a:avLst/>
                    </a:prstGeom>
                  </pic:spPr>
                </pic:pic>
              </a:graphicData>
            </a:graphic>
          </wp:inline>
        </w:drawing>
      </w:r>
      <w:r>
        <w:rPr>
          <w:rFonts w:hint="default" w:ascii="Times New Roman" w:hAnsi="Times New Roman" w:cs="Times New Roman" w:eastAsiaTheme="minorEastAsia"/>
          <w:lang w:eastAsia="zh-CN"/>
        </w:rPr>
        <w:drawing>
          <wp:anchor distT="0" distB="0" distL="114300" distR="114300" simplePos="0" relativeHeight="251678720" behindDoc="0" locked="0" layoutInCell="1" allowOverlap="1">
            <wp:simplePos x="0" y="0"/>
            <wp:positionH relativeFrom="column">
              <wp:posOffset>7953375</wp:posOffset>
            </wp:positionH>
            <wp:positionV relativeFrom="paragraph">
              <wp:posOffset>10160</wp:posOffset>
            </wp:positionV>
            <wp:extent cx="876300" cy="1447800"/>
            <wp:effectExtent l="0" t="0" r="0" b="0"/>
            <wp:wrapNone/>
            <wp:docPr id="32" name="图片 32" descr="1734434209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734434209466"/>
                    <pic:cNvPicPr>
                      <a:picLocks noChangeAspect="1"/>
                    </pic:cNvPicPr>
                  </pic:nvPicPr>
                  <pic:blipFill>
                    <a:blip r:embed="rId20"/>
                    <a:stretch>
                      <a:fillRect/>
                    </a:stretch>
                  </pic:blipFill>
                  <pic:spPr>
                    <a:xfrm>
                      <a:off x="0" y="0"/>
                      <a:ext cx="876300" cy="1447800"/>
                    </a:xfrm>
                    <a:prstGeom prst="rect">
                      <a:avLst/>
                    </a:prstGeom>
                  </pic:spPr>
                </pic:pic>
              </a:graphicData>
            </a:graphic>
          </wp:anchor>
        </w:drawing>
      </w:r>
      <w:r>
        <w:rPr>
          <w:rFonts w:hint="default" w:ascii="Times New Roman" w:hAnsi="Times New Roman" w:cs="Times New Roman"/>
          <w:sz w:val="21"/>
        </w:rPr>
        <mc:AlternateContent>
          <mc:Choice Requires="wps">
            <w:drawing>
              <wp:anchor distT="0" distB="0" distL="114300" distR="114300" simplePos="0" relativeHeight="251671552" behindDoc="0" locked="0" layoutInCell="1" allowOverlap="1">
                <wp:simplePos x="0" y="0"/>
                <wp:positionH relativeFrom="column">
                  <wp:posOffset>2444115</wp:posOffset>
                </wp:positionH>
                <wp:positionV relativeFrom="paragraph">
                  <wp:posOffset>5184775</wp:posOffset>
                </wp:positionV>
                <wp:extent cx="3996690" cy="538480"/>
                <wp:effectExtent l="0" t="0" r="3810" b="13970"/>
                <wp:wrapNone/>
                <wp:docPr id="24" name="文本框 24"/>
                <wp:cNvGraphicFramePr/>
                <a:graphic xmlns:a="http://schemas.openxmlformats.org/drawingml/2006/main">
                  <a:graphicData uri="http://schemas.microsoft.com/office/word/2010/wordprocessingShape">
                    <wps:wsp>
                      <wps:cNvSpPr txBox="1"/>
                      <wps:spPr>
                        <a:xfrm>
                          <a:off x="0" y="0"/>
                          <a:ext cx="3996690" cy="5384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50785F8">
                            <w:pPr>
                              <w:jc w:val="center"/>
                              <w:rPr>
                                <w:rFonts w:hint="default" w:eastAsiaTheme="minorEastAsia"/>
                                <w:b/>
                                <w:bCs/>
                                <w:sz w:val="28"/>
                                <w:szCs w:val="36"/>
                                <w:lang w:val="en-US" w:eastAsia="zh-CN"/>
                              </w:rPr>
                            </w:pPr>
                            <w:r>
                              <w:rPr>
                                <w:rFonts w:hint="eastAsia"/>
                                <w:b/>
                                <w:bCs/>
                                <w:sz w:val="28"/>
                                <w:szCs w:val="36"/>
                                <w:lang w:val="en-US" w:eastAsia="zh-CN"/>
                              </w:rPr>
                              <w:t>附图3-3植被类型图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2.45pt;margin-top:408.25pt;height:42.4pt;width:314.7pt;z-index:251671552;mso-width-relative:page;mso-height-relative:page;" fillcolor="#FFFFFF [3201]" filled="t" stroked="f" coordsize="21600,21600" o:gfxdata="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jT+e9NcAAAAMAQAA&#10;DwAAAAAAAAABACAAAAAiAAAAZHJzL2Rvd25yZXYueG1sUEsBAhQAFAAAAAgAh07iQEez58ZTAgAA&#10;kQQAAA4AAAAAAAAAAQAgAAAAJgEAAGRycy9lMm9Eb2MueG1sUEsFBgAAAAAGAAYAWQEAAOsFAAAA&#10;AA==&#10;">
                <v:fill on="t" focussize="0,0"/>
                <v:stroke on="f" weight="0.5pt"/>
                <v:imagedata o:title=""/>
                <o:lock v:ext="edit" aspectratio="f"/>
                <v:textbox>
                  <w:txbxContent>
                    <w:p w14:paraId="450785F8">
                      <w:pPr>
                        <w:jc w:val="center"/>
                        <w:rPr>
                          <w:rFonts w:hint="default" w:eastAsiaTheme="minorEastAsia"/>
                          <w:b/>
                          <w:bCs/>
                          <w:sz w:val="28"/>
                          <w:szCs w:val="36"/>
                          <w:lang w:val="en-US" w:eastAsia="zh-CN"/>
                        </w:rPr>
                      </w:pPr>
                      <w:r>
                        <w:rPr>
                          <w:rFonts w:hint="eastAsia"/>
                          <w:b/>
                          <w:bCs/>
                          <w:sz w:val="28"/>
                          <w:szCs w:val="36"/>
                          <w:lang w:val="en-US" w:eastAsia="zh-CN"/>
                        </w:rPr>
                        <w:t>附图3-3植被类型图</w:t>
                      </w:r>
                    </w:p>
                  </w:txbxContent>
                </v:textbox>
              </v:shape>
            </w:pict>
          </mc:Fallback>
        </mc:AlternateContent>
      </w:r>
      <w:r>
        <w:rPr>
          <w:rFonts w:hint="default" w:ascii="Times New Roman" w:hAnsi="Times New Roman" w:cs="Times New Roman" w:eastAsiaTheme="minorEastAsia"/>
          <w:lang w:eastAsia="zh-CN"/>
        </w:rPr>
        <w:drawing>
          <wp:inline distT="0" distB="0" distL="114300" distR="114300">
            <wp:extent cx="8850630" cy="4843145"/>
            <wp:effectExtent l="0" t="0" r="7620" b="14605"/>
            <wp:docPr id="25" name="图片 25" descr="bd849624-234b-4804-8b10-82a5c6f33c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bd849624-234b-4804-8b10-82a5c6f33cc6"/>
                    <pic:cNvPicPr>
                      <a:picLocks noChangeAspect="1"/>
                    </pic:cNvPicPr>
                  </pic:nvPicPr>
                  <pic:blipFill>
                    <a:blip r:embed="rId23"/>
                    <a:stretch>
                      <a:fillRect/>
                    </a:stretch>
                  </pic:blipFill>
                  <pic:spPr>
                    <a:xfrm>
                      <a:off x="0" y="0"/>
                      <a:ext cx="8850630" cy="4843145"/>
                    </a:xfrm>
                    <a:prstGeom prst="rect">
                      <a:avLst/>
                    </a:prstGeom>
                  </pic:spPr>
                </pic:pic>
              </a:graphicData>
            </a:graphic>
          </wp:inline>
        </w:drawing>
      </w:r>
      <w:r>
        <w:rPr>
          <w:rFonts w:hint="default" w:ascii="Times New Roman" w:hAnsi="Times New Roman" w:cs="Times New Roman" w:eastAsiaTheme="minorEastAsia"/>
          <w:lang w:eastAsia="zh-CN"/>
        </w:rPr>
        <w:drawing>
          <wp:anchor distT="0" distB="0" distL="114300" distR="114300" simplePos="0" relativeHeight="251677696" behindDoc="0" locked="0" layoutInCell="1" allowOverlap="1">
            <wp:simplePos x="0" y="0"/>
            <wp:positionH relativeFrom="column">
              <wp:posOffset>7924800</wp:posOffset>
            </wp:positionH>
            <wp:positionV relativeFrom="paragraph">
              <wp:posOffset>27305</wp:posOffset>
            </wp:positionV>
            <wp:extent cx="876300" cy="1447800"/>
            <wp:effectExtent l="0" t="0" r="0" b="0"/>
            <wp:wrapNone/>
            <wp:docPr id="31" name="图片 31" descr="1734434209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1734434209466"/>
                    <pic:cNvPicPr>
                      <a:picLocks noChangeAspect="1"/>
                    </pic:cNvPicPr>
                  </pic:nvPicPr>
                  <pic:blipFill>
                    <a:blip r:embed="rId20"/>
                    <a:stretch>
                      <a:fillRect/>
                    </a:stretch>
                  </pic:blipFill>
                  <pic:spPr>
                    <a:xfrm>
                      <a:off x="0" y="0"/>
                      <a:ext cx="876300" cy="1447800"/>
                    </a:xfrm>
                    <a:prstGeom prst="rect">
                      <a:avLst/>
                    </a:prstGeom>
                  </pic:spPr>
                </pic:pic>
              </a:graphicData>
            </a:graphic>
          </wp:anchor>
        </w:drawing>
      </w:r>
      <w:r>
        <w:rPr>
          <w:rFonts w:hint="default" w:ascii="Times New Roman" w:hAnsi="Times New Roman" w:cs="Times New Roman"/>
          <w:sz w:val="21"/>
        </w:rPr>
        <mc:AlternateContent>
          <mc:Choice Requires="wps">
            <w:drawing>
              <wp:anchor distT="0" distB="0" distL="114300" distR="114300" simplePos="0" relativeHeight="251674624" behindDoc="0" locked="0" layoutInCell="1" allowOverlap="1">
                <wp:simplePos x="0" y="0"/>
                <wp:positionH relativeFrom="column">
                  <wp:posOffset>673735</wp:posOffset>
                </wp:positionH>
                <wp:positionV relativeFrom="paragraph">
                  <wp:posOffset>4629785</wp:posOffset>
                </wp:positionV>
                <wp:extent cx="300355" cy="154940"/>
                <wp:effectExtent l="6350" t="6350" r="17145" b="10160"/>
                <wp:wrapNone/>
                <wp:docPr id="26" name="矩形 26"/>
                <wp:cNvGraphicFramePr/>
                <a:graphic xmlns:a="http://schemas.openxmlformats.org/drawingml/2006/main">
                  <a:graphicData uri="http://schemas.microsoft.com/office/word/2010/wordprocessingShape">
                    <wps:wsp>
                      <wps:cNvSpPr/>
                      <wps:spPr>
                        <a:xfrm>
                          <a:off x="1588135" y="5772785"/>
                          <a:ext cx="300355" cy="154940"/>
                        </a:xfrm>
                        <a:prstGeom prst="rect">
                          <a:avLst/>
                        </a:prstGeom>
                        <a:solidFill>
                          <a:srgbClr val="FF4D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3.05pt;margin-top:364.55pt;height:12.2pt;width:23.65pt;z-index:251674624;v-text-anchor:middle;mso-width-relative:page;mso-height-relative:page;" fillcolor="#FF4D00" filled="t" stroked="t" coordsize="21600,21600" o:gfxdata="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CE2cWn&#10;2gAAAAsBAAAPAAAAAAAAAAEAIAAAACIAAABkcnMvZG93bnJldi54bWxQSwECFAAUAAAACACHTuJA&#10;WoKr+pECAAAjBQAADgAAAAAAAAABACAAAAApAQAAZHJzL2Uyb0RvYy54bWxQSwUGAAAAAAYABgBZ&#10;AQAALAYAAAAA&#10;">
                <v:fill on="t" focussize="0,0"/>
                <v:stroke weight="1pt" color="#2E54A1 [2404]" miterlimit="8" joinstyle="miter"/>
                <v:imagedata o:title=""/>
                <o:lock v:ext="edit" aspectratio="f"/>
              </v:rect>
            </w:pict>
          </mc:Fallback>
        </mc:AlternateContent>
      </w:r>
      <w:r>
        <w:rPr>
          <w:rFonts w:hint="default" w:ascii="Times New Roman" w:hAnsi="Times New Roman" w:cs="Times New Roman"/>
          <w:sz w:val="21"/>
        </w:rPr>
        <mc:AlternateContent>
          <mc:Choice Requires="wps">
            <w:drawing>
              <wp:anchor distT="0" distB="0" distL="114300" distR="114300" simplePos="0" relativeHeight="251673600" behindDoc="0" locked="0" layoutInCell="1" allowOverlap="1">
                <wp:simplePos x="0" y="0"/>
                <wp:positionH relativeFrom="column">
                  <wp:posOffset>52705</wp:posOffset>
                </wp:positionH>
                <wp:positionV relativeFrom="paragraph">
                  <wp:posOffset>4360545</wp:posOffset>
                </wp:positionV>
                <wp:extent cx="921385" cy="900430"/>
                <wp:effectExtent l="4445" t="5080" r="7620" b="8890"/>
                <wp:wrapNone/>
                <wp:docPr id="27" name="文本框 27"/>
                <wp:cNvGraphicFramePr/>
                <a:graphic xmlns:a="http://schemas.openxmlformats.org/drawingml/2006/main">
                  <a:graphicData uri="http://schemas.microsoft.com/office/word/2010/wordprocessingShape">
                    <wps:wsp>
                      <wps:cNvSpPr txBox="1"/>
                      <wps:spPr>
                        <a:xfrm>
                          <a:off x="967105" y="5503545"/>
                          <a:ext cx="921385" cy="9004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4019E05">
                            <w:pPr>
                              <w:rPr>
                                <w:rFonts w:hint="eastAsia"/>
                                <w:lang w:val="en-US" w:eastAsia="zh-CN"/>
                              </w:rPr>
                            </w:pPr>
                            <w:r>
                              <w:rPr>
                                <w:rFonts w:hint="eastAsia"/>
                                <w:lang w:val="en-US" w:eastAsia="zh-CN"/>
                              </w:rPr>
                              <w:t>图例</w:t>
                            </w:r>
                          </w:p>
                          <w:p w14:paraId="2CF74A53">
                            <w:pPr>
                              <w:rPr>
                                <w:rFonts w:hint="eastAsia"/>
                                <w:lang w:val="en-US" w:eastAsia="zh-CN"/>
                              </w:rPr>
                            </w:pPr>
                            <w:r>
                              <w:rPr>
                                <w:rFonts w:hint="eastAsia"/>
                                <w:lang w:val="en-US" w:eastAsia="zh-CN"/>
                              </w:rPr>
                              <w:t>淡棕钙土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5pt;margin-top:343.35pt;height:70.9pt;width:72.55pt;z-index:251673600;mso-width-relative:page;mso-height-relative:page;" fillcolor="#FFFFFF [3201]" filled="t" stroked="t" coordsize="21600,21600" o:gfxdata="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EHFtStYAAAAJAQAADwAAAAAAAAABACAAAAAiAAAAZHJzL2Rvd25yZXYueG1sUEsBAhQA&#10;FAAAAAgAh07iQKoqIaBmAgAAwwQAAA4AAAAAAAAAAQAgAAAAJQEAAGRycy9lMm9Eb2MueG1sUEsF&#10;BgAAAAAGAAYAWQEAAP0FAAAAAA==&#10;">
                <v:fill on="t" focussize="0,0"/>
                <v:stroke weight="0.5pt" color="#000000 [3204]" joinstyle="round"/>
                <v:imagedata o:title=""/>
                <o:lock v:ext="edit" aspectratio="f"/>
                <v:textbox>
                  <w:txbxContent>
                    <w:p w14:paraId="74019E05">
                      <w:pPr>
                        <w:rPr>
                          <w:rFonts w:hint="eastAsia"/>
                          <w:lang w:val="en-US" w:eastAsia="zh-CN"/>
                        </w:rPr>
                      </w:pPr>
                      <w:r>
                        <w:rPr>
                          <w:rFonts w:hint="eastAsia"/>
                          <w:lang w:val="en-US" w:eastAsia="zh-CN"/>
                        </w:rPr>
                        <w:t>图例</w:t>
                      </w:r>
                    </w:p>
                    <w:p w14:paraId="2CF74A53">
                      <w:pPr>
                        <w:rPr>
                          <w:rFonts w:hint="eastAsia"/>
                          <w:lang w:val="en-US" w:eastAsia="zh-CN"/>
                        </w:rPr>
                      </w:pPr>
                      <w:r>
                        <w:rPr>
                          <w:rFonts w:hint="eastAsia"/>
                          <w:lang w:val="en-US" w:eastAsia="zh-CN"/>
                        </w:rPr>
                        <w:t>淡棕钙土</w:t>
                      </w:r>
                    </w:p>
                  </w:txbxContent>
                </v:textbox>
              </v:shape>
            </w:pict>
          </mc:Fallback>
        </mc:AlternateContent>
      </w:r>
      <w:r>
        <w:rPr>
          <w:rFonts w:hint="default" w:ascii="Times New Roman" w:hAnsi="Times New Roman" w:cs="Times New Roman"/>
          <w:sz w:val="21"/>
        </w:rPr>
        <mc:AlternateContent>
          <mc:Choice Requires="wps">
            <w:drawing>
              <wp:anchor distT="0" distB="0" distL="114300" distR="114300" simplePos="0" relativeHeight="251670528" behindDoc="0" locked="0" layoutInCell="1" allowOverlap="1">
                <wp:simplePos x="0" y="0"/>
                <wp:positionH relativeFrom="column">
                  <wp:posOffset>2661285</wp:posOffset>
                </wp:positionH>
                <wp:positionV relativeFrom="paragraph">
                  <wp:posOffset>5521325</wp:posOffset>
                </wp:positionV>
                <wp:extent cx="3996690" cy="538480"/>
                <wp:effectExtent l="0" t="0" r="3810" b="13970"/>
                <wp:wrapNone/>
                <wp:docPr id="28" name="文本框 28"/>
                <wp:cNvGraphicFramePr/>
                <a:graphic xmlns:a="http://schemas.openxmlformats.org/drawingml/2006/main">
                  <a:graphicData uri="http://schemas.microsoft.com/office/word/2010/wordprocessingShape">
                    <wps:wsp>
                      <wps:cNvSpPr txBox="1"/>
                      <wps:spPr>
                        <a:xfrm>
                          <a:off x="0" y="0"/>
                          <a:ext cx="3996690" cy="5384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923E019">
                            <w:pPr>
                              <w:jc w:val="center"/>
                              <w:rPr>
                                <w:rFonts w:hint="default" w:eastAsiaTheme="minorEastAsia"/>
                                <w:b/>
                                <w:bCs/>
                                <w:sz w:val="28"/>
                                <w:szCs w:val="36"/>
                                <w:lang w:val="en-US" w:eastAsia="zh-CN"/>
                              </w:rPr>
                            </w:pPr>
                            <w:r>
                              <w:rPr>
                                <w:rFonts w:hint="eastAsia"/>
                                <w:b/>
                                <w:bCs/>
                                <w:sz w:val="28"/>
                                <w:szCs w:val="36"/>
                                <w:lang w:val="en-US" w:eastAsia="zh-CN"/>
                              </w:rPr>
                              <w:t>附图3-4土壤类型图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55pt;margin-top:434.75pt;height:42.4pt;width:314.7pt;z-index:251670528;mso-width-relative:page;mso-height-relative:page;" fillcolor="#FFFFFF [3201]" filled="t" stroked="f" coordsize="21600,21600" o:gfxdata="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J9VmrbYAAAADAEA&#10;AA8AAAAAAAAAAQAgAAAAIgAAAGRycy9kb3ducmV2LnhtbFBLAQIUABQAAAAIAIdO4kD6ruEsUwIA&#10;AJEEAAAOAAAAAAAAAAEAIAAAACcBAABkcnMvZTJvRG9jLnhtbFBLBQYAAAAABgAGAFkBAADsBQAA&#10;AAA=&#10;">
                <v:fill on="t" focussize="0,0"/>
                <v:stroke on="f" weight="0.5pt"/>
                <v:imagedata o:title=""/>
                <o:lock v:ext="edit" aspectratio="f"/>
                <v:textbox>
                  <w:txbxContent>
                    <w:p w14:paraId="0923E019">
                      <w:pPr>
                        <w:jc w:val="center"/>
                        <w:rPr>
                          <w:rFonts w:hint="default" w:eastAsiaTheme="minorEastAsia"/>
                          <w:b/>
                          <w:bCs/>
                          <w:sz w:val="28"/>
                          <w:szCs w:val="36"/>
                          <w:lang w:val="en-US" w:eastAsia="zh-CN"/>
                        </w:rPr>
                      </w:pPr>
                      <w:r>
                        <w:rPr>
                          <w:rFonts w:hint="eastAsia"/>
                          <w:b/>
                          <w:bCs/>
                          <w:sz w:val="28"/>
                          <w:szCs w:val="36"/>
                          <w:lang w:val="en-US" w:eastAsia="zh-CN"/>
                        </w:rPr>
                        <w:t>附图3-4土壤类型图</w:t>
                      </w:r>
                    </w:p>
                  </w:txbxContent>
                </v:textbox>
              </v:shape>
            </w:pict>
          </mc:Fallback>
        </mc:AlternateContent>
      </w:r>
      <w:r>
        <w:rPr>
          <w:rFonts w:hint="default" w:ascii="Times New Roman" w:hAnsi="Times New Roman" w:cs="Times New Roman" w:eastAsiaTheme="minorEastAsia"/>
          <w:lang w:eastAsia="zh-CN"/>
        </w:rPr>
        <w:drawing>
          <wp:inline distT="0" distB="0" distL="114300" distR="114300">
            <wp:extent cx="8832850" cy="5269230"/>
            <wp:effectExtent l="0" t="0" r="6350" b="7620"/>
            <wp:docPr id="29" name="图片 29" descr="aacc9c8e-4c36-43f2-ba90-1e7d7817d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aacc9c8e-4c36-43f2-ba90-1e7d7817d122"/>
                    <pic:cNvPicPr>
                      <a:picLocks noChangeAspect="1"/>
                    </pic:cNvPicPr>
                  </pic:nvPicPr>
                  <pic:blipFill>
                    <a:blip r:embed="rId24"/>
                    <a:stretch>
                      <a:fillRect/>
                    </a:stretch>
                  </pic:blipFill>
                  <pic:spPr>
                    <a:xfrm>
                      <a:off x="0" y="0"/>
                      <a:ext cx="8832850" cy="5269230"/>
                    </a:xfrm>
                    <a:prstGeom prst="rect">
                      <a:avLst/>
                    </a:prstGeom>
                  </pic:spPr>
                </pic:pic>
              </a:graphicData>
            </a:graphic>
          </wp:inline>
        </w:drawing>
      </w:r>
    </w:p>
    <w:sectPr>
      <w:pgSz w:w="16838" w:h="11906" w:orient="landscape"/>
      <w:pgMar w:top="1800" w:right="1440" w:bottom="1800" w:left="1440" w:header="851" w:footer="1077"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Black">
    <w:panose1 w:val="020B0A04020102020204"/>
    <w:charset w:val="00"/>
    <w:family w:val="swiss"/>
    <w:pitch w:val="default"/>
    <w:sig w:usb0="A00002AF" w:usb1="400078FB" w:usb2="00000000" w:usb3="00000000" w:csb0="6000009F" w:csb1="DFD7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方正仿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957D9">
    <w:pPr>
      <w:pStyle w:val="1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3CE18">
    <w:pPr>
      <w:pStyle w:val="16"/>
      <w:framePr w:wrap="around" w:vAnchor="text" w:hAnchor="margin" w:xAlign="outside" w:y="1"/>
      <w:rPr>
        <w:rStyle w:val="25"/>
      </w:rPr>
    </w:pPr>
    <w:r>
      <w:fldChar w:fldCharType="begin"/>
    </w:r>
    <w:r>
      <w:rPr>
        <w:rStyle w:val="25"/>
      </w:rPr>
      <w:instrText xml:space="preserve">PAGE  </w:instrText>
    </w:r>
    <w:r>
      <w:fldChar w:fldCharType="end"/>
    </w:r>
  </w:p>
  <w:p w14:paraId="77BFC5F5">
    <w:pPr>
      <w:pStyle w:val="1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533BB">
    <w:pPr>
      <w:pStyle w:val="16"/>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BF7C8">
    <w:pPr>
      <w:pStyle w:val="16"/>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08E1FD2">
                          <w:pPr>
                            <w:pStyle w:val="1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VT6jzeAgAAJg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BVT6jzeAgAAJgYAAA4AAAAAAAAAAQAgAAAAHwEAAGRycy9lMm9Eb2MueG1sUEsF&#10;BgAAAAAGAAYAWQEAAG8GAAAAAA==&#10;">
              <v:fill on="f" focussize="0,0"/>
              <v:stroke on="f" weight="0.5pt"/>
              <v:imagedata o:title=""/>
              <o:lock v:ext="edit" aspectratio="f"/>
              <v:textbox inset="0mm,0mm,0mm,0mm" style="mso-fit-shape-to-text:t;">
                <w:txbxContent>
                  <w:p w14:paraId="508E1FD2">
                    <w:pPr>
                      <w:pStyle w:val="1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C2886">
    <w:pPr>
      <w:pStyle w:val="16"/>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A79BDF3">
                          <w:pPr>
                            <w:pStyle w:val="16"/>
                          </w:pPr>
                          <w:r>
                            <w:t xml:space="preserve">第 </w:t>
                          </w:r>
                          <w:r>
                            <w:fldChar w:fldCharType="begin"/>
                          </w:r>
                          <w:r>
                            <w:instrText xml:space="preserve"> PAGE  \* MERGEFORMAT </w:instrText>
                          </w:r>
                          <w:r>
                            <w:fldChar w:fldCharType="separate"/>
                          </w:r>
                          <w:r>
                            <w:t>57</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cjHbeAgAAJgYAAA4AAABkcnMvZTJvRG9jLnhtbK1US27bMBDdF+gd&#10;CO4VSY7s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GPcjHbeAgAAJgYAAA4AAAAAAAAAAQAgAAAAHwEAAGRycy9lMm9Eb2MueG1sUEsF&#10;BgAAAAAGAAYAWQEAAG8GAAAAAA==&#10;">
              <v:fill on="f" focussize="0,0"/>
              <v:stroke on="f" weight="0.5pt"/>
              <v:imagedata o:title=""/>
              <o:lock v:ext="edit" aspectratio="f"/>
              <v:textbox inset="0mm,0mm,0mm,0mm" style="mso-fit-shape-to-text:t;">
                <w:txbxContent>
                  <w:p w14:paraId="5A79BDF3">
                    <w:pPr>
                      <w:pStyle w:val="16"/>
                    </w:pPr>
                    <w:r>
                      <w:t xml:space="preserve">第 </w:t>
                    </w:r>
                    <w:r>
                      <w:fldChar w:fldCharType="begin"/>
                    </w:r>
                    <w:r>
                      <w:instrText xml:space="preserve"> PAGE  \* MERGEFORMAT </w:instrText>
                    </w:r>
                    <w:r>
                      <w:fldChar w:fldCharType="separate"/>
                    </w:r>
                    <w:r>
                      <w:t>57</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E7D86B"/>
    <w:multiLevelType w:val="singleLevel"/>
    <w:tmpl w:val="B7E7D86B"/>
    <w:lvl w:ilvl="0" w:tentative="0">
      <w:start w:val="1"/>
      <w:numFmt w:val="decimal"/>
      <w:suff w:val="nothing"/>
      <w:lvlText w:val="（%1）"/>
      <w:lvlJc w:val="left"/>
    </w:lvl>
  </w:abstractNum>
  <w:abstractNum w:abstractNumId="1">
    <w:nsid w:val="F573D56A"/>
    <w:multiLevelType w:val="singleLevel"/>
    <w:tmpl w:val="F573D56A"/>
    <w:lvl w:ilvl="0" w:tentative="0">
      <w:start w:val="1"/>
      <w:numFmt w:val="decimal"/>
      <w:suff w:val="space"/>
      <w:lvlText w:val="（%1）"/>
      <w:lvlJc w:val="left"/>
    </w:lvl>
  </w:abstractNum>
  <w:abstractNum w:abstractNumId="2">
    <w:nsid w:val="0DBB3981"/>
    <w:multiLevelType w:val="singleLevel"/>
    <w:tmpl w:val="0DBB3981"/>
    <w:lvl w:ilvl="0" w:tentative="0">
      <w:start w:val="5"/>
      <w:numFmt w:val="decimal"/>
      <w:suff w:val="nothing"/>
      <w:lvlText w:val="（%1）"/>
      <w:lvlJc w:val="left"/>
    </w:lvl>
  </w:abstractNum>
  <w:abstractNum w:abstractNumId="3">
    <w:nsid w:val="417DEFE5"/>
    <w:multiLevelType w:val="multilevel"/>
    <w:tmpl w:val="417DEFE5"/>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4">
    <w:nsid w:val="4B2697DB"/>
    <w:multiLevelType w:val="singleLevel"/>
    <w:tmpl w:val="4B2697DB"/>
    <w:lvl w:ilvl="0" w:tentative="0">
      <w:start w:val="5"/>
      <w:numFmt w:val="decimal"/>
      <w:suff w:val="nothing"/>
      <w:lvlText w:val="%1、"/>
      <w:lvlJc w:val="left"/>
    </w:lvl>
  </w:abstractNum>
  <w:abstractNum w:abstractNumId="5">
    <w:nsid w:val="60D53C48"/>
    <w:multiLevelType w:val="singleLevel"/>
    <w:tmpl w:val="60D53C48"/>
    <w:lvl w:ilvl="0" w:tentative="0">
      <w:start w:val="7"/>
      <w:numFmt w:val="decimal"/>
      <w:suff w:val="nothing"/>
      <w:lvlText w:val="%1、"/>
      <w:lvlJc w:val="left"/>
    </w:lvl>
  </w:abstractNum>
  <w:num w:numId="1">
    <w:abstractNumId w:val="3"/>
  </w:num>
  <w:num w:numId="2">
    <w:abstractNumId w:val="4"/>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0C3FC9"/>
    <w:rsid w:val="1FE56F16"/>
    <w:rsid w:val="251E409E"/>
    <w:rsid w:val="280C3FC9"/>
    <w:rsid w:val="2D894942"/>
    <w:rsid w:val="34313F39"/>
    <w:rsid w:val="36370DB2"/>
    <w:rsid w:val="38F32C46"/>
    <w:rsid w:val="4CFA3536"/>
    <w:rsid w:val="554A7FBB"/>
    <w:rsid w:val="5AA33012"/>
    <w:rsid w:val="64CA6E23"/>
    <w:rsid w:val="74192A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Lines="0" w:beforeAutospacing="0" w:afterLines="0" w:afterAutospacing="0" w:line="360" w:lineRule="auto"/>
      <w:ind w:left="432" w:hanging="432" w:firstLineChars="0"/>
      <w:jc w:val="left"/>
      <w:outlineLvl w:val="0"/>
    </w:pPr>
    <w:rPr>
      <w:rFonts w:ascii="Times New Roman" w:hAnsi="Times New Roman" w:eastAsia="宋体" w:cs="Times New Roman"/>
      <w:b/>
      <w:kern w:val="44"/>
      <w:sz w:val="30"/>
      <w:szCs w:val="28"/>
      <w:vertAlign w:val="baseline"/>
    </w:rPr>
  </w:style>
  <w:style w:type="paragraph" w:styleId="3">
    <w:name w:val="heading 2"/>
    <w:basedOn w:val="1"/>
    <w:next w:val="1"/>
    <w:semiHidden/>
    <w:unhideWhenUsed/>
    <w:qFormat/>
    <w:uiPriority w:val="0"/>
    <w:pPr>
      <w:keepNext/>
      <w:keepLines/>
      <w:numPr>
        <w:ilvl w:val="1"/>
        <w:numId w:val="1"/>
      </w:numPr>
      <w:spacing w:before="260" w:beforeLines="0" w:beforeAutospacing="0" w:after="260" w:afterLines="0" w:afterAutospacing="0" w:line="413" w:lineRule="auto"/>
      <w:ind w:left="575" w:hanging="575"/>
      <w:outlineLvl w:val="1"/>
    </w:pPr>
    <w:rPr>
      <w:rFonts w:ascii="Arial" w:hAnsi="Arial" w:eastAsia="黑体"/>
      <w:b/>
      <w:sz w:val="32"/>
    </w:rPr>
  </w:style>
  <w:style w:type="paragraph" w:styleId="4">
    <w:name w:val="heading 3"/>
    <w:basedOn w:val="1"/>
    <w:next w:val="1"/>
    <w:semiHidden/>
    <w:unhideWhenUsed/>
    <w:qFormat/>
    <w:uiPriority w:val="0"/>
    <w:pPr>
      <w:keepNext/>
      <w:keepLines/>
      <w:numPr>
        <w:ilvl w:val="2"/>
        <w:numId w:val="1"/>
      </w:numPr>
      <w:spacing w:before="260" w:beforeLines="0" w:beforeAutospacing="0" w:afterLines="0" w:afterAutospacing="0" w:line="360" w:lineRule="auto"/>
      <w:ind w:left="0" w:firstLine="0" w:firstLineChars="0"/>
      <w:outlineLvl w:val="2"/>
    </w:pPr>
    <w:rPr>
      <w:rFonts w:ascii="Times New Roman" w:hAnsi="Times New Roman" w:eastAsia="宋体" w:cs="Times New Roman"/>
      <w:b/>
      <w:sz w:val="28"/>
      <w:szCs w:val="28"/>
      <w:vertAlign w:val="superscript"/>
    </w:rPr>
  </w:style>
  <w:style w:type="paragraph" w:styleId="5">
    <w:name w:val="heading 4"/>
    <w:basedOn w:val="1"/>
    <w:next w:val="1"/>
    <w:link w:val="26"/>
    <w:semiHidden/>
    <w:unhideWhenUsed/>
    <w:qFormat/>
    <w:uiPriority w:val="0"/>
    <w:pPr>
      <w:keepNext/>
      <w:keepLines/>
      <w:numPr>
        <w:ilvl w:val="3"/>
        <w:numId w:val="1"/>
      </w:numPr>
      <w:tabs>
        <w:tab w:val="left" w:pos="0"/>
      </w:tabs>
      <w:adjustRightInd w:val="0"/>
      <w:spacing w:line="240" w:lineRule="auto"/>
      <w:ind w:left="864" w:hanging="864"/>
      <w:textAlignment w:val="baseline"/>
      <w:outlineLvl w:val="3"/>
    </w:pPr>
    <w:rPr>
      <w:rFonts w:ascii="Times New Roman" w:hAnsi="Times New Roman" w:eastAsia="宋体" w:cs="Times New Roman"/>
      <w:b/>
      <w:kern w:val="0"/>
      <w:sz w:val="24"/>
      <w:szCs w:val="24"/>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11">
    <w:name w:val="Normal Indent"/>
    <w:basedOn w:val="1"/>
    <w:next w:val="1"/>
    <w:qFormat/>
    <w:uiPriority w:val="0"/>
    <w:pPr>
      <w:ind w:firstLine="420" w:firstLineChars="200"/>
    </w:pPr>
    <w:rPr>
      <w:rFonts w:eastAsia="宋体"/>
      <w:kern w:val="2"/>
      <w:sz w:val="21"/>
      <w:szCs w:val="24"/>
      <w:lang w:val="en-US" w:eastAsia="zh-CN" w:bidi="ar-SA"/>
    </w:rPr>
  </w:style>
  <w:style w:type="paragraph" w:styleId="12">
    <w:name w:val="Body Text"/>
    <w:basedOn w:val="1"/>
    <w:next w:val="13"/>
    <w:qFormat/>
    <w:uiPriority w:val="0"/>
    <w:pPr>
      <w:widowControl/>
      <w:snapToGrid w:val="0"/>
      <w:spacing w:before="60" w:after="160" w:line="259" w:lineRule="auto"/>
      <w:ind w:right="113"/>
    </w:pPr>
    <w:rPr>
      <w:kern w:val="0"/>
      <w:sz w:val="18"/>
      <w:szCs w:val="18"/>
    </w:rPr>
  </w:style>
  <w:style w:type="paragraph" w:styleId="13">
    <w:name w:val="Body Text First Indent"/>
    <w:basedOn w:val="12"/>
    <w:next w:val="1"/>
    <w:qFormat/>
    <w:uiPriority w:val="0"/>
    <w:pPr>
      <w:spacing w:after="120"/>
      <w:ind w:firstLine="420" w:firstLineChars="100"/>
    </w:pPr>
    <w:rPr>
      <w:sz w:val="21"/>
    </w:rPr>
  </w:style>
  <w:style w:type="paragraph" w:styleId="14">
    <w:name w:val="Body Text Indent"/>
    <w:basedOn w:val="1"/>
    <w:next w:val="15"/>
    <w:semiHidden/>
    <w:qFormat/>
    <w:uiPriority w:val="0"/>
    <w:pPr>
      <w:spacing w:after="120"/>
      <w:ind w:left="420" w:leftChars="200"/>
    </w:pPr>
  </w:style>
  <w:style w:type="paragraph" w:styleId="15">
    <w:name w:val="Body Text First Indent 2"/>
    <w:basedOn w:val="14"/>
    <w:next w:val="12"/>
    <w:qFormat/>
    <w:uiPriority w:val="0"/>
    <w:pPr>
      <w:ind w:firstLine="420"/>
    </w:pPr>
    <w:rPr>
      <w:rFonts w:eastAsia="华文中宋"/>
      <w:sz w:val="24"/>
    </w:rPr>
  </w:style>
  <w:style w:type="paragraph" w:styleId="16">
    <w:name w:val="footer"/>
    <w:basedOn w:val="1"/>
    <w:qFormat/>
    <w:uiPriority w:val="0"/>
    <w:pPr>
      <w:tabs>
        <w:tab w:val="center" w:pos="4153"/>
        <w:tab w:val="right" w:pos="8306"/>
      </w:tabs>
      <w:snapToGrid w:val="0"/>
      <w:jc w:val="left"/>
    </w:pPr>
    <w:rPr>
      <w:sz w:val="18"/>
      <w:szCs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toc 1"/>
    <w:basedOn w:val="1"/>
    <w:next w:val="1"/>
    <w:qFormat/>
    <w:uiPriority w:val="39"/>
    <w:pPr>
      <w:tabs>
        <w:tab w:val="left" w:pos="420"/>
        <w:tab w:val="right" w:leader="dot" w:pos="8303"/>
      </w:tabs>
    </w:pPr>
    <w:rPr>
      <w:rFonts w:ascii="仿宋_GB2312" w:hAnsi="Arial Black" w:eastAsia="仿宋_GB2312"/>
      <w:sz w:val="28"/>
      <w:szCs w:val="20"/>
    </w:rPr>
  </w:style>
  <w:style w:type="paragraph" w:styleId="19">
    <w:name w:val="List"/>
    <w:basedOn w:val="1"/>
    <w:next w:val="1"/>
    <w:qFormat/>
    <w:uiPriority w:val="99"/>
    <w:pPr>
      <w:autoSpaceDE w:val="0"/>
      <w:autoSpaceDN w:val="0"/>
      <w:adjustRightInd w:val="0"/>
      <w:ind w:left="420" w:hanging="420"/>
      <w:jc w:val="left"/>
      <w:textAlignment w:val="baseline"/>
    </w:pPr>
    <w:rPr>
      <w:rFonts w:ascii="宋体"/>
      <w:sz w:val="34"/>
    </w:rPr>
  </w:style>
  <w:style w:type="paragraph" w:styleId="20">
    <w:name w:val="Body Text 2"/>
    <w:basedOn w:val="1"/>
    <w:qFormat/>
    <w:uiPriority w:val="0"/>
    <w:pPr>
      <w:spacing w:after="120" w:line="480" w:lineRule="auto"/>
    </w:pPr>
  </w:style>
  <w:style w:type="paragraph" w:styleId="21">
    <w:name w:val="Normal (Web)"/>
    <w:basedOn w:val="1"/>
    <w:qFormat/>
    <w:uiPriority w:val="0"/>
    <w:pPr>
      <w:widowControl/>
      <w:spacing w:before="100" w:beforeAutospacing="1" w:after="100" w:afterAutospacing="1"/>
      <w:jc w:val="left"/>
    </w:pPr>
    <w:rPr>
      <w:rFonts w:ascii="宋体" w:hAnsi="宋体"/>
      <w:kern w:val="0"/>
      <w:sz w:val="24"/>
    </w:rPr>
  </w:style>
  <w:style w:type="table" w:styleId="23">
    <w:name w:val="Table Grid"/>
    <w:basedOn w:val="22"/>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qFormat/>
    <w:uiPriority w:val="0"/>
  </w:style>
  <w:style w:type="character" w:customStyle="1" w:styleId="26">
    <w:name w:val="标题 4 Char"/>
    <w:link w:val="5"/>
    <w:qFormat/>
    <w:uiPriority w:val="0"/>
    <w:rPr>
      <w:rFonts w:ascii="Times New Roman" w:hAnsi="Times New Roman" w:eastAsia="宋体"/>
      <w:b/>
      <w:sz w:val="24"/>
      <w:szCs w:val="24"/>
      <w:lang w:val="en-US" w:eastAsia="zh-CN" w:bidi="ar-SA"/>
    </w:rPr>
  </w:style>
  <w:style w:type="paragraph" w:customStyle="1" w:styleId="27">
    <w:name w:val="表头"/>
    <w:basedOn w:val="28"/>
    <w:next w:val="1"/>
    <w:qFormat/>
    <w:uiPriority w:val="0"/>
    <w:pPr>
      <w:adjustRightInd w:val="0"/>
      <w:snapToGrid w:val="0"/>
      <w:spacing w:line="440" w:lineRule="atLeast"/>
      <w:ind w:firstLine="480" w:firstLineChars="200"/>
      <w:textAlignment w:val="baseline"/>
    </w:pPr>
    <w:rPr>
      <w:rFonts w:ascii="黑体" w:eastAsia="黑体"/>
      <w:color w:val="000000"/>
      <w:kern w:val="0"/>
      <w:sz w:val="24"/>
    </w:rPr>
  </w:style>
  <w:style w:type="paragraph" w:customStyle="1" w:styleId="28">
    <w:name w:val="表格"/>
    <w:basedOn w:val="11"/>
    <w:next w:val="1"/>
    <w:qFormat/>
    <w:uiPriority w:val="0"/>
    <w:pPr>
      <w:spacing w:line="0" w:lineRule="atLeast"/>
      <w:jc w:val="center"/>
    </w:pPr>
    <w:rPr>
      <w:rFonts w:eastAsia="仿宋_GB2312"/>
    </w:rPr>
  </w:style>
  <w:style w:type="paragraph" w:customStyle="1" w:styleId="29">
    <w:name w:val="No Spacing"/>
    <w:qFormat/>
    <w:uiPriority w:val="0"/>
    <w:pPr>
      <w:widowControl w:val="0"/>
      <w:jc w:val="center"/>
    </w:pPr>
    <w:rPr>
      <w:rFonts w:ascii="宋体" w:hAnsi="Times New Roman" w:eastAsia="宋体" w:cs="Times New Roman"/>
      <w:kern w:val="2"/>
      <w:sz w:val="24"/>
      <w:lang w:val="en-US" w:eastAsia="zh-CN" w:bidi="ar-SA"/>
    </w:rPr>
  </w:style>
  <w:style w:type="paragraph" w:customStyle="1" w:styleId="30">
    <w:name w:val="300"/>
    <w:basedOn w:val="1"/>
    <w:qFormat/>
    <w:uiPriority w:val="0"/>
    <w:pPr>
      <w:keepNext/>
      <w:keepLines/>
      <w:adjustRightInd w:val="0"/>
      <w:spacing w:line="600" w:lineRule="exact"/>
      <w:outlineLvl w:val="2"/>
    </w:pPr>
    <w:rPr>
      <w:b/>
      <w:bCs/>
      <w:sz w:val="28"/>
      <w:szCs w:val="24"/>
    </w:rPr>
  </w:style>
  <w:style w:type="paragraph" w:customStyle="1" w:styleId="31">
    <w:name w:val="样式 首行缩进:  2 字符1"/>
    <w:basedOn w:val="1"/>
    <w:qFormat/>
    <w:uiPriority w:val="0"/>
    <w:pPr>
      <w:spacing w:before="120" w:line="400" w:lineRule="exact"/>
      <w:ind w:firstLine="200" w:firstLineChars="200"/>
    </w:pPr>
    <w:rPr>
      <w:rFonts w:ascii="宋体"/>
      <w:sz w:val="24"/>
      <w:szCs w:val="20"/>
    </w:rPr>
  </w:style>
  <w:style w:type="paragraph" w:customStyle="1" w:styleId="32">
    <w:name w:val="表 头"/>
    <w:basedOn w:val="1"/>
    <w:qFormat/>
    <w:uiPriority w:val="0"/>
    <w:pPr>
      <w:adjustRightInd w:val="0"/>
      <w:spacing w:before="120" w:after="120" w:line="360" w:lineRule="atLeast"/>
      <w:jc w:val="center"/>
    </w:pPr>
    <w:rPr>
      <w:rFonts w:ascii="宋体" w:hAnsi="宋体" w:eastAsia="黑体"/>
      <w:spacing w:val="10"/>
      <w:kern w:val="0"/>
      <w:sz w:val="24"/>
      <w:szCs w:val="20"/>
    </w:rPr>
  </w:style>
  <w:style w:type="paragraph" w:customStyle="1" w:styleId="33">
    <w:name w:val="报告表正文"/>
    <w:basedOn w:val="34"/>
    <w:qFormat/>
    <w:uiPriority w:val="0"/>
    <w:pPr>
      <w:adjustRightInd w:val="0"/>
      <w:spacing w:line="312" w:lineRule="auto"/>
      <w:ind w:left="113" w:right="113" w:firstLine="482"/>
      <w:jc w:val="left"/>
    </w:pPr>
    <w:rPr>
      <w:rFonts w:ascii="宋体" w:hAnsi="宋体"/>
      <w:kern w:val="0"/>
      <w:sz w:val="24"/>
    </w:rPr>
  </w:style>
  <w:style w:type="paragraph" w:customStyle="1" w:styleId="34">
    <w:name w:val="报告正文"/>
    <w:basedOn w:val="35"/>
    <w:qFormat/>
    <w:uiPriority w:val="0"/>
    <w:pPr>
      <w:widowControl w:val="0"/>
      <w:snapToGrid w:val="0"/>
      <w:spacing w:line="360" w:lineRule="auto"/>
      <w:ind w:firstLine="200" w:firstLineChars="200"/>
    </w:pPr>
    <w:rPr>
      <w:rFonts w:ascii="Times New Roman" w:hAnsi="Times New Roman" w:cs="Times New Roman"/>
      <w:snapToGrid w:val="0"/>
      <w:sz w:val="24"/>
      <w:szCs w:val="28"/>
    </w:rPr>
  </w:style>
  <w:style w:type="paragraph" w:customStyle="1" w:styleId="35">
    <w:name w:val="p17"/>
    <w:basedOn w:val="1"/>
    <w:qFormat/>
    <w:uiPriority w:val="0"/>
    <w:pPr>
      <w:widowControl/>
    </w:pPr>
    <w:rPr>
      <w:rFonts w:ascii="宋体" w:hAnsi="宋体" w:cs="宋体"/>
      <w:kern w:val="0"/>
      <w:szCs w:val="21"/>
    </w:rPr>
  </w:style>
  <w:style w:type="paragraph" w:customStyle="1" w:styleId="36">
    <w:name w:val="表格文字"/>
    <w:basedOn w:val="13"/>
    <w:qFormat/>
    <w:uiPriority w:val="0"/>
    <w:pPr>
      <w:spacing w:line="300" w:lineRule="exact"/>
      <w:ind w:hanging="91"/>
      <w:jc w:val="center"/>
    </w:pPr>
    <w:rPr>
      <w:rFonts w:ascii="仿宋_GB2312" w:eastAsia="仿宋_GB2312"/>
      <w:spacing w:val="-16"/>
      <w:szCs w:val="21"/>
    </w:rPr>
  </w:style>
  <w:style w:type="paragraph" w:customStyle="1" w:styleId="37">
    <w:name w:val="正文(首行缩进)"/>
    <w:basedOn w:val="1"/>
    <w:qFormat/>
    <w:uiPriority w:val="0"/>
    <w:pPr>
      <w:adjustRightInd w:val="0"/>
      <w:snapToGrid w:val="0"/>
      <w:spacing w:line="360" w:lineRule="auto"/>
      <w:ind w:firstLine="482" w:firstLineChars="200"/>
    </w:pPr>
    <w:rPr>
      <w:rFonts w:hAnsi="宋体"/>
      <w:b/>
      <w:bCs/>
      <w:color w:val="000000"/>
      <w:sz w:val="24"/>
      <w:szCs w:val="28"/>
    </w:rPr>
  </w:style>
  <w:style w:type="paragraph" w:customStyle="1" w:styleId="38">
    <w:name w:val="正文文本缩进1"/>
    <w:basedOn w:val="1"/>
    <w:qFormat/>
    <w:uiPriority w:val="99"/>
    <w:pPr>
      <w:spacing w:line="320" w:lineRule="exact"/>
      <w:ind w:firstLine="113"/>
      <w:jc w:val="center"/>
    </w:pPr>
    <w:rPr>
      <w:rFonts w:ascii="宋体" w:hAnsi="宋体"/>
      <w:bCs/>
      <w:color w:val="000000"/>
      <w:sz w:val="24"/>
      <w:szCs w:val="28"/>
    </w:rPr>
  </w:style>
  <w:style w:type="character" w:customStyle="1" w:styleId="39">
    <w:name w:val="font31"/>
    <w:basedOn w:val="24"/>
    <w:qFormat/>
    <w:uiPriority w:val="0"/>
    <w:rPr>
      <w:rFonts w:hint="default" w:ascii="Times New Roman" w:hAnsi="Times New Roman" w:cs="Times New Roman"/>
      <w:color w:val="000000"/>
      <w:sz w:val="21"/>
      <w:szCs w:val="21"/>
      <w:u w:val="none"/>
    </w:rPr>
  </w:style>
  <w:style w:type="paragraph" w:customStyle="1" w:styleId="40">
    <w:name w:val="Default"/>
    <w:basedOn w:val="41"/>
    <w:next w:val="1"/>
    <w:qFormat/>
    <w:uiPriority w:val="0"/>
    <w:pPr>
      <w:widowControl w:val="0"/>
      <w:tabs>
        <w:tab w:val="left" w:pos="2760"/>
      </w:tabs>
      <w:autoSpaceDE w:val="0"/>
      <w:autoSpaceDN w:val="0"/>
      <w:adjustRightInd w:val="0"/>
    </w:pPr>
    <w:rPr>
      <w:rFonts w:ascii="宋体" w:cs="宋体"/>
      <w:color w:val="000000"/>
      <w:sz w:val="24"/>
      <w:szCs w:val="24"/>
      <w:lang w:val="en-US" w:eastAsia="zh-CN" w:bidi="ar-SA"/>
    </w:rPr>
  </w:style>
  <w:style w:type="paragraph" w:customStyle="1" w:styleId="41">
    <w:name w:val="纯文本1"/>
    <w:basedOn w:val="1"/>
    <w:qFormat/>
    <w:uiPriority w:val="0"/>
    <w:pPr>
      <w:tabs>
        <w:tab w:val="left" w:pos="2760"/>
      </w:tabs>
      <w:adjustRightInd w:val="0"/>
    </w:pPr>
    <w:rPr>
      <w:rFonts w:ascii="宋体" w:hAnsi="Courier New"/>
      <w:szCs w:val="20"/>
    </w:rPr>
  </w:style>
  <w:style w:type="character" w:customStyle="1" w:styleId="42">
    <w:name w:val="font41"/>
    <w:basedOn w:val="24"/>
    <w:qFormat/>
    <w:uiPriority w:val="0"/>
    <w:rPr>
      <w:rFonts w:ascii="宋体" w:hAnsi="宋体" w:eastAsia="宋体" w:cs="宋体"/>
      <w:color w:val="989800"/>
      <w:sz w:val="14"/>
      <w:szCs w:val="14"/>
      <w:u w:val="none"/>
    </w:rPr>
  </w:style>
  <w:style w:type="paragraph" w:customStyle="1" w:styleId="43">
    <w:name w:val="正文 小四 行距: 1.5 倍行距"/>
    <w:basedOn w:val="1"/>
    <w:qFormat/>
    <w:uiPriority w:val="0"/>
    <w:pPr>
      <w:spacing w:line="360" w:lineRule="auto"/>
      <w:ind w:firstLine="480" w:firstLineChars="200"/>
    </w:pPr>
    <w:rPr>
      <w:rFonts w:cs="宋体"/>
      <w:sz w:val="24"/>
      <w:szCs w:val="20"/>
    </w:rPr>
  </w:style>
  <w:style w:type="paragraph" w:customStyle="1" w:styleId="44">
    <w:name w:val="p0"/>
    <w:basedOn w:val="1"/>
    <w:qFormat/>
    <w:uiPriority w:val="0"/>
    <w:pPr>
      <w:widowControl/>
    </w:pPr>
    <w:rPr>
      <w:kern w:val="0"/>
      <w:szCs w:val="21"/>
    </w:rPr>
  </w:style>
  <w:style w:type="paragraph" w:customStyle="1" w:styleId="45">
    <w:name w:val="_Style 115"/>
    <w:basedOn w:val="14"/>
    <w:next w:val="15"/>
    <w:qFormat/>
    <w:uiPriority w:val="0"/>
    <w:pPr>
      <w:adjustRightInd/>
      <w:snapToGrid/>
      <w:spacing w:line="360" w:lineRule="auto"/>
      <w:ind w:firstLine="420"/>
      <w:jc w:val="both"/>
    </w:pPr>
    <w:rPr>
      <w:kern w:val="0"/>
      <w:sz w:val="24"/>
      <w:szCs w:val="24"/>
    </w:rPr>
  </w:style>
  <w:style w:type="character" w:customStyle="1" w:styleId="46">
    <w:name w:val="font21"/>
    <w:basedOn w:val="24"/>
    <w:qFormat/>
    <w:uiPriority w:val="0"/>
    <w:rPr>
      <w:rFonts w:hint="eastAsia" w:ascii="宋体" w:hAnsi="宋体" w:eastAsia="宋体" w:cs="宋体"/>
      <w:color w:val="000000"/>
      <w:sz w:val="21"/>
      <w:szCs w:val="21"/>
      <w:u w:val="none"/>
    </w:rPr>
  </w:style>
  <w:style w:type="paragraph" w:customStyle="1" w:styleId="47">
    <w:name w:val="样式 正文缩进正文缩进2正文缩进 Char Char正文缩进 Char Char Char Char正文缩进 Char ..."/>
    <w:basedOn w:val="11"/>
    <w:qFormat/>
    <w:uiPriority w:val="0"/>
    <w:pPr>
      <w:spacing w:line="360" w:lineRule="auto"/>
      <w:ind w:firstLine="200"/>
    </w:pPr>
    <w:rPr>
      <w:rFonts w:cs="宋体"/>
      <w:sz w:val="24"/>
    </w:rPr>
  </w:style>
  <w:style w:type="paragraph" w:customStyle="1" w:styleId="48">
    <w:name w:val="文本"/>
    <w:basedOn w:val="1"/>
    <w:qFormat/>
    <w:uiPriority w:val="0"/>
    <w:pPr>
      <w:adjustRightInd w:val="0"/>
      <w:snapToGrid w:val="0"/>
      <w:spacing w:line="360" w:lineRule="auto"/>
      <w:ind w:firstLine="480" w:firstLineChars="200"/>
      <w:jc w:val="left"/>
    </w:pPr>
    <w:rPr>
      <w:sz w:val="24"/>
      <w:szCs w:val="24"/>
    </w:rPr>
  </w:style>
  <w:style w:type="table" w:customStyle="1" w:styleId="49">
    <w:name w:val="Table Normal"/>
    <w:semiHidden/>
    <w:unhideWhenUsed/>
    <w:qFormat/>
    <w:uiPriority w:val="0"/>
    <w:tblPr>
      <w:tblCellMar>
        <w:top w:w="0" w:type="dxa"/>
        <w:left w:w="0" w:type="dxa"/>
        <w:bottom w:w="0" w:type="dxa"/>
        <w:right w:w="0" w:type="dxa"/>
      </w:tblCellMar>
    </w:tblPr>
  </w:style>
  <w:style w:type="paragraph" w:customStyle="1" w:styleId="50">
    <w:name w:val="Table Text"/>
    <w:basedOn w:val="1"/>
    <w:semiHidden/>
    <w:qFormat/>
    <w:uiPriority w:val="0"/>
    <w:rPr>
      <w:rFonts w:ascii="Times New Roman" w:hAnsi="Times New Roman" w:eastAsia="Times New Roman" w:cs="Times New Roman"/>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wmf"/><Relationship Id="rId14" Type="http://schemas.openxmlformats.org/officeDocument/2006/relationships/image" Target="media/image6.pn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72</Pages>
  <Words>38865</Words>
  <Characters>41988</Characters>
  <Lines>0</Lines>
  <Paragraphs>0</Paragraphs>
  <TotalTime>5</TotalTime>
  <ScaleCrop>false</ScaleCrop>
  <LinksUpToDate>false</LinksUpToDate>
  <CharactersWithSpaces>42011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2025-11-17T05:29:00Z</dcterms:created>
  <dc:creator>赵--</dc:creator>
  <cp:lastModifiedBy>赵--</cp:lastModifiedBy>
  <dcterms:modified xsi:type="dcterms:W3CDTF">2025-11-26T03:24:15Z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494994DDB81F4362BF1D892F5DA37879_11</vt:lpwstr>
  </property>
  <property fmtid="{D5CDD505-2E9C-101B-9397-08002B2CF9AE}" pid="4" name="KSOTemplateDocerSaveRecord">
    <vt:lpwstr>eyJoZGlkIjoiNDMwZjA3NjExZmM0NmI5YjNhOTg2OGY4YmNhZDI0MWIiLCJ1c2VySWQiOiIzOTQ0MzQwODgifQ==</vt:lpwstr>
  </property>
</Properties>
</file>