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269E4">
      <w:pPr>
        <w:widowControl w:val="0"/>
        <w:kinsoku/>
        <w:jc w:val="center"/>
        <w:outlineLvl w:val="0"/>
        <w:rPr>
          <w:rFonts w:ascii="Times New Roman" w:hAnsi="Times New Roman" w:eastAsia="方正小标宋_GBK" w:cs="Times New Roman"/>
          <w:bCs/>
          <w:color w:val="auto"/>
          <w:sz w:val="72"/>
          <w:szCs w:val="72"/>
        </w:rPr>
      </w:pPr>
      <w:r>
        <w:rPr>
          <w:rFonts w:ascii="Times New Roman" w:hAnsi="Times New Roman" w:cs="Times New Roman"/>
          <w:color w:val="auto"/>
        </w:rPr>
        <mc:AlternateContent>
          <mc:Choice Requires="wps">
            <w:drawing>
              <wp:anchor distT="0" distB="0" distL="114300" distR="114300" simplePos="0" relativeHeight="251663360" behindDoc="1" locked="0" layoutInCell="1" allowOverlap="1">
                <wp:simplePos x="0" y="0"/>
                <wp:positionH relativeFrom="column">
                  <wp:posOffset>3695065</wp:posOffset>
                </wp:positionH>
                <wp:positionV relativeFrom="paragraph">
                  <wp:posOffset>383540</wp:posOffset>
                </wp:positionV>
                <wp:extent cx="1809750" cy="348615"/>
                <wp:effectExtent l="0" t="0" r="0" b="6985"/>
                <wp:wrapTight wrapText="bothSides">
                  <wp:wrapPolygon>
                    <wp:start x="0" y="0"/>
                    <wp:lineTo x="0" y="19948"/>
                    <wp:lineTo x="21221" y="19948"/>
                    <wp:lineTo x="21221" y="0"/>
                    <wp:lineTo x="0" y="0"/>
                  </wp:wrapPolygon>
                </wp:wrapTight>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1809750" cy="348615"/>
                        </a:xfrm>
                        <a:prstGeom prst="rect">
                          <a:avLst/>
                        </a:prstGeom>
                        <a:solidFill>
                          <a:srgbClr val="FFFFFF"/>
                        </a:solidFill>
                        <a:ln>
                          <a:noFill/>
                        </a:ln>
                      </wps:spPr>
                      <wps:txbx>
                        <w:txbxContent>
                          <w:p w14:paraId="2F77A84F">
                            <w:pPr>
                              <w:rPr>
                                <w:rFonts w:hint="default" w:ascii="黑体" w:hAnsi="黑体" w:eastAsia="黑体"/>
                                <w:b/>
                                <w:bCs/>
                                <w:color w:val="000000" w:themeColor="text1"/>
                                <w:spacing w:val="24"/>
                                <w:sz w:val="30"/>
                                <w:szCs w:val="30"/>
                                <w:lang w:val="en-US" w:eastAsia="zh-CN"/>
                                <w14:textFill>
                                  <w14:solidFill>
                                    <w14:schemeClr w14:val="tx1"/>
                                  </w14:solidFill>
                                </w14:textFill>
                              </w:rPr>
                            </w:pPr>
                            <w:r>
                              <w:rPr>
                                <w:rFonts w:hint="eastAsia" w:ascii="黑体" w:hAnsi="黑体" w:eastAsia="黑体"/>
                                <w:b/>
                                <w:bCs/>
                                <w:color w:val="000000" w:themeColor="text1"/>
                                <w:spacing w:val="24"/>
                                <w:sz w:val="30"/>
                                <w:szCs w:val="30"/>
                                <w14:textFill>
                                  <w14:solidFill>
                                    <w14:schemeClr w14:val="tx1"/>
                                  </w14:solidFill>
                                </w14:textFill>
                              </w:rPr>
                              <w:t>D</w:t>
                            </w:r>
                            <w:r>
                              <w:rPr>
                                <w:rFonts w:ascii="黑体" w:hAnsi="黑体" w:eastAsia="黑体"/>
                                <w:b/>
                                <w:bCs/>
                                <w:color w:val="000000" w:themeColor="text1"/>
                                <w:spacing w:val="24"/>
                                <w:sz w:val="30"/>
                                <w:szCs w:val="30"/>
                                <w14:textFill>
                                  <w14:solidFill>
                                    <w14:schemeClr w14:val="tx1"/>
                                  </w14:solidFill>
                                </w14:textFill>
                              </w:rPr>
                              <w:t>HHP-0</w:t>
                            </w:r>
                            <w:r>
                              <w:rPr>
                                <w:rFonts w:hint="eastAsia" w:ascii="黑体" w:hAnsi="黑体" w:eastAsia="黑体"/>
                                <w:b/>
                                <w:bCs/>
                                <w:color w:val="000000" w:themeColor="text1"/>
                                <w:spacing w:val="24"/>
                                <w:sz w:val="30"/>
                                <w:szCs w:val="30"/>
                                <w:lang w:eastAsia="zh-CN"/>
                                <w14:textFill>
                                  <w14:solidFill>
                                    <w14:schemeClr w14:val="tx1"/>
                                  </w14:solidFill>
                                </w14:textFill>
                              </w:rPr>
                              <w:t>2</w:t>
                            </w:r>
                            <w:r>
                              <w:rPr>
                                <w:rFonts w:ascii="黑体" w:hAnsi="黑体" w:eastAsia="黑体"/>
                                <w:b/>
                                <w:bCs/>
                                <w:color w:val="000000" w:themeColor="text1"/>
                                <w:spacing w:val="24"/>
                                <w:sz w:val="30"/>
                                <w:szCs w:val="30"/>
                                <w14:textFill>
                                  <w14:solidFill>
                                    <w14:schemeClr w14:val="tx1"/>
                                  </w14:solidFill>
                                </w14:textFill>
                              </w:rPr>
                              <w:t>-2</w:t>
                            </w:r>
                            <w:r>
                              <w:rPr>
                                <w:rFonts w:hint="eastAsia" w:ascii="黑体" w:hAnsi="黑体" w:eastAsia="黑体"/>
                                <w:b/>
                                <w:bCs/>
                                <w:color w:val="000000" w:themeColor="text1"/>
                                <w:spacing w:val="24"/>
                                <w:sz w:val="30"/>
                                <w:szCs w:val="30"/>
                                <w:lang w:val="en-US" w:eastAsia="zh-CN"/>
                                <w14:textFill>
                                  <w14:solidFill>
                                    <w14:schemeClr w14:val="tx1"/>
                                  </w14:solidFill>
                                </w14:textFill>
                              </w:rPr>
                              <w:t>607</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0.95pt;margin-top:30.2pt;height:27.45pt;width:142.5pt;mso-wrap-distance-left:9pt;mso-wrap-distance-right:9pt;z-index:-251653120;mso-width-relative:page;mso-height-relative:page;" fillcolor="#FFFFFF" filled="t" stroked="f" coordsize="21600,21600" wrapcoords="0 0 0 19948 21221 19948 21221 0 0 0" o:gfxdata="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btPwjX&#10;AAAACgEAAA8AAAAAAAAAAQAgAAAAIgAAAGRycy9kb3ducmV2LnhtbFBLAQIUABQAAAAIAIdO4kC0&#10;MIwXIQIAADEEAAAOAAAAAAAAAAEAIAAAACYBAABkcnMvZTJvRG9jLnhtbFBLBQYAAAAABgAGAFkB&#10;AAC5BQAAAAA=&#10;">
                <v:fill on="t" focussize="0,0"/>
                <v:stroke on="f"/>
                <v:imagedata o:title=""/>
                <o:lock v:ext="edit" aspectratio="f"/>
                <v:textbox>
                  <w:txbxContent>
                    <w:p w14:paraId="2F77A84F">
                      <w:pPr>
                        <w:rPr>
                          <w:rFonts w:hint="default" w:ascii="黑体" w:hAnsi="黑体" w:eastAsia="黑体"/>
                          <w:b/>
                          <w:bCs/>
                          <w:color w:val="000000" w:themeColor="text1"/>
                          <w:spacing w:val="24"/>
                          <w:sz w:val="30"/>
                          <w:szCs w:val="30"/>
                          <w:lang w:val="en-US" w:eastAsia="zh-CN"/>
                          <w14:textFill>
                            <w14:solidFill>
                              <w14:schemeClr w14:val="tx1"/>
                            </w14:solidFill>
                          </w14:textFill>
                        </w:rPr>
                      </w:pPr>
                      <w:r>
                        <w:rPr>
                          <w:rFonts w:hint="eastAsia" w:ascii="黑体" w:hAnsi="黑体" w:eastAsia="黑体"/>
                          <w:b/>
                          <w:bCs/>
                          <w:color w:val="000000" w:themeColor="text1"/>
                          <w:spacing w:val="24"/>
                          <w:sz w:val="30"/>
                          <w:szCs w:val="30"/>
                          <w14:textFill>
                            <w14:solidFill>
                              <w14:schemeClr w14:val="tx1"/>
                            </w14:solidFill>
                          </w14:textFill>
                        </w:rPr>
                        <w:t>D</w:t>
                      </w:r>
                      <w:r>
                        <w:rPr>
                          <w:rFonts w:ascii="黑体" w:hAnsi="黑体" w:eastAsia="黑体"/>
                          <w:b/>
                          <w:bCs/>
                          <w:color w:val="000000" w:themeColor="text1"/>
                          <w:spacing w:val="24"/>
                          <w:sz w:val="30"/>
                          <w:szCs w:val="30"/>
                          <w14:textFill>
                            <w14:solidFill>
                              <w14:schemeClr w14:val="tx1"/>
                            </w14:solidFill>
                          </w14:textFill>
                        </w:rPr>
                        <w:t>HHP-0</w:t>
                      </w:r>
                      <w:r>
                        <w:rPr>
                          <w:rFonts w:hint="eastAsia" w:ascii="黑体" w:hAnsi="黑体" w:eastAsia="黑体"/>
                          <w:b/>
                          <w:bCs/>
                          <w:color w:val="000000" w:themeColor="text1"/>
                          <w:spacing w:val="24"/>
                          <w:sz w:val="30"/>
                          <w:szCs w:val="30"/>
                          <w:lang w:eastAsia="zh-CN"/>
                          <w14:textFill>
                            <w14:solidFill>
                              <w14:schemeClr w14:val="tx1"/>
                            </w14:solidFill>
                          </w14:textFill>
                        </w:rPr>
                        <w:t>2</w:t>
                      </w:r>
                      <w:r>
                        <w:rPr>
                          <w:rFonts w:ascii="黑体" w:hAnsi="黑体" w:eastAsia="黑体"/>
                          <w:b/>
                          <w:bCs/>
                          <w:color w:val="000000" w:themeColor="text1"/>
                          <w:spacing w:val="24"/>
                          <w:sz w:val="30"/>
                          <w:szCs w:val="30"/>
                          <w14:textFill>
                            <w14:solidFill>
                              <w14:schemeClr w14:val="tx1"/>
                            </w14:solidFill>
                          </w14:textFill>
                        </w:rPr>
                        <w:t>-2</w:t>
                      </w:r>
                      <w:r>
                        <w:rPr>
                          <w:rFonts w:hint="eastAsia" w:ascii="黑体" w:hAnsi="黑体" w:eastAsia="黑体"/>
                          <w:b/>
                          <w:bCs/>
                          <w:color w:val="000000" w:themeColor="text1"/>
                          <w:spacing w:val="24"/>
                          <w:sz w:val="30"/>
                          <w:szCs w:val="30"/>
                          <w:lang w:val="en-US" w:eastAsia="zh-CN"/>
                          <w14:textFill>
                            <w14:solidFill>
                              <w14:schemeClr w14:val="tx1"/>
                            </w14:solidFill>
                          </w14:textFill>
                        </w:rPr>
                        <w:t>607</w:t>
                      </w:r>
                    </w:p>
                  </w:txbxContent>
                </v:textbox>
                <w10:wrap type="tight"/>
              </v:rect>
            </w:pict>
          </mc:Fallback>
        </mc:AlternateContent>
      </w:r>
      <w:r>
        <w:rPr>
          <w:rFonts w:ascii="Times New Roman" w:hAnsi="Times New Roman" w:cs="Times New Roman"/>
          <w:color w:val="auto"/>
        </w:rPr>
        <w:drawing>
          <wp:anchor distT="0" distB="0" distL="114300" distR="114300" simplePos="0" relativeHeight="251661312" behindDoc="1" locked="0" layoutInCell="1" allowOverlap="1">
            <wp:simplePos x="0" y="0"/>
            <wp:positionH relativeFrom="column">
              <wp:posOffset>3853815</wp:posOffset>
            </wp:positionH>
            <wp:positionV relativeFrom="paragraph">
              <wp:posOffset>-31750</wp:posOffset>
            </wp:positionV>
            <wp:extent cx="1416685" cy="403860"/>
            <wp:effectExtent l="0" t="0" r="12065" b="15240"/>
            <wp:wrapNone/>
            <wp:docPr id="6" name="图片 6" descr="89cd6500ee51ec12c134c26c67fd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cd6500ee51ec12c134c26c67fd018"/>
                    <pic:cNvPicPr>
                      <a:picLocks noChangeAspect="1"/>
                    </pic:cNvPicPr>
                  </pic:nvPicPr>
                  <pic:blipFill>
                    <a:blip r:embed="rId9">
                      <a:clrChange>
                        <a:clrFrom>
                          <a:srgbClr val="FFFFFF">
                            <a:alpha val="100000"/>
                          </a:srgbClr>
                        </a:clrFrom>
                        <a:clrTo>
                          <a:srgbClr val="FFFFFF">
                            <a:alpha val="100000"/>
                            <a:alpha val="0"/>
                          </a:srgbClr>
                        </a:clrTo>
                      </a:clrChange>
                    </a:blip>
                    <a:srcRect l="29671" t="35103" r="31485" b="45188"/>
                    <a:stretch>
                      <a:fillRect/>
                    </a:stretch>
                  </pic:blipFill>
                  <pic:spPr>
                    <a:xfrm>
                      <a:off x="0" y="0"/>
                      <a:ext cx="1416685" cy="403860"/>
                    </a:xfrm>
                    <a:prstGeom prst="rect">
                      <a:avLst/>
                    </a:prstGeom>
                    <a:ln>
                      <a:noFill/>
                    </a:ln>
                  </pic:spPr>
                </pic:pic>
              </a:graphicData>
            </a:graphic>
          </wp:anchor>
        </w:drawing>
      </w:r>
    </w:p>
    <w:p w14:paraId="4DA53E7F">
      <w:pPr>
        <w:widowControl w:val="0"/>
        <w:kinsoku/>
        <w:jc w:val="center"/>
        <w:outlineLvl w:val="0"/>
        <w:rPr>
          <w:rFonts w:ascii="Times New Roman" w:hAnsi="Times New Roman" w:eastAsia="方正小标宋_GBK" w:cs="Times New Roman"/>
          <w:bCs/>
          <w:color w:val="auto"/>
          <w:sz w:val="72"/>
          <w:szCs w:val="72"/>
        </w:rPr>
      </w:pPr>
    </w:p>
    <w:p w14:paraId="575B72D7">
      <w:pPr>
        <w:widowControl w:val="0"/>
        <w:kinsoku/>
        <w:jc w:val="center"/>
        <w:outlineLvl w:val="0"/>
        <w:rPr>
          <w:rFonts w:ascii="Times New Roman" w:hAnsi="Times New Roman" w:eastAsia="方正小标宋_GBK" w:cs="Times New Roman"/>
          <w:bCs/>
          <w:color w:val="auto"/>
          <w:sz w:val="72"/>
          <w:szCs w:val="72"/>
          <w:lang w:eastAsia="zh-CN"/>
        </w:rPr>
      </w:pPr>
      <w:r>
        <w:rPr>
          <w:rFonts w:ascii="Times New Roman" w:hAnsi="Times New Roman" w:eastAsia="方正小标宋_GBK" w:cs="Times New Roman"/>
          <w:bCs/>
          <w:color w:val="auto"/>
          <w:sz w:val="72"/>
          <w:szCs w:val="72"/>
          <w:lang w:eastAsia="zh-CN"/>
        </w:rPr>
        <w:t>建设项目环境影响报告表</w:t>
      </w:r>
    </w:p>
    <w:p w14:paraId="6A5180BD">
      <w:pPr>
        <w:widowControl w:val="0"/>
        <w:kinsoku/>
        <w:spacing w:before="192" w:beforeLines="80"/>
        <w:jc w:val="center"/>
        <w:rPr>
          <w:rFonts w:ascii="Times New Roman" w:hAnsi="Times New Roman" w:eastAsia="楷体_GB2312" w:cs="Times New Roman"/>
          <w:bCs/>
          <w:color w:val="auto"/>
          <w:sz w:val="48"/>
          <w:szCs w:val="48"/>
          <w:lang w:eastAsia="zh-CN"/>
        </w:rPr>
      </w:pPr>
    </w:p>
    <w:p w14:paraId="53C4BC4F">
      <w:pPr>
        <w:widowControl w:val="0"/>
        <w:kinsoku/>
        <w:spacing w:before="192" w:beforeLines="80"/>
        <w:jc w:val="center"/>
        <w:rPr>
          <w:rFonts w:ascii="Times New Roman" w:hAnsi="Times New Roman" w:cs="Times New Roman"/>
          <w:color w:val="auto"/>
          <w:lang w:eastAsia="zh-CN"/>
        </w:rPr>
      </w:pPr>
      <w:r>
        <w:rPr>
          <w:rFonts w:ascii="Times New Roman" w:hAnsi="Times New Roman" w:eastAsia="楷体_GB2312" w:cs="Times New Roman"/>
          <w:bCs/>
          <w:color w:val="auto"/>
          <w:sz w:val="48"/>
          <w:szCs w:val="48"/>
          <w:lang w:eastAsia="zh-CN"/>
        </w:rPr>
        <w:t>（生态影响类）</w:t>
      </w:r>
      <w:bookmarkStart w:id="0" w:name="OLE_LINK1"/>
    </w:p>
    <w:p w14:paraId="3D7900E2">
      <w:pPr>
        <w:pStyle w:val="10"/>
        <w:widowControl w:val="0"/>
        <w:kinsoku/>
        <w:jc w:val="center"/>
        <w:rPr>
          <w:rFonts w:ascii="Times New Roman" w:hAnsi="Times New Roman" w:cs="Times New Roman"/>
          <w:color w:val="auto"/>
          <w:lang w:eastAsia="zh-CN"/>
        </w:rPr>
      </w:pPr>
      <w:r>
        <w:rPr>
          <w:rFonts w:ascii="Times New Roman" w:hAnsi="Times New Roman" w:cs="Times New Roman"/>
          <w:color w:val="auto"/>
          <w:lang w:eastAsia="zh-CN"/>
        </w:rPr>
        <w:t>（</w:t>
      </w:r>
      <w:r>
        <w:rPr>
          <w:rFonts w:hint="eastAsia" w:ascii="Times New Roman" w:hAnsi="Times New Roman" w:cs="Times New Roman"/>
          <w:color w:val="auto"/>
          <w:lang w:val="en-US" w:eastAsia="zh-CN"/>
        </w:rPr>
        <w:t>报批</w:t>
      </w:r>
      <w:r>
        <w:rPr>
          <w:rFonts w:ascii="Times New Roman" w:hAnsi="Times New Roman" w:cs="Times New Roman"/>
          <w:color w:val="auto"/>
          <w:lang w:eastAsia="zh-CN"/>
        </w:rPr>
        <w:t>稿）</w:t>
      </w:r>
    </w:p>
    <w:bookmarkEnd w:id="0"/>
    <w:p w14:paraId="6623C44D">
      <w:pPr>
        <w:widowControl w:val="0"/>
        <w:kinsoku/>
        <w:ind w:firstLine="1040"/>
        <w:jc w:val="both"/>
        <w:rPr>
          <w:rFonts w:ascii="Times New Roman" w:hAnsi="Times New Roman" w:eastAsia="仿宋" w:cs="Times New Roman"/>
          <w:color w:val="auto"/>
          <w:sz w:val="44"/>
          <w:szCs w:val="44"/>
          <w:lang w:eastAsia="zh-CN"/>
        </w:rPr>
      </w:pPr>
      <w:bookmarkStart w:id="1" w:name="_Hlk57883728"/>
    </w:p>
    <w:p w14:paraId="052EB4E3">
      <w:pPr>
        <w:pStyle w:val="2"/>
        <w:kinsoku/>
        <w:rPr>
          <w:rFonts w:ascii="Times New Roman" w:hAnsi="Times New Roman" w:cs="Times New Roman"/>
          <w:color w:val="auto"/>
          <w:lang w:eastAsia="zh-CN"/>
        </w:rPr>
      </w:pPr>
    </w:p>
    <w:p w14:paraId="6BDE260E">
      <w:pPr>
        <w:widowControl w:val="0"/>
        <w:kinsoku/>
        <w:ind w:firstLine="1040"/>
        <w:jc w:val="both"/>
        <w:rPr>
          <w:rFonts w:ascii="Times New Roman" w:hAnsi="Times New Roman" w:eastAsia="仿宋" w:cs="Times New Roman"/>
          <w:color w:val="auto"/>
          <w:sz w:val="44"/>
          <w:szCs w:val="44"/>
          <w:lang w:eastAsia="zh-CN"/>
        </w:rPr>
      </w:pPr>
    </w:p>
    <w:p w14:paraId="4466CCC4">
      <w:pPr>
        <w:widowControl w:val="0"/>
        <w:kinsoku/>
        <w:ind w:firstLine="1040"/>
        <w:jc w:val="both"/>
        <w:rPr>
          <w:rFonts w:ascii="Times New Roman" w:hAnsi="Times New Roman" w:eastAsia="仿宋" w:cs="Times New Roman"/>
          <w:color w:val="auto"/>
          <w:sz w:val="44"/>
          <w:szCs w:val="44"/>
          <w:lang w:eastAsia="zh-CN"/>
        </w:rPr>
      </w:pPr>
    </w:p>
    <w:p w14:paraId="36CA4169">
      <w:pPr>
        <w:widowControl w:val="0"/>
        <w:kinsoku/>
        <w:ind w:firstLine="1040"/>
        <w:jc w:val="both"/>
        <w:rPr>
          <w:rFonts w:ascii="Times New Roman" w:hAnsi="Times New Roman" w:eastAsia="仿宋" w:cs="Times New Roman"/>
          <w:color w:val="auto"/>
          <w:sz w:val="44"/>
          <w:szCs w:val="44"/>
          <w:lang w:eastAsia="zh-CN"/>
        </w:rPr>
      </w:pPr>
    </w:p>
    <w:p w14:paraId="083C3A8E">
      <w:pPr>
        <w:pStyle w:val="2"/>
        <w:kinsoku/>
        <w:rPr>
          <w:rFonts w:ascii="Times New Roman" w:hAnsi="Times New Roman" w:cs="Times New Roman"/>
          <w:color w:val="auto"/>
          <w:lang w:eastAsia="zh-CN"/>
        </w:rPr>
      </w:pPr>
    </w:p>
    <w:bookmarkEnd w:id="1"/>
    <w:p w14:paraId="099F1229">
      <w:pPr>
        <w:widowControl w:val="0"/>
        <w:kinsoku/>
        <w:spacing w:line="360" w:lineRule="auto"/>
        <w:ind w:left="1920" w:hanging="1920" w:hangingChars="6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项目名称：</w:t>
      </w:r>
      <w:r>
        <w:rPr>
          <w:rFonts w:hint="eastAsia" w:ascii="Times New Roman" w:hAnsi="Times New Roman" w:eastAsia="仿宋_GB2312" w:cs="Times New Roman"/>
          <w:color w:val="auto"/>
          <w:sz w:val="32"/>
          <w:szCs w:val="32"/>
          <w:u w:val="single"/>
          <w:lang w:val="en-US" w:eastAsia="zh-CN"/>
        </w:rPr>
        <w:t>准噶尔盆地吉康油田阜2602井、阜2602-1井钻试工程项目</w:t>
      </w:r>
      <w:r>
        <w:rPr>
          <w:rFonts w:ascii="Times New Roman" w:hAnsi="Times New Roman" w:eastAsia="仿宋_GB2312" w:cs="Times New Roman"/>
          <w:color w:val="auto"/>
          <w:sz w:val="32"/>
          <w:szCs w:val="32"/>
          <w:u w:val="single"/>
          <w:lang w:val="zh-CN" w:eastAsia="zh-CN"/>
        </w:rPr>
        <w:t xml:space="preserve"> </w:t>
      </w:r>
      <w:r>
        <w:rPr>
          <w:rFonts w:hint="eastAsia" w:ascii="Times New Roman" w:hAnsi="Times New Roman" w:eastAsia="仿宋_GB2312" w:cs="Times New Roman"/>
          <w:color w:val="auto"/>
          <w:sz w:val="32"/>
          <w:szCs w:val="32"/>
          <w:u w:val="single"/>
          <w:lang w:val="en-US" w:eastAsia="zh-CN"/>
        </w:rPr>
        <w:t xml:space="preserve">                              </w:t>
      </w:r>
      <w:r>
        <w:rPr>
          <w:rFonts w:ascii="Times New Roman" w:hAnsi="Times New Roman" w:eastAsia="仿宋_GB2312" w:cs="Times New Roman"/>
          <w:color w:val="auto"/>
          <w:sz w:val="32"/>
          <w:szCs w:val="32"/>
          <w:u w:val="single"/>
          <w:lang w:val="zh-CN" w:eastAsia="zh-CN"/>
        </w:rPr>
        <w:t xml:space="preserve"> </w:t>
      </w:r>
    </w:p>
    <w:p w14:paraId="368867B1">
      <w:pPr>
        <w:widowControl w:val="0"/>
        <w:kinsoku/>
        <w:spacing w:line="360" w:lineRule="auto"/>
        <w:ind w:left="1600" w:hanging="1600" w:hangingChars="500"/>
        <w:jc w:val="both"/>
        <w:rPr>
          <w:rFonts w:ascii="Times New Roman" w:hAnsi="Times New Roman" w:eastAsia="仿宋_GB2312" w:cs="Times New Roman"/>
          <w:color w:val="auto"/>
          <w:sz w:val="32"/>
          <w:szCs w:val="32"/>
          <w:u w:val="single"/>
          <w:lang w:eastAsia="zh-CN"/>
        </w:rPr>
      </w:pPr>
      <w:r>
        <w:rPr>
          <w:rFonts w:ascii="Times New Roman" w:hAnsi="Times New Roman" w:eastAsia="仿宋_GB2312" w:cs="Times New Roman"/>
          <w:color w:val="auto"/>
          <w:sz w:val="32"/>
          <w:szCs w:val="32"/>
          <w:lang w:eastAsia="zh-CN"/>
        </w:rPr>
        <w:t>建设单位（盖章）：</w:t>
      </w:r>
      <w:r>
        <w:rPr>
          <w:rFonts w:ascii="Times New Roman" w:hAnsi="Times New Roman" w:eastAsia="仿宋_GB2312" w:cs="Times New Roman"/>
          <w:color w:val="auto"/>
          <w:sz w:val="32"/>
          <w:szCs w:val="32"/>
          <w:u w:val="single"/>
          <w:lang w:val="zh-CN" w:eastAsia="zh-CN"/>
        </w:rPr>
        <w:t>中国石油天然气股份有限公司</w:t>
      </w:r>
      <w:r>
        <w:rPr>
          <w:rFonts w:ascii="Times New Roman" w:hAnsi="Times New Roman" w:eastAsia="仿宋_GB2312" w:cs="Times New Roman"/>
          <w:color w:val="auto"/>
          <w:sz w:val="32"/>
          <w:szCs w:val="32"/>
          <w:u w:val="single"/>
          <w:lang w:eastAsia="zh-CN"/>
        </w:rPr>
        <w:t xml:space="preserve">吐哈油田分公司准东采油管理区  </w:t>
      </w:r>
    </w:p>
    <w:p w14:paraId="29FEBF01">
      <w:pPr>
        <w:widowControl w:val="0"/>
        <w:kinsoku/>
        <w:spacing w:line="360" w:lineRule="auto"/>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编制日期：</w:t>
      </w:r>
      <w:r>
        <w:rPr>
          <w:rFonts w:ascii="Times New Roman" w:hAnsi="Times New Roman" w:eastAsia="仿宋_GB2312" w:cs="Times New Roman"/>
          <w:color w:val="auto"/>
          <w:sz w:val="32"/>
          <w:szCs w:val="32"/>
          <w:u w:val="single"/>
          <w:lang w:eastAsia="zh-CN"/>
        </w:rPr>
        <w:t xml:space="preserve">               202</w:t>
      </w:r>
      <w:r>
        <w:rPr>
          <w:rFonts w:hint="eastAsia" w:ascii="Times New Roman" w:hAnsi="Times New Roman" w:eastAsia="仿宋_GB2312" w:cs="Times New Roman"/>
          <w:color w:val="auto"/>
          <w:sz w:val="32"/>
          <w:szCs w:val="32"/>
          <w:u w:val="single"/>
          <w:lang w:val="en-US" w:eastAsia="zh-CN"/>
        </w:rPr>
        <w:t>6</w:t>
      </w:r>
      <w:r>
        <w:rPr>
          <w:rFonts w:ascii="Times New Roman" w:hAnsi="Times New Roman" w:eastAsia="仿宋_GB2312" w:cs="Times New Roman"/>
          <w:color w:val="auto"/>
          <w:sz w:val="32"/>
          <w:szCs w:val="32"/>
          <w:u w:val="single"/>
          <w:lang w:eastAsia="zh-CN"/>
        </w:rPr>
        <w:t>年</w:t>
      </w:r>
      <w:r>
        <w:rPr>
          <w:rFonts w:hint="eastAsia" w:ascii="Times New Roman" w:hAnsi="Times New Roman" w:eastAsia="仿宋_GB2312" w:cs="Times New Roman"/>
          <w:color w:val="auto"/>
          <w:sz w:val="32"/>
          <w:szCs w:val="32"/>
          <w:u w:val="single"/>
          <w:lang w:val="en-US" w:eastAsia="zh-CN"/>
        </w:rPr>
        <w:t>3</w:t>
      </w:r>
      <w:r>
        <w:rPr>
          <w:rFonts w:ascii="Times New Roman" w:hAnsi="Times New Roman" w:eastAsia="仿宋_GB2312" w:cs="Times New Roman"/>
          <w:color w:val="auto"/>
          <w:sz w:val="32"/>
          <w:szCs w:val="32"/>
          <w:u w:val="single"/>
          <w:lang w:eastAsia="zh-CN"/>
        </w:rPr>
        <w:t xml:space="preserve">月                </w:t>
      </w:r>
    </w:p>
    <w:p w14:paraId="2CF24AB4">
      <w:pPr>
        <w:widowControl w:val="0"/>
        <w:kinsoku/>
        <w:spacing w:line="360" w:lineRule="auto"/>
        <w:ind w:left="1600" w:hanging="1600" w:hangingChars="500"/>
        <w:jc w:val="both"/>
        <w:rPr>
          <w:rFonts w:ascii="Times New Roman" w:hAnsi="Times New Roman" w:eastAsia="仿宋_GB2312" w:cs="Times New Roman"/>
          <w:color w:val="auto"/>
          <w:sz w:val="32"/>
          <w:szCs w:val="32"/>
          <w:lang w:eastAsia="zh-CN"/>
        </w:rPr>
      </w:pPr>
    </w:p>
    <w:p w14:paraId="66289DDA">
      <w:pPr>
        <w:widowControl w:val="0"/>
        <w:kinsoku/>
        <w:spacing w:line="288" w:lineRule="auto"/>
        <w:ind w:firstLine="1040"/>
        <w:jc w:val="both"/>
        <w:rPr>
          <w:rFonts w:ascii="Times New Roman" w:hAnsi="Times New Roman" w:eastAsia="仿宋_GB2312" w:cs="Times New Roman"/>
          <w:color w:val="auto"/>
          <w:sz w:val="36"/>
          <w:szCs w:val="36"/>
          <w:lang w:eastAsia="zh-CN"/>
        </w:rPr>
      </w:pPr>
    </w:p>
    <w:p w14:paraId="3F3C9275">
      <w:pPr>
        <w:widowControl w:val="0"/>
        <w:kinsoku/>
        <w:spacing w:line="288" w:lineRule="auto"/>
        <w:ind w:firstLine="1040"/>
        <w:jc w:val="both"/>
        <w:rPr>
          <w:rFonts w:ascii="Times New Roman" w:hAnsi="Times New Roman" w:eastAsia="仿宋_GB2312" w:cs="Times New Roman"/>
          <w:color w:val="auto"/>
          <w:sz w:val="36"/>
          <w:szCs w:val="36"/>
          <w:lang w:eastAsia="zh-CN"/>
        </w:rPr>
      </w:pPr>
    </w:p>
    <w:p w14:paraId="11CB5950">
      <w:pPr>
        <w:widowControl w:val="0"/>
        <w:kinsoku/>
        <w:spacing w:line="288" w:lineRule="auto"/>
        <w:ind w:firstLine="1040"/>
        <w:jc w:val="both"/>
        <w:rPr>
          <w:rFonts w:ascii="Times New Roman" w:hAnsi="Times New Roman" w:eastAsia="仿宋_GB2312" w:cs="Times New Roman"/>
          <w:color w:val="auto"/>
          <w:sz w:val="36"/>
          <w:szCs w:val="36"/>
          <w:lang w:eastAsia="zh-CN"/>
        </w:rPr>
      </w:pPr>
    </w:p>
    <w:p w14:paraId="412E1E7D">
      <w:pPr>
        <w:widowControl w:val="0"/>
        <w:kinsoku/>
        <w:spacing w:line="288" w:lineRule="auto"/>
        <w:jc w:val="center"/>
        <w:rPr>
          <w:rFonts w:ascii="Times New Roman" w:hAnsi="Times New Roman" w:cs="Times New Roman"/>
          <w:color w:val="auto"/>
          <w:lang w:eastAsia="zh-CN"/>
        </w:rPr>
      </w:pPr>
      <w:r>
        <w:rPr>
          <w:rFonts w:ascii="Times New Roman" w:hAnsi="Times New Roman" w:eastAsia="楷体_GB2312" w:cs="Times New Roman"/>
          <w:color w:val="auto"/>
          <w:sz w:val="36"/>
          <w:szCs w:val="36"/>
          <w:lang w:eastAsia="zh-CN"/>
        </w:rPr>
        <w:t>中华人民共和国生态环境部制</w:t>
      </w:r>
    </w:p>
    <w:p w14:paraId="215485BE">
      <w:pPr>
        <w:kinsoku/>
        <w:spacing w:before="100" w:line="224" w:lineRule="auto"/>
        <w:jc w:val="both"/>
        <w:outlineLvl w:val="0"/>
        <w:rPr>
          <w:rFonts w:ascii="Times New Roman" w:hAnsi="Times New Roman" w:eastAsia="宋体" w:cs="Times New Roman"/>
          <w:b/>
          <w:bCs/>
          <w:color w:val="auto"/>
          <w:spacing w:val="6"/>
          <w:sz w:val="30"/>
          <w:szCs w:val="30"/>
          <w:lang w:eastAsia="zh-CN"/>
        </w:rPr>
        <w:sectPr>
          <w:headerReference r:id="rId3" w:type="default"/>
          <w:footerReference r:id="rId4" w:type="default"/>
          <w:pgSz w:w="11906" w:h="16840"/>
          <w:pgMar w:top="1440" w:right="1803" w:bottom="1440" w:left="1803" w:header="850" w:footer="992" w:gutter="0"/>
          <w:cols w:space="720" w:num="1"/>
        </w:sectPr>
      </w:pPr>
    </w:p>
    <w:p w14:paraId="429B85D1">
      <w:pPr>
        <w:numPr>
          <w:ilvl w:val="0"/>
          <w:numId w:val="2"/>
        </w:numPr>
        <w:kinsoku/>
        <w:spacing w:before="100" w:line="360" w:lineRule="auto"/>
        <w:jc w:val="center"/>
        <w:outlineLvl w:val="0"/>
        <w:rPr>
          <w:rFonts w:ascii="Times New Roman" w:hAnsi="Times New Roman" w:eastAsia="宋体" w:cs="Times New Roman"/>
          <w:b/>
          <w:bCs/>
          <w:color w:val="auto"/>
          <w:spacing w:val="6"/>
          <w:sz w:val="30"/>
          <w:szCs w:val="30"/>
        </w:rPr>
      </w:pPr>
      <w:r>
        <w:rPr>
          <w:rFonts w:ascii="Times New Roman" w:hAnsi="Times New Roman" w:eastAsia="宋体" w:cs="Times New Roman"/>
          <w:b/>
          <w:bCs/>
          <w:color w:val="auto"/>
          <w:spacing w:val="6"/>
          <w:sz w:val="30"/>
          <w:szCs w:val="30"/>
        </w:rPr>
        <w:t>建设项目基本情况</w:t>
      </w:r>
    </w:p>
    <w:tbl>
      <w:tblPr>
        <w:tblStyle w:val="18"/>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2931"/>
        <w:gridCol w:w="1318"/>
        <w:gridCol w:w="2982"/>
      </w:tblGrid>
      <w:tr w14:paraId="7BD9759B">
        <w:trPr>
          <w:trHeight w:val="285" w:hRule="atLeast"/>
          <w:jc w:val="center"/>
        </w:trPr>
        <w:tc>
          <w:tcPr>
            <w:tcW w:w="1459" w:type="dxa"/>
            <w:vAlign w:val="center"/>
          </w:tcPr>
          <w:p w14:paraId="63697AD1">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231" w:type="dxa"/>
            <w:gridSpan w:val="3"/>
            <w:vAlign w:val="center"/>
          </w:tcPr>
          <w:p w14:paraId="6099803C">
            <w:pPr>
              <w:pStyle w:val="23"/>
              <w:widowControl w:val="0"/>
              <w:kinsoku/>
              <w:spacing w:before="84" w:line="228" w:lineRule="auto"/>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pacing w:val="6"/>
                <w:sz w:val="24"/>
                <w:szCs w:val="24"/>
                <w:lang w:val="en-US" w:eastAsia="zh-CN"/>
              </w:rPr>
              <w:t>准噶尔盆地吉康油田阜2602井、阜2602-1井钻试工程项目</w:t>
            </w:r>
          </w:p>
        </w:tc>
      </w:tr>
      <w:tr w14:paraId="147F5AA2">
        <w:trPr>
          <w:trHeight w:val="340" w:hRule="atLeast"/>
          <w:jc w:val="center"/>
        </w:trPr>
        <w:tc>
          <w:tcPr>
            <w:tcW w:w="1459" w:type="dxa"/>
            <w:vAlign w:val="center"/>
          </w:tcPr>
          <w:p w14:paraId="6081A628">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7231" w:type="dxa"/>
            <w:gridSpan w:val="3"/>
            <w:vAlign w:val="center"/>
          </w:tcPr>
          <w:p w14:paraId="68D02744">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r w14:paraId="6FA7F960">
        <w:trPr>
          <w:trHeight w:val="340" w:hRule="atLeast"/>
          <w:jc w:val="center"/>
        </w:trPr>
        <w:tc>
          <w:tcPr>
            <w:tcW w:w="1459" w:type="dxa"/>
            <w:vAlign w:val="center"/>
          </w:tcPr>
          <w:p w14:paraId="74C4C726">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1"/>
                <w:sz w:val="24"/>
                <w:szCs w:val="24"/>
              </w:rPr>
              <w:t>建设单位联系人</w:t>
            </w:r>
          </w:p>
        </w:tc>
        <w:tc>
          <w:tcPr>
            <w:tcW w:w="2931" w:type="dxa"/>
            <w:vAlign w:val="center"/>
          </w:tcPr>
          <w:p w14:paraId="3C18F5E4">
            <w:pPr>
              <w:pStyle w:val="23"/>
              <w:widowControl w:val="0"/>
              <w:kinsoku/>
              <w:spacing w:before="84" w:line="228" w:lineRule="auto"/>
              <w:ind w:left="785"/>
              <w:jc w:val="both"/>
              <w:rPr>
                <w:rFonts w:hint="default" w:ascii="Times New Roman" w:hAnsi="Times New Roman" w:eastAsia="宋体" w:cs="Times New Roman"/>
                <w:color w:val="auto"/>
                <w:spacing w:val="-11"/>
                <w:sz w:val="24"/>
                <w:szCs w:val="24"/>
              </w:rPr>
            </w:pPr>
          </w:p>
        </w:tc>
        <w:tc>
          <w:tcPr>
            <w:tcW w:w="1318" w:type="dxa"/>
            <w:vAlign w:val="center"/>
          </w:tcPr>
          <w:p w14:paraId="249DF3B0">
            <w:pPr>
              <w:pStyle w:val="23"/>
              <w:widowControl w:val="0"/>
              <w:kinsoku/>
              <w:spacing w:before="84" w:line="229" w:lineRule="auto"/>
              <w:jc w:val="center"/>
              <w:rPr>
                <w:rFonts w:hint="default" w:ascii="Times New Roman" w:hAnsi="Times New Roman" w:eastAsia="宋体" w:cs="Times New Roman"/>
                <w:color w:val="auto"/>
                <w:spacing w:val="-11"/>
                <w:sz w:val="24"/>
                <w:szCs w:val="24"/>
              </w:rPr>
            </w:pPr>
            <w:r>
              <w:rPr>
                <w:rFonts w:hint="default" w:ascii="Times New Roman" w:hAnsi="Times New Roman" w:eastAsia="宋体" w:cs="Times New Roman"/>
                <w:color w:val="auto"/>
                <w:spacing w:val="17"/>
                <w:sz w:val="24"/>
                <w:szCs w:val="24"/>
              </w:rPr>
              <w:t>联系方式</w:t>
            </w:r>
          </w:p>
        </w:tc>
        <w:tc>
          <w:tcPr>
            <w:tcW w:w="2982" w:type="dxa"/>
            <w:vAlign w:val="center"/>
          </w:tcPr>
          <w:p w14:paraId="5A9A61D4">
            <w:pPr>
              <w:widowControl w:val="0"/>
              <w:kinsoku/>
              <w:spacing w:before="120" w:line="195" w:lineRule="auto"/>
              <w:jc w:val="center"/>
              <w:rPr>
                <w:rFonts w:hint="default" w:ascii="Times New Roman" w:hAnsi="Times New Roman" w:eastAsia="宋体" w:cs="Times New Roman"/>
                <w:color w:val="auto"/>
                <w:spacing w:val="-11"/>
                <w:sz w:val="24"/>
                <w:szCs w:val="24"/>
              </w:rPr>
            </w:pPr>
          </w:p>
        </w:tc>
      </w:tr>
      <w:tr w14:paraId="352C0EC5">
        <w:trPr>
          <w:trHeight w:val="340" w:hRule="atLeast"/>
          <w:jc w:val="center"/>
        </w:trPr>
        <w:tc>
          <w:tcPr>
            <w:tcW w:w="1459" w:type="dxa"/>
            <w:vAlign w:val="center"/>
          </w:tcPr>
          <w:p w14:paraId="1A16BF47">
            <w:pPr>
              <w:pStyle w:val="23"/>
              <w:widowControl w:val="0"/>
              <w:kinsoku/>
              <w:spacing w:before="84" w:line="228" w:lineRule="auto"/>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建设地点</w:t>
            </w:r>
          </w:p>
        </w:tc>
        <w:tc>
          <w:tcPr>
            <w:tcW w:w="7231" w:type="dxa"/>
            <w:gridSpan w:val="3"/>
            <w:vAlign w:val="center"/>
          </w:tcPr>
          <w:p w14:paraId="75B4D3BE">
            <w:pPr>
              <w:pStyle w:val="23"/>
              <w:widowControl w:val="0"/>
              <w:kinsoku/>
              <w:spacing w:before="84" w:line="228" w:lineRule="auto"/>
              <w:jc w:val="both"/>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eastAsia="zh-CN"/>
              </w:rPr>
              <w:t>新疆维吾尔自治区昌吉回族自治州</w:t>
            </w:r>
            <w:r>
              <w:rPr>
                <w:rFonts w:hint="eastAsia" w:ascii="Times New Roman" w:hAnsi="Times New Roman" w:cs="Times New Roman"/>
                <w:color w:val="auto"/>
                <w:spacing w:val="6"/>
                <w:sz w:val="24"/>
                <w:szCs w:val="24"/>
                <w:lang w:val="en-US" w:eastAsia="zh-CN"/>
              </w:rPr>
              <w:t>阜康市</w:t>
            </w:r>
          </w:p>
        </w:tc>
      </w:tr>
      <w:tr w14:paraId="5CCC4F4B">
        <w:trPr>
          <w:trHeight w:val="787" w:hRule="atLeast"/>
          <w:jc w:val="center"/>
        </w:trPr>
        <w:tc>
          <w:tcPr>
            <w:tcW w:w="1459" w:type="dxa"/>
            <w:vAlign w:val="center"/>
          </w:tcPr>
          <w:p w14:paraId="763F6106">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7231" w:type="dxa"/>
            <w:gridSpan w:val="3"/>
            <w:vAlign w:val="center"/>
          </w:tcPr>
          <w:p w14:paraId="7D1D016B">
            <w:pPr>
              <w:widowControl w:val="0"/>
              <w:kinsoku/>
              <w:spacing w:line="400" w:lineRule="exact"/>
              <w:jc w:val="both"/>
              <w:rPr>
                <w:rFonts w:hint="default" w:ascii="Times New Roman" w:hAnsi="Times New Roman" w:eastAsia="宋体" w:cs="Times New Roman"/>
                <w:color w:val="auto"/>
                <w:sz w:val="24"/>
                <w:szCs w:val="24"/>
                <w:lang w:eastAsia="zh-CN"/>
              </w:rPr>
            </w:pPr>
          </w:p>
        </w:tc>
      </w:tr>
      <w:tr w14:paraId="1A59840E">
        <w:trPr>
          <w:trHeight w:val="340" w:hRule="atLeast"/>
          <w:jc w:val="center"/>
        </w:trPr>
        <w:tc>
          <w:tcPr>
            <w:tcW w:w="1459" w:type="dxa"/>
            <w:vAlign w:val="center"/>
          </w:tcPr>
          <w:p w14:paraId="250ADFF7">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2D3ED9E7">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931" w:type="dxa"/>
            <w:vAlign w:val="center"/>
          </w:tcPr>
          <w:p w14:paraId="5F3A3E38">
            <w:pPr>
              <w:widowControl w:val="0"/>
              <w:kinsoku/>
              <w:spacing w:line="400" w:lineRule="exact"/>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四十六、专业技术服务业99陆地矿产资源地质勘查（含油气资源勘探）</w:t>
            </w:r>
          </w:p>
        </w:tc>
        <w:tc>
          <w:tcPr>
            <w:tcW w:w="1318" w:type="dxa"/>
            <w:vAlign w:val="center"/>
          </w:tcPr>
          <w:p w14:paraId="5871D93D">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用地面积（m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tc>
        <w:tc>
          <w:tcPr>
            <w:tcW w:w="2982" w:type="dxa"/>
            <w:vAlign w:val="center"/>
          </w:tcPr>
          <w:p w14:paraId="22A7CC68">
            <w:pPr>
              <w:widowControl w:val="0"/>
              <w:kinsoku/>
              <w:spacing w:line="400" w:lineRule="exact"/>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23878</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rPr>
              <w:t>（临时用地）</w:t>
            </w:r>
          </w:p>
        </w:tc>
      </w:tr>
      <w:tr w14:paraId="7BC9A1DD">
        <w:trPr>
          <w:trHeight w:val="340" w:hRule="atLeast"/>
          <w:jc w:val="center"/>
        </w:trPr>
        <w:tc>
          <w:tcPr>
            <w:tcW w:w="1459" w:type="dxa"/>
            <w:vAlign w:val="center"/>
          </w:tcPr>
          <w:p w14:paraId="772BD17E">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2931" w:type="dxa"/>
            <w:vAlign w:val="center"/>
          </w:tcPr>
          <w:p w14:paraId="6710C8C1">
            <w:pPr>
              <w:widowControl w:val="0"/>
              <w:kinsoku/>
              <w:autoSpaceDE/>
              <w:autoSpaceDN/>
              <w:spacing w:line="400" w:lineRule="exact"/>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sym w:font="Wingdings 2" w:char="0052"/>
            </w:r>
            <w:r>
              <w:rPr>
                <w:rFonts w:hint="default" w:ascii="Times New Roman" w:hAnsi="Times New Roman" w:eastAsia="宋体" w:cs="Times New Roman"/>
                <w:snapToGrid/>
                <w:color w:val="auto"/>
                <w:kern w:val="2"/>
                <w:sz w:val="24"/>
                <w:szCs w:val="24"/>
                <w:lang w:eastAsia="zh-CN"/>
              </w:rPr>
              <w:t>新建（迁建）</w:t>
            </w:r>
          </w:p>
          <w:p w14:paraId="09F2893B">
            <w:pPr>
              <w:widowControl w:val="0"/>
              <w:kinsoku/>
              <w:autoSpaceDE/>
              <w:autoSpaceDN/>
              <w:spacing w:line="400" w:lineRule="exact"/>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t>□改建</w:t>
            </w:r>
          </w:p>
          <w:p w14:paraId="38874C3D">
            <w:pPr>
              <w:widowControl w:val="0"/>
              <w:kinsoku/>
              <w:autoSpaceDE/>
              <w:autoSpaceDN/>
              <w:spacing w:line="400" w:lineRule="exact"/>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t>□扩建</w:t>
            </w:r>
          </w:p>
          <w:p w14:paraId="398495A7">
            <w:pPr>
              <w:widowControl w:val="0"/>
              <w:kinsoku/>
              <w:autoSpaceDE/>
              <w:autoSpaceDN/>
              <w:spacing w:line="400" w:lineRule="exact"/>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color w:val="auto"/>
                <w:kern w:val="2"/>
                <w:sz w:val="24"/>
                <w:szCs w:val="24"/>
                <w:lang w:eastAsia="zh-CN"/>
              </w:rPr>
              <w:t>□技术改造</w:t>
            </w:r>
          </w:p>
        </w:tc>
        <w:tc>
          <w:tcPr>
            <w:tcW w:w="1318" w:type="dxa"/>
            <w:vAlign w:val="center"/>
          </w:tcPr>
          <w:p w14:paraId="2E6E0B2D">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4EAF7937">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2982" w:type="dxa"/>
            <w:vAlign w:val="center"/>
          </w:tcPr>
          <w:p w14:paraId="3CCA11D7">
            <w:pPr>
              <w:widowControl w:val="0"/>
              <w:kinsoku/>
              <w:spacing w:line="400" w:lineRule="exact"/>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1"/>
                <w:sz w:val="24"/>
                <w:szCs w:val="24"/>
              </w:rPr>
              <w:sym w:font="Wingdings 2" w:char="0052"/>
            </w:r>
            <w:r>
              <w:rPr>
                <w:rFonts w:hint="default" w:ascii="Times New Roman" w:hAnsi="Times New Roman" w:eastAsia="宋体" w:cs="Times New Roman"/>
                <w:color w:val="auto"/>
                <w:sz w:val="24"/>
                <w:szCs w:val="24"/>
                <w:lang w:eastAsia="zh-CN"/>
              </w:rPr>
              <w:t>首次申报项目</w:t>
            </w:r>
          </w:p>
          <w:p w14:paraId="2F1B3D4C">
            <w:pPr>
              <w:widowControl w:val="0"/>
              <w:kinsoku/>
              <w:autoSpaceDE/>
              <w:autoSpaceDN/>
              <w:spacing w:line="400" w:lineRule="exact"/>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t>□不予批准后再次申报项目</w:t>
            </w:r>
          </w:p>
          <w:p w14:paraId="430B5E6E">
            <w:pPr>
              <w:widowControl w:val="0"/>
              <w:kinsoku/>
              <w:autoSpaceDE/>
              <w:autoSpaceDN/>
              <w:spacing w:line="400" w:lineRule="exact"/>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t>□超五年重新审核项目</w:t>
            </w:r>
          </w:p>
          <w:p w14:paraId="2632894A">
            <w:pPr>
              <w:widowControl w:val="0"/>
              <w:kinsoku/>
              <w:autoSpaceDE/>
              <w:autoSpaceDN/>
              <w:spacing w:line="400" w:lineRule="exact"/>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napToGrid/>
                <w:color w:val="auto"/>
                <w:kern w:val="2"/>
                <w:sz w:val="24"/>
                <w:szCs w:val="24"/>
                <w:lang w:eastAsia="zh-CN"/>
              </w:rPr>
              <w:t>□重大变动重新报批项目</w:t>
            </w:r>
          </w:p>
        </w:tc>
      </w:tr>
      <w:tr w14:paraId="2876C75B">
        <w:trPr>
          <w:trHeight w:val="340" w:hRule="atLeast"/>
          <w:jc w:val="center"/>
        </w:trPr>
        <w:tc>
          <w:tcPr>
            <w:tcW w:w="1459" w:type="dxa"/>
            <w:vAlign w:val="center"/>
          </w:tcPr>
          <w:p w14:paraId="01538E28">
            <w:pPr>
              <w:widowControl w:val="0"/>
              <w:kinsoku/>
              <w:spacing w:line="4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项目审批（核准/备案）部门</w:t>
            </w:r>
          </w:p>
        </w:tc>
        <w:tc>
          <w:tcPr>
            <w:tcW w:w="2931" w:type="dxa"/>
            <w:vAlign w:val="center"/>
          </w:tcPr>
          <w:p w14:paraId="7D81332C">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c>
          <w:tcPr>
            <w:tcW w:w="1318" w:type="dxa"/>
            <w:vAlign w:val="center"/>
          </w:tcPr>
          <w:p w14:paraId="60952A5A">
            <w:pPr>
              <w:widowControl w:val="0"/>
              <w:kinsoku/>
              <w:spacing w:line="4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项目审批（核准/备案）文号</w:t>
            </w:r>
          </w:p>
        </w:tc>
        <w:tc>
          <w:tcPr>
            <w:tcW w:w="2982" w:type="dxa"/>
            <w:vAlign w:val="center"/>
          </w:tcPr>
          <w:p w14:paraId="55869E61">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r w14:paraId="6094FD8D">
        <w:trPr>
          <w:trHeight w:val="340" w:hRule="atLeast"/>
          <w:jc w:val="center"/>
        </w:trPr>
        <w:tc>
          <w:tcPr>
            <w:tcW w:w="1459" w:type="dxa"/>
            <w:vAlign w:val="center"/>
          </w:tcPr>
          <w:p w14:paraId="6FCAB8E9">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w:t>
            </w:r>
          </w:p>
          <w:p w14:paraId="4F24AE17">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2931" w:type="dxa"/>
            <w:vAlign w:val="center"/>
          </w:tcPr>
          <w:p w14:paraId="4D37947A">
            <w:pPr>
              <w:widowControl w:val="0"/>
              <w:kinsoku/>
              <w:spacing w:line="40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3600</w:t>
            </w:r>
          </w:p>
        </w:tc>
        <w:tc>
          <w:tcPr>
            <w:tcW w:w="1318" w:type="dxa"/>
            <w:vAlign w:val="center"/>
          </w:tcPr>
          <w:p w14:paraId="6847EA47">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14:paraId="29F39D75">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2982" w:type="dxa"/>
            <w:vAlign w:val="center"/>
          </w:tcPr>
          <w:p w14:paraId="01EC480E">
            <w:pPr>
              <w:widowControl w:val="0"/>
              <w:kinsoku/>
              <w:spacing w:line="4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268</w:t>
            </w:r>
          </w:p>
        </w:tc>
      </w:tr>
      <w:tr w14:paraId="592FA97D">
        <w:trPr>
          <w:trHeight w:val="340" w:hRule="atLeast"/>
          <w:jc w:val="center"/>
        </w:trPr>
        <w:tc>
          <w:tcPr>
            <w:tcW w:w="1459" w:type="dxa"/>
            <w:vAlign w:val="center"/>
          </w:tcPr>
          <w:p w14:paraId="4ECFFA78">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2931" w:type="dxa"/>
            <w:vAlign w:val="center"/>
          </w:tcPr>
          <w:p w14:paraId="1BC89BD2">
            <w:pPr>
              <w:widowControl w:val="0"/>
              <w:kinsoku/>
              <w:spacing w:line="40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7.44%</w:t>
            </w:r>
          </w:p>
        </w:tc>
        <w:tc>
          <w:tcPr>
            <w:tcW w:w="1318" w:type="dxa"/>
            <w:vAlign w:val="center"/>
          </w:tcPr>
          <w:p w14:paraId="7A0E930A">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2982" w:type="dxa"/>
            <w:vAlign w:val="center"/>
          </w:tcPr>
          <w:p w14:paraId="1C2BD8FA">
            <w:pPr>
              <w:widowControl w:val="0"/>
              <w:kinsoku/>
              <w:spacing w:line="4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单井钻井</w:t>
            </w:r>
            <w:r>
              <w:rPr>
                <w:rFonts w:hint="default" w:ascii="Times New Roman" w:hAnsi="Times New Roman" w:eastAsia="宋体" w:cs="Times New Roman"/>
                <w:color w:val="auto"/>
                <w:sz w:val="24"/>
                <w:szCs w:val="24"/>
                <w:highlight w:val="none"/>
                <w:lang w:eastAsia="zh-CN"/>
              </w:rPr>
              <w:t>期90天；单井试油期为</w:t>
            </w:r>
            <w:r>
              <w:rPr>
                <w:rFonts w:hint="eastAsia" w:ascii="Times New Roman" w:hAnsi="Times New Roman" w:eastAsia="宋体"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lang w:eastAsia="zh-CN"/>
              </w:rPr>
              <w:t>天</w:t>
            </w:r>
          </w:p>
        </w:tc>
      </w:tr>
      <w:tr w14:paraId="2655262C">
        <w:trPr>
          <w:trHeight w:val="340" w:hRule="atLeast"/>
          <w:jc w:val="center"/>
        </w:trPr>
        <w:tc>
          <w:tcPr>
            <w:tcW w:w="1459" w:type="dxa"/>
            <w:vAlign w:val="center"/>
          </w:tcPr>
          <w:p w14:paraId="148602DE">
            <w:pPr>
              <w:widowControl w:val="0"/>
              <w:kinsoku/>
              <w:autoSpaceDE/>
              <w:autoSpaceDN/>
              <w:spacing w:line="400" w:lineRule="exact"/>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t>是否开工建设</w:t>
            </w:r>
          </w:p>
        </w:tc>
        <w:tc>
          <w:tcPr>
            <w:tcW w:w="7231" w:type="dxa"/>
            <w:gridSpan w:val="3"/>
            <w:vAlign w:val="center"/>
          </w:tcPr>
          <w:p w14:paraId="7428CC0C">
            <w:pPr>
              <w:widowControl w:val="0"/>
              <w:kinsoku/>
              <w:autoSpaceDE/>
              <w:autoSpaceDN/>
              <w:spacing w:line="400" w:lineRule="exact"/>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sym w:font="Wingdings 2" w:char="0052"/>
            </w:r>
            <w:r>
              <w:rPr>
                <w:rFonts w:hint="default" w:ascii="Times New Roman" w:hAnsi="Times New Roman" w:eastAsia="宋体" w:cs="Times New Roman"/>
                <w:snapToGrid/>
                <w:color w:val="auto"/>
                <w:kern w:val="2"/>
                <w:sz w:val="24"/>
                <w:szCs w:val="24"/>
                <w:lang w:eastAsia="zh-CN"/>
              </w:rPr>
              <w:t>否</w:t>
            </w:r>
          </w:p>
          <w:p w14:paraId="5C28DA8C">
            <w:pPr>
              <w:widowControl w:val="0"/>
              <w:kinsoku/>
              <w:autoSpaceDE/>
              <w:autoSpaceDN/>
              <w:spacing w:line="400" w:lineRule="exact"/>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t>□是：</w:t>
            </w:r>
          </w:p>
        </w:tc>
      </w:tr>
      <w:tr w14:paraId="793222CF">
        <w:trPr>
          <w:trHeight w:val="90" w:hRule="atLeast"/>
          <w:jc w:val="center"/>
        </w:trPr>
        <w:tc>
          <w:tcPr>
            <w:tcW w:w="1459" w:type="dxa"/>
            <w:vAlign w:val="center"/>
          </w:tcPr>
          <w:p w14:paraId="2BA61C62">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专项评价</w:t>
            </w:r>
          </w:p>
          <w:p w14:paraId="1E9BB07F">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设置情况</w:t>
            </w:r>
          </w:p>
        </w:tc>
        <w:tc>
          <w:tcPr>
            <w:tcW w:w="7231" w:type="dxa"/>
            <w:gridSpan w:val="3"/>
            <w:vAlign w:val="center"/>
          </w:tcPr>
          <w:p w14:paraId="55CECA42">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r w14:paraId="12AE42AB">
        <w:trPr>
          <w:trHeight w:val="4942" w:hRule="atLeast"/>
          <w:jc w:val="center"/>
        </w:trPr>
        <w:tc>
          <w:tcPr>
            <w:tcW w:w="1459" w:type="dxa"/>
            <w:vAlign w:val="center"/>
          </w:tcPr>
          <w:p w14:paraId="136E616D">
            <w:pPr>
              <w:widowControl w:val="0"/>
              <w:kinsoku/>
              <w:spacing w:line="4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规划情况</w:t>
            </w:r>
          </w:p>
        </w:tc>
        <w:tc>
          <w:tcPr>
            <w:tcW w:w="7231" w:type="dxa"/>
            <w:gridSpan w:val="3"/>
            <w:vAlign w:val="center"/>
          </w:tcPr>
          <w:p w14:paraId="0C9C60C0">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1.规划名称：《新疆维吾尔自治区矿产资源总体规划（2021-2025年）》；</w:t>
            </w:r>
          </w:p>
          <w:p w14:paraId="66386A88">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审批机关：自然资源部；</w:t>
            </w:r>
          </w:p>
          <w:p w14:paraId="1D5BD9DF">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审批文号：自然资函〔2022〕1092号。</w:t>
            </w:r>
          </w:p>
          <w:p w14:paraId="67C1FA27">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2.规划名称：《新疆维吾尔自治区昌吉回族自治州矿产资源总体规划（2021-2025年）》；</w:t>
            </w:r>
          </w:p>
          <w:p w14:paraId="17A6A893">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规划编制单位：昌吉回族自治州人民政府。</w:t>
            </w:r>
          </w:p>
          <w:p w14:paraId="6F9DD349">
            <w:pPr>
              <w:pStyle w:val="23"/>
              <w:widowControl w:val="0"/>
              <w:kinsoku/>
              <w:spacing w:before="3" w:line="360" w:lineRule="auto"/>
              <w:ind w:right="3"/>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3.规划名称：《吐哈油田公司勘探与生产业务“十四五”发展规划》；</w:t>
            </w:r>
          </w:p>
          <w:p w14:paraId="14BF8717">
            <w:pPr>
              <w:pStyle w:val="2"/>
              <w:widowControl w:val="0"/>
              <w:kinsoku/>
              <w:ind w:firstLine="0" w:firstLineChars="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lang w:eastAsia="zh-CN"/>
              </w:rPr>
              <w:t>规划编制单位：中国石油天然气股份有限公司吐哈油田分公司。</w:t>
            </w:r>
          </w:p>
        </w:tc>
      </w:tr>
      <w:tr w14:paraId="1235D645">
        <w:trPr>
          <w:trHeight w:val="90" w:hRule="atLeast"/>
          <w:jc w:val="center"/>
        </w:trPr>
        <w:tc>
          <w:tcPr>
            <w:tcW w:w="1459" w:type="dxa"/>
            <w:vAlign w:val="center"/>
          </w:tcPr>
          <w:p w14:paraId="42404E45">
            <w:pPr>
              <w:widowControl w:val="0"/>
              <w:kinsoku/>
              <w:spacing w:line="4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规划环境影响评价情况</w:t>
            </w:r>
          </w:p>
        </w:tc>
        <w:tc>
          <w:tcPr>
            <w:tcW w:w="7231" w:type="dxa"/>
            <w:gridSpan w:val="3"/>
            <w:vAlign w:val="center"/>
          </w:tcPr>
          <w:p w14:paraId="38079717">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1.环评文件名称：《新疆维吾尔自治区矿产资源总体规划（2021-2025年）环境影响报告书》；</w:t>
            </w:r>
          </w:p>
          <w:p w14:paraId="163C2806">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审查机关：生态环境部；</w:t>
            </w:r>
          </w:p>
          <w:p w14:paraId="1CD8196A">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审查文件名称及文号：关于《新疆维吾尔自治区矿产资源总体规划（2021-2025年）环境影响报告书》的审查意见（环审〔2022〕124号）。</w:t>
            </w:r>
          </w:p>
          <w:p w14:paraId="2953C9EE">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环评文件名称：《新疆维吾尔自治区昌吉回族自治州矿产资源总体规划（2021—2025年）环境影响报告书》；</w:t>
            </w:r>
          </w:p>
          <w:p w14:paraId="0E7681CF">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审查机关：昌吉回族自治州生态环境局；</w:t>
            </w:r>
          </w:p>
          <w:p w14:paraId="735EAD93">
            <w:pPr>
              <w:widowControl w:val="0"/>
              <w:kinsoku/>
              <w:spacing w:line="360" w:lineRule="auto"/>
              <w:ind w:firstLine="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审查文件名称及文号：关于《新疆维吾尔自治区昌吉回族自治州矿产资源总体规划（2021—2025年）环境影响报告书》的审查意见（昌州环函〔2023〕40号）。</w:t>
            </w:r>
          </w:p>
        </w:tc>
      </w:tr>
      <w:tr w14:paraId="7E50216F">
        <w:trPr>
          <w:trHeight w:val="5041" w:hRule="atLeast"/>
          <w:jc w:val="center"/>
        </w:trPr>
        <w:tc>
          <w:tcPr>
            <w:tcW w:w="1459" w:type="dxa"/>
            <w:vAlign w:val="center"/>
          </w:tcPr>
          <w:p w14:paraId="3669BDE7">
            <w:pPr>
              <w:widowControl w:val="0"/>
              <w:kinsoku/>
              <w:spacing w:line="43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规划及规划环境影响评价符合性分析</w:t>
            </w:r>
          </w:p>
        </w:tc>
        <w:tc>
          <w:tcPr>
            <w:tcW w:w="7231" w:type="dxa"/>
            <w:gridSpan w:val="3"/>
            <w:vAlign w:val="center"/>
          </w:tcPr>
          <w:p w14:paraId="11A72089">
            <w:pPr>
              <w:pStyle w:val="27"/>
              <w:widowControl w:val="0"/>
              <w:kinsoku/>
              <w:spacing w:line="360" w:lineRule="auto"/>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1.与《新疆维吾尔自治区矿产资源总体规划（2021—2025年）》及规划环评的符合性分析</w:t>
            </w:r>
          </w:p>
          <w:p w14:paraId="5397E489">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新疆矿产资源丰富，是我国重要的能源资源开发区。规划将石油、天然气列为重点勘查开采矿种，鼓励勘探和开发；并且依据矿产资源分布特点及勘查开发利用现状，按照“深化北疆东疆，加快南疆勘查开发”的总体思路，划分了环准噶尔、环塔里木、阿尔泰、东准噶尔、西准噶尔、东天山、西天山、西南天山、西昆仑、东昆仑—阿尔金等“两环八带”十个勘查开发区。规划环评要求对产生的污染物采取相应的治理措施，对实施过程中产生的生态影响采取有效的减缓措施。</w:t>
            </w:r>
          </w:p>
          <w:p w14:paraId="05274187">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本项目拟部署的2口</w:t>
            </w:r>
            <w:r>
              <w:rPr>
                <w:rFonts w:hint="default" w:ascii="Times New Roman" w:hAnsi="Times New Roman" w:eastAsia="宋体" w:cs="Times New Roman"/>
                <w:color w:val="auto"/>
                <w:sz w:val="24"/>
                <w:szCs w:val="24"/>
                <w:lang w:val="en-US" w:eastAsia="zh-CN"/>
              </w:rPr>
              <w:t>评价井</w:t>
            </w:r>
            <w:r>
              <w:rPr>
                <w:rFonts w:hint="default" w:ascii="Times New Roman" w:hAnsi="Times New Roman" w:eastAsia="宋体" w:cs="Times New Roman"/>
                <w:color w:val="auto"/>
                <w:sz w:val="24"/>
                <w:szCs w:val="24"/>
                <w:lang w:eastAsia="zh-CN"/>
              </w:rPr>
              <w:t>占地位于“两环八带”十个勘查开发区”中的环准噶尔能源矿产勘查开发区，且属于陆地矿产资源地质勘查（含油气资源勘探），符合规划要求；</w:t>
            </w:r>
          </w:p>
          <w:p w14:paraId="4E097EC8">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同时，本项目严格按照《新疆维吾尔自治区矿产资源总体规划（2021-2025年）环境影响报告书》要求对施工期产生的“三废”、噪声及生态影响均提出了相应的治理或减缓措施，符合规划环评相关要求。</w:t>
            </w:r>
          </w:p>
          <w:p w14:paraId="5D5194F9">
            <w:pPr>
              <w:pStyle w:val="27"/>
              <w:widowControl w:val="0"/>
              <w:kinsoku/>
              <w:spacing w:line="360" w:lineRule="auto"/>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2.与《新疆维吾尔自治区昌吉回族自治州矿产资源总体规划（2021—2025年）》及规划环评的符合性分析</w:t>
            </w:r>
          </w:p>
          <w:p w14:paraId="1DCCF7E4">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规划》将石油、天然气列为鼓励勘察开采的矿种。以油气、煤、地热、硅质原料、饰面石材等矿产资源勘查开发为主，重点加强准噶尔南缘、准东冲断带等地区石油、天然气、页岩气等常规能源勘查，有序开发准东、准南等地区煤炭、煤层气资源，延伸煤炭产业链，推进煤电煤化工一体化等综合资源开发，助力天山北坡城市群经济高质量发展。拟部署</w:t>
            </w:r>
            <w:r>
              <w:rPr>
                <w:rFonts w:hint="eastAsia" w:ascii="Times New Roman" w:hAnsi="Times New Roman" w:eastAsia="宋体" w:cs="Times New Roman"/>
                <w:color w:val="auto"/>
                <w:sz w:val="24"/>
                <w:szCs w:val="24"/>
                <w:lang w:val="en-US" w:eastAsia="zh-CN"/>
              </w:rPr>
              <w:t>2口</w:t>
            </w:r>
            <w:r>
              <w:rPr>
                <w:rFonts w:hint="default" w:ascii="Times New Roman" w:hAnsi="Times New Roman" w:eastAsia="宋体" w:cs="Times New Roman"/>
                <w:color w:val="auto"/>
                <w:sz w:val="24"/>
                <w:szCs w:val="24"/>
                <w:lang w:val="en-US" w:eastAsia="zh-CN"/>
              </w:rPr>
              <w:t>评价井</w:t>
            </w:r>
            <w:r>
              <w:rPr>
                <w:rFonts w:hint="default" w:ascii="Times New Roman" w:hAnsi="Times New Roman" w:eastAsia="宋体" w:cs="Times New Roman"/>
                <w:color w:val="auto"/>
                <w:sz w:val="24"/>
                <w:szCs w:val="24"/>
                <w:lang w:eastAsia="zh-CN"/>
              </w:rPr>
              <w:t>位于</w:t>
            </w:r>
            <w:r>
              <w:rPr>
                <w:rFonts w:hint="default" w:ascii="Times New Roman" w:hAnsi="Times New Roman" w:eastAsia="宋体" w:cs="Times New Roman"/>
                <w:color w:val="auto"/>
                <w:sz w:val="24"/>
                <w:szCs w:val="24"/>
                <w:lang w:val="en-US" w:eastAsia="zh-CN"/>
              </w:rPr>
              <w:t>准噶尔盆地</w:t>
            </w:r>
            <w:r>
              <w:rPr>
                <w:rFonts w:hint="eastAsia" w:ascii="Times New Roman" w:hAnsi="Times New Roman" w:eastAsia="宋体" w:cs="Times New Roman"/>
                <w:color w:val="auto"/>
                <w:sz w:val="24"/>
                <w:szCs w:val="24"/>
                <w:lang w:val="en-US" w:eastAsia="zh-CN"/>
              </w:rPr>
              <w:t>东部隆起带北三台凸起阜26</w:t>
            </w:r>
            <w:r>
              <w:rPr>
                <w:rFonts w:hint="default" w:ascii="Times New Roman" w:hAnsi="Times New Roman" w:eastAsia="宋体" w:cs="Times New Roman"/>
                <w:color w:val="auto"/>
                <w:sz w:val="24"/>
                <w:szCs w:val="24"/>
                <w:lang w:val="en-US" w:eastAsia="zh-CN"/>
              </w:rPr>
              <w:t>块，</w:t>
            </w:r>
            <w:r>
              <w:rPr>
                <w:rFonts w:hint="default" w:ascii="Times New Roman" w:hAnsi="Times New Roman" w:eastAsia="宋体" w:cs="Times New Roman"/>
                <w:color w:val="auto"/>
                <w:sz w:val="24"/>
                <w:szCs w:val="24"/>
                <w:lang w:eastAsia="zh-CN"/>
              </w:rPr>
              <w:t>属于陆地石油勘探，符合规划相关要求。</w:t>
            </w:r>
          </w:p>
          <w:p w14:paraId="5B4E9ABA">
            <w:pPr>
              <w:pStyle w:val="27"/>
              <w:widowControl/>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施工期将采取严格的生态保护和恢复措施，严格控制施工区扰动范围，废水、废气、固体废物均按照国家标准进行分类收集、集中处理，尽可能减少生态扰动和环境污染。</w:t>
            </w:r>
          </w:p>
          <w:p w14:paraId="7192B48C">
            <w:pPr>
              <w:pStyle w:val="27"/>
              <w:widowControl/>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因此，本项目在选址、建设内容、生态保护措施等方面与《新疆维吾尔自治区昌吉回族自治州矿产资源总体规划（2021—2025年）》及其环境影响报告书的相关要求保持一致，符合规划及其规划环评的相关导向与管理要求。</w:t>
            </w:r>
          </w:p>
          <w:p w14:paraId="24255D0A">
            <w:pPr>
              <w:pStyle w:val="27"/>
              <w:widowControl w:val="0"/>
              <w:kinsoku/>
              <w:spacing w:line="360" w:lineRule="auto"/>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3.与《吐哈油田公司勘探与生产业务“十四五”发展规划》的符合性分析</w:t>
            </w:r>
          </w:p>
          <w:p w14:paraId="486F1DFA">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吐哈油田公司勘探与生产业务“十四五”发展规划》中“‘十四五’规划方案”中“规划部署内容”：（一）坚持资源战略，大打勘探发现进攻仗，筑牢高质量发展的根基。始终将勘探作为各项工作“龙头”，打好勘探发现进攻仗，发现并落实2～3个5000万吨级整装规模储量区，确保探明储量替换率石油&gt;1.5、天然气&gt;2.5。加大四新领域风险勘探和甩开预探，进一步解放思想，强化基础研究与整体研究，优选突破方向，落实有利勘探领域及区带6～8个，每年采纳风险井位3-5口，力争实现具有战略意义的重大突破。瞄准吐哈盆地中下侏罗系岩性油气藏、胜北致密气、石钱滩天然气、准东和三塘湖页岩油、阜康断裂带东部等领域和区带，加大集中勘探力度，努力将当前发现的好苗头转化为效益建产的规模储量，力争“十四五”新增探明石油储量1.35亿吨、天然气储量900亿方，为新区上产奠定坚实的资源基础。</w:t>
            </w:r>
          </w:p>
          <w:p w14:paraId="69DDD563">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本项目位于</w:t>
            </w:r>
            <w:r>
              <w:rPr>
                <w:rFonts w:hint="default" w:ascii="Times New Roman" w:hAnsi="Times New Roman" w:eastAsia="宋体" w:cs="Times New Roman"/>
                <w:color w:val="auto"/>
                <w:sz w:val="24"/>
                <w:szCs w:val="24"/>
                <w:lang w:val="en-US" w:eastAsia="zh-CN"/>
              </w:rPr>
              <w:t>准噶尔盆地</w:t>
            </w:r>
            <w:r>
              <w:rPr>
                <w:rFonts w:hint="eastAsia" w:ascii="Times New Roman" w:hAnsi="Times New Roman" w:eastAsia="宋体" w:cs="Times New Roman"/>
                <w:color w:val="auto"/>
                <w:sz w:val="24"/>
                <w:szCs w:val="24"/>
                <w:lang w:val="en-US" w:eastAsia="zh-CN"/>
              </w:rPr>
              <w:t>东部隆起带北三台凸起阜26</w:t>
            </w:r>
            <w:r>
              <w:rPr>
                <w:rFonts w:hint="default" w:ascii="Times New Roman" w:hAnsi="Times New Roman" w:eastAsia="宋体" w:cs="Times New Roman"/>
                <w:color w:val="auto"/>
                <w:sz w:val="24"/>
                <w:szCs w:val="24"/>
                <w:lang w:val="en-US" w:eastAsia="zh-CN"/>
              </w:rPr>
              <w:t>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pacing w:val="-2"/>
                <w:sz w:val="24"/>
                <w:szCs w:val="24"/>
                <w:lang w:eastAsia="zh-CN"/>
              </w:rPr>
              <w:t>属于《吐哈油田公司勘探与生产业务“十四五”发</w:t>
            </w:r>
            <w:r>
              <w:rPr>
                <w:rFonts w:hint="default" w:ascii="Times New Roman" w:hAnsi="Times New Roman" w:eastAsia="宋体" w:cs="Times New Roman"/>
                <w:color w:val="auto"/>
                <w:sz w:val="24"/>
                <w:szCs w:val="24"/>
                <w:lang w:eastAsia="zh-CN"/>
              </w:rPr>
              <w:t>展规划》重点开发区块，符合此规划要求。</w:t>
            </w:r>
          </w:p>
        </w:tc>
      </w:tr>
      <w:tr w14:paraId="260AA71D">
        <w:trPr>
          <w:trHeight w:val="876" w:hRule="atLeast"/>
          <w:jc w:val="center"/>
        </w:trPr>
        <w:tc>
          <w:tcPr>
            <w:tcW w:w="1459" w:type="dxa"/>
            <w:vAlign w:val="center"/>
          </w:tcPr>
          <w:p w14:paraId="631FA3CC">
            <w:pPr>
              <w:widowControl w:val="0"/>
              <w:kinsoku/>
              <w:spacing w:line="40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其他符合性分析</w:t>
            </w:r>
          </w:p>
        </w:tc>
        <w:tc>
          <w:tcPr>
            <w:tcW w:w="7231" w:type="dxa"/>
            <w:gridSpan w:val="3"/>
            <w:vAlign w:val="center"/>
          </w:tcPr>
          <w:p w14:paraId="4FDBA858">
            <w:pPr>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1.产业政策符合性分析</w:t>
            </w:r>
          </w:p>
          <w:p w14:paraId="38D60CA3">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根据国家发展和改革委员会发布的《产业结构调整指导目录（2024年本）》，本项目为勘探</w:t>
            </w:r>
            <w:r>
              <w:rPr>
                <w:rFonts w:hint="eastAsia" w:ascii="Times New Roman" w:hAnsi="Times New Roman" w:eastAsia="宋体" w:cs="Times New Roman"/>
                <w:color w:val="auto"/>
                <w:sz w:val="24"/>
                <w:szCs w:val="24"/>
                <w:lang w:val="en-US" w:eastAsia="zh-CN"/>
              </w:rPr>
              <w:t>评</w:t>
            </w:r>
            <w:r>
              <w:rPr>
                <w:rFonts w:hint="default" w:ascii="Times New Roman" w:hAnsi="Times New Roman" w:eastAsia="宋体" w:cs="Times New Roman"/>
                <w:color w:val="auto"/>
                <w:sz w:val="24"/>
                <w:szCs w:val="24"/>
                <w:lang w:eastAsia="zh-CN"/>
              </w:rPr>
              <w:t>井项目，属于第一类“鼓励类”中的第七条“石油天然气”中第1项“常规石油、天然气勘探与开采”类项目，为国家鼓励发展的产业。因此，本项目符合国家产业政策。</w:t>
            </w:r>
          </w:p>
          <w:p w14:paraId="06AFACCC">
            <w:pPr>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2.生态环境分区管控符合性分析</w:t>
            </w:r>
          </w:p>
          <w:p w14:paraId="1C84D0F3">
            <w:pPr>
              <w:widowControl w:val="0"/>
              <w:kinsoku/>
              <w:spacing w:line="360" w:lineRule="auto"/>
              <w:ind w:firstLine="480" w:firstLineChars="20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（1）与《新疆维吾尔自治区生态环境分区管控动态更新成果》（新环环评发〔2024〕157号）的符合性分析</w:t>
            </w:r>
          </w:p>
          <w:p w14:paraId="2E50AEA7">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项目与《新疆维吾尔自治区生态环境分区管控动态更新成果》（新环环评发〔2024〕157号）的符合性分析具体见表1-1。</w:t>
            </w:r>
          </w:p>
          <w:p w14:paraId="6849153B">
            <w:pPr>
              <w:widowControl w:val="0"/>
              <w:kinsoku/>
              <w:spacing w:line="4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表1-1 本项目与《新疆维吾尔自治区生态环境分区管控动态更新成果》（新环环评发〔2024〕157号）的符合性分析</w:t>
            </w:r>
          </w:p>
          <w:tbl>
            <w:tblPr>
              <w:tblStyle w:val="18"/>
              <w:tblW w:w="6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435"/>
              <w:gridCol w:w="435"/>
              <w:gridCol w:w="2582"/>
              <w:gridCol w:w="2032"/>
              <w:gridCol w:w="552"/>
            </w:tblGrid>
            <w:tr w14:paraId="151ED1F3">
              <w:trPr>
                <w:trHeight w:val="180" w:hRule="atLeast"/>
                <w:jc w:val="center"/>
              </w:trPr>
              <w:tc>
                <w:tcPr>
                  <w:tcW w:w="681" w:type="dxa"/>
                  <w:vAlign w:val="center"/>
                </w:tcPr>
                <w:p w14:paraId="56C06D19">
                  <w:pPr>
                    <w:pStyle w:val="23"/>
                    <w:widowControl w:val="0"/>
                    <w:kinsoku/>
                    <w:spacing w:before="65" w:line="228"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6"/>
                      <w:sz w:val="21"/>
                      <w:szCs w:val="21"/>
                    </w:rPr>
                    <w:t>文件名称</w:t>
                  </w:r>
                </w:p>
              </w:tc>
              <w:tc>
                <w:tcPr>
                  <w:tcW w:w="3452" w:type="dxa"/>
                  <w:gridSpan w:val="3"/>
                  <w:vAlign w:val="center"/>
                </w:tcPr>
                <w:p w14:paraId="2F262ACE">
                  <w:pPr>
                    <w:pStyle w:val="23"/>
                    <w:widowControl w:val="0"/>
                    <w:kinsoku/>
                    <w:spacing w:before="65" w:line="228"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pacing w:val="8"/>
                      <w:sz w:val="21"/>
                      <w:szCs w:val="21"/>
                      <w:lang w:eastAsia="zh-CN"/>
                    </w:rPr>
                    <w:t>环境管理政策有关要求</w:t>
                  </w:r>
                </w:p>
              </w:tc>
              <w:tc>
                <w:tcPr>
                  <w:tcW w:w="2032" w:type="dxa"/>
                  <w:vAlign w:val="center"/>
                </w:tcPr>
                <w:p w14:paraId="6644E8B1">
                  <w:pPr>
                    <w:pStyle w:val="23"/>
                    <w:widowControl w:val="0"/>
                    <w:kinsoku/>
                    <w:spacing w:before="65" w:line="228" w:lineRule="auto"/>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本项目情况</w:t>
                  </w:r>
                </w:p>
              </w:tc>
              <w:tc>
                <w:tcPr>
                  <w:tcW w:w="552" w:type="dxa"/>
                  <w:vAlign w:val="center"/>
                </w:tcPr>
                <w:p w14:paraId="7C9FAF8E">
                  <w:pPr>
                    <w:pStyle w:val="23"/>
                    <w:widowControl w:val="0"/>
                    <w:kinsoku/>
                    <w:spacing w:before="65" w:line="228" w:lineRule="auto"/>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符合性</w:t>
                  </w:r>
                </w:p>
              </w:tc>
            </w:tr>
            <w:tr w14:paraId="43CAF822">
              <w:trPr>
                <w:trHeight w:val="508" w:hRule="atLeast"/>
                <w:jc w:val="center"/>
              </w:trPr>
              <w:tc>
                <w:tcPr>
                  <w:tcW w:w="681" w:type="dxa"/>
                  <w:vMerge w:val="restart"/>
                  <w:vAlign w:val="center"/>
                </w:tcPr>
                <w:p w14:paraId="5A691864">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关于印发《新疆维吾尔自治区生态环境分区管控动态更新成果》的通知</w:t>
                  </w:r>
                </w:p>
              </w:tc>
              <w:tc>
                <w:tcPr>
                  <w:tcW w:w="435" w:type="dxa"/>
                  <w:vMerge w:val="restart"/>
                  <w:vAlign w:val="center"/>
                </w:tcPr>
                <w:p w14:paraId="0CD98840">
                  <w:pPr>
                    <w:widowControl w:val="0"/>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自治区总体管控</w:t>
                  </w:r>
                </w:p>
              </w:tc>
              <w:tc>
                <w:tcPr>
                  <w:tcW w:w="435" w:type="dxa"/>
                  <w:vMerge w:val="restart"/>
                  <w:vAlign w:val="center"/>
                </w:tcPr>
                <w:p w14:paraId="104CC383">
                  <w:pPr>
                    <w:widowControl w:val="0"/>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空间布局约束</w:t>
                  </w:r>
                </w:p>
                <w:p w14:paraId="6BF53E45">
                  <w:pPr>
                    <w:widowControl w:val="0"/>
                    <w:kinsoku/>
                    <w:spacing w:line="300" w:lineRule="exact"/>
                    <w:jc w:val="center"/>
                    <w:rPr>
                      <w:rFonts w:hint="default" w:ascii="Times New Roman" w:hAnsi="Times New Roman" w:eastAsia="宋体" w:cs="Times New Roman"/>
                      <w:color w:val="auto"/>
                    </w:rPr>
                  </w:pPr>
                </w:p>
              </w:tc>
              <w:tc>
                <w:tcPr>
                  <w:tcW w:w="2582" w:type="dxa"/>
                  <w:vAlign w:val="center"/>
                </w:tcPr>
                <w:p w14:paraId="3A62DA6C">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〔A1.1-1〕禁止新建、扩建《产业结构调整指导目录(2024年本)》中淘汰类项目。禁止引入《市场准入负面清单(2022年版)》禁止准入类事项。</w:t>
                  </w:r>
                </w:p>
              </w:tc>
              <w:tc>
                <w:tcPr>
                  <w:tcW w:w="2032" w:type="dxa"/>
                  <w:vAlign w:val="center"/>
                </w:tcPr>
                <w:p w14:paraId="7D6236B9">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本项目不属于《产业结构调整指导目录（2024年本）》中淘汰类项目，也不属于《市场准入负面清单(2025年版)》，禁止准入类事项。</w:t>
                  </w:r>
                </w:p>
              </w:tc>
              <w:tc>
                <w:tcPr>
                  <w:tcW w:w="552" w:type="dxa"/>
                  <w:vAlign w:val="center"/>
                </w:tcPr>
                <w:p w14:paraId="3BDA6113">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2D6D2161">
              <w:trPr>
                <w:trHeight w:val="760" w:hRule="atLeast"/>
                <w:jc w:val="center"/>
              </w:trPr>
              <w:tc>
                <w:tcPr>
                  <w:tcW w:w="681" w:type="dxa"/>
                  <w:vMerge w:val="continue"/>
                  <w:vAlign w:val="center"/>
                </w:tcPr>
                <w:p w14:paraId="5C9E0F36">
                  <w:pPr>
                    <w:widowControl w:val="0"/>
                    <w:kinsoku/>
                    <w:spacing w:line="300" w:lineRule="exact"/>
                    <w:jc w:val="center"/>
                    <w:rPr>
                      <w:rFonts w:hint="default" w:ascii="Times New Roman" w:hAnsi="Times New Roman" w:eastAsia="宋体" w:cs="Times New Roman"/>
                      <w:color w:val="auto"/>
                    </w:rPr>
                  </w:pPr>
                </w:p>
              </w:tc>
              <w:tc>
                <w:tcPr>
                  <w:tcW w:w="435" w:type="dxa"/>
                  <w:vMerge w:val="continue"/>
                  <w:vAlign w:val="center"/>
                </w:tcPr>
                <w:p w14:paraId="36BA62CF">
                  <w:pPr>
                    <w:widowControl w:val="0"/>
                    <w:kinsoku/>
                    <w:spacing w:line="300" w:lineRule="exact"/>
                    <w:jc w:val="center"/>
                    <w:rPr>
                      <w:rFonts w:hint="default" w:ascii="Times New Roman" w:hAnsi="Times New Roman" w:eastAsia="宋体" w:cs="Times New Roman"/>
                      <w:color w:val="auto"/>
                    </w:rPr>
                  </w:pPr>
                </w:p>
              </w:tc>
              <w:tc>
                <w:tcPr>
                  <w:tcW w:w="435" w:type="dxa"/>
                  <w:vMerge w:val="continue"/>
                  <w:vAlign w:val="center"/>
                </w:tcPr>
                <w:p w14:paraId="276D7106">
                  <w:pPr>
                    <w:widowControl w:val="0"/>
                    <w:kinsoku/>
                    <w:spacing w:line="300" w:lineRule="exact"/>
                    <w:jc w:val="center"/>
                    <w:rPr>
                      <w:rFonts w:hint="default" w:ascii="Times New Roman" w:hAnsi="Times New Roman" w:eastAsia="宋体" w:cs="Times New Roman"/>
                      <w:color w:val="auto"/>
                    </w:rPr>
                  </w:pPr>
                </w:p>
              </w:tc>
              <w:tc>
                <w:tcPr>
                  <w:tcW w:w="2582" w:type="dxa"/>
                  <w:vAlign w:val="center"/>
                </w:tcPr>
                <w:p w14:paraId="2C95B425">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2032" w:type="dxa"/>
                  <w:vAlign w:val="center"/>
                </w:tcPr>
                <w:p w14:paraId="062CB56E">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本项目建设活动符合《新疆维吾尔自治区矿产资源总体规划（2021-2025年）》规划要求，符合生态环境功能区划、国民经济发展规划、产业发展规划、国土空间规划等相关规划及重点生态功能区负面清单要求。</w:t>
                  </w:r>
                </w:p>
              </w:tc>
              <w:tc>
                <w:tcPr>
                  <w:tcW w:w="552" w:type="dxa"/>
                  <w:vAlign w:val="center"/>
                </w:tcPr>
                <w:p w14:paraId="7C38E319">
                  <w:pPr>
                    <w:widowControl w:val="0"/>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符合</w:t>
                  </w:r>
                </w:p>
              </w:tc>
            </w:tr>
            <w:tr w14:paraId="4F10B2D9">
              <w:trPr>
                <w:trHeight w:val="634" w:hRule="atLeast"/>
                <w:jc w:val="center"/>
              </w:trPr>
              <w:tc>
                <w:tcPr>
                  <w:tcW w:w="681" w:type="dxa"/>
                  <w:vMerge w:val="continue"/>
                  <w:vAlign w:val="center"/>
                </w:tcPr>
                <w:p w14:paraId="4EA66446">
                  <w:pPr>
                    <w:widowControl w:val="0"/>
                    <w:kinsoku/>
                    <w:spacing w:line="300" w:lineRule="exact"/>
                    <w:jc w:val="center"/>
                    <w:rPr>
                      <w:rFonts w:hint="default" w:ascii="Times New Roman" w:hAnsi="Times New Roman" w:eastAsia="宋体" w:cs="Times New Roman"/>
                      <w:color w:val="auto"/>
                    </w:rPr>
                  </w:pPr>
                </w:p>
              </w:tc>
              <w:tc>
                <w:tcPr>
                  <w:tcW w:w="435" w:type="dxa"/>
                  <w:vMerge w:val="continue"/>
                  <w:vAlign w:val="center"/>
                </w:tcPr>
                <w:p w14:paraId="6061A9B2">
                  <w:pPr>
                    <w:widowControl w:val="0"/>
                    <w:kinsoku/>
                    <w:spacing w:line="300" w:lineRule="exact"/>
                    <w:jc w:val="center"/>
                    <w:rPr>
                      <w:rFonts w:hint="default" w:ascii="Times New Roman" w:hAnsi="Times New Roman" w:eastAsia="宋体" w:cs="Times New Roman"/>
                      <w:color w:val="auto"/>
                    </w:rPr>
                  </w:pPr>
                </w:p>
              </w:tc>
              <w:tc>
                <w:tcPr>
                  <w:tcW w:w="435" w:type="dxa"/>
                  <w:vMerge w:val="continue"/>
                  <w:vAlign w:val="center"/>
                </w:tcPr>
                <w:p w14:paraId="1DB7EA75">
                  <w:pPr>
                    <w:widowControl w:val="0"/>
                    <w:kinsoku/>
                    <w:spacing w:line="300" w:lineRule="exact"/>
                    <w:jc w:val="center"/>
                    <w:rPr>
                      <w:rFonts w:hint="default" w:ascii="Times New Roman" w:hAnsi="Times New Roman" w:eastAsia="宋体" w:cs="Times New Roman"/>
                      <w:color w:val="auto"/>
                    </w:rPr>
                  </w:pPr>
                </w:p>
              </w:tc>
              <w:tc>
                <w:tcPr>
                  <w:tcW w:w="2582" w:type="dxa"/>
                  <w:vAlign w:val="center"/>
                </w:tcPr>
                <w:p w14:paraId="33AA4759">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2032" w:type="dxa"/>
                  <w:vAlign w:val="center"/>
                </w:tcPr>
                <w:p w14:paraId="267FE7B1">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本项目不占用基本农田和耕地，</w:t>
                  </w:r>
                  <w:r>
                    <w:rPr>
                      <w:rFonts w:hint="eastAsia" w:ascii="Times New Roman" w:hAnsi="Times New Roman" w:eastAsia="宋体" w:cs="Times New Roman"/>
                      <w:color w:val="auto"/>
                      <w:lang w:val="en-US" w:eastAsia="zh-CN"/>
                    </w:rPr>
                    <w:t>占地类型主要为灌木林地和沟渠</w:t>
                  </w:r>
                  <w:r>
                    <w:rPr>
                      <w:rFonts w:hint="default" w:ascii="Times New Roman" w:hAnsi="Times New Roman" w:eastAsia="宋体" w:cs="Times New Roman"/>
                      <w:color w:val="auto"/>
                      <w:lang w:eastAsia="zh-CN"/>
                    </w:rPr>
                    <w:t>，环评提出按照国家、自治区相关补偿要求进行补偿。</w:t>
                  </w:r>
                </w:p>
              </w:tc>
              <w:tc>
                <w:tcPr>
                  <w:tcW w:w="552" w:type="dxa"/>
                  <w:vAlign w:val="center"/>
                </w:tcPr>
                <w:p w14:paraId="13E83A49">
                  <w:pPr>
                    <w:widowControl w:val="0"/>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符合</w:t>
                  </w:r>
                </w:p>
              </w:tc>
            </w:tr>
            <w:tr w14:paraId="0B04CDB4">
              <w:trPr>
                <w:trHeight w:val="382" w:hRule="atLeast"/>
                <w:jc w:val="center"/>
              </w:trPr>
              <w:tc>
                <w:tcPr>
                  <w:tcW w:w="681" w:type="dxa"/>
                  <w:vMerge w:val="continue"/>
                  <w:vAlign w:val="center"/>
                </w:tcPr>
                <w:p w14:paraId="4EAA0EBD">
                  <w:pPr>
                    <w:widowControl w:val="0"/>
                    <w:kinsoku/>
                    <w:spacing w:line="300" w:lineRule="exact"/>
                    <w:jc w:val="center"/>
                    <w:rPr>
                      <w:rFonts w:hint="default" w:ascii="Times New Roman" w:hAnsi="Times New Roman" w:eastAsia="宋体" w:cs="Times New Roman"/>
                      <w:color w:val="auto"/>
                    </w:rPr>
                  </w:pPr>
                </w:p>
              </w:tc>
              <w:tc>
                <w:tcPr>
                  <w:tcW w:w="435" w:type="dxa"/>
                  <w:vMerge w:val="continue"/>
                  <w:vAlign w:val="center"/>
                </w:tcPr>
                <w:p w14:paraId="6D0455AE">
                  <w:pPr>
                    <w:widowControl w:val="0"/>
                    <w:kinsoku/>
                    <w:spacing w:line="300" w:lineRule="exact"/>
                    <w:jc w:val="center"/>
                    <w:rPr>
                      <w:rFonts w:hint="default" w:ascii="Times New Roman" w:hAnsi="Times New Roman" w:eastAsia="宋体" w:cs="Times New Roman"/>
                      <w:color w:val="auto"/>
                    </w:rPr>
                  </w:pPr>
                </w:p>
              </w:tc>
              <w:tc>
                <w:tcPr>
                  <w:tcW w:w="435" w:type="dxa"/>
                  <w:vMerge w:val="restart"/>
                  <w:vAlign w:val="center"/>
                </w:tcPr>
                <w:p w14:paraId="5A57D910">
                  <w:pPr>
                    <w:widowControl w:val="0"/>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污染物排放管理</w:t>
                  </w:r>
                </w:p>
              </w:tc>
              <w:tc>
                <w:tcPr>
                  <w:tcW w:w="2582" w:type="dxa"/>
                  <w:vAlign w:val="center"/>
                </w:tcPr>
                <w:p w14:paraId="772F2788">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〔A2.1-1〕新、改、扩建重点行业建设项目应符合“三线一单”、产业政策、区域环评、规划环评和行业环境准入管控要求。</w:t>
                  </w:r>
                </w:p>
              </w:tc>
              <w:tc>
                <w:tcPr>
                  <w:tcW w:w="2032" w:type="dxa"/>
                  <w:vAlign w:val="center"/>
                </w:tcPr>
                <w:p w14:paraId="670C7BBF">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本项目的建设符合生态环境分区管控要求，符合《产业结构调整指导目录（2024年本）》，符合《新疆维吾尔自治区矿产资源总体规划（2021-2025年）环境影响报告书》及审查意见。</w:t>
                  </w:r>
                </w:p>
              </w:tc>
              <w:tc>
                <w:tcPr>
                  <w:tcW w:w="552" w:type="dxa"/>
                  <w:vAlign w:val="center"/>
                </w:tcPr>
                <w:p w14:paraId="64F44B97">
                  <w:pPr>
                    <w:widowControl w:val="0"/>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符合</w:t>
                  </w:r>
                </w:p>
              </w:tc>
            </w:tr>
            <w:tr w14:paraId="196BADFD">
              <w:trPr>
                <w:trHeight w:val="760" w:hRule="atLeast"/>
                <w:jc w:val="center"/>
              </w:trPr>
              <w:tc>
                <w:tcPr>
                  <w:tcW w:w="681" w:type="dxa"/>
                  <w:vMerge w:val="continue"/>
                  <w:vAlign w:val="center"/>
                </w:tcPr>
                <w:p w14:paraId="525430CE">
                  <w:pPr>
                    <w:widowControl w:val="0"/>
                    <w:kinsoku/>
                    <w:spacing w:line="300" w:lineRule="exact"/>
                    <w:jc w:val="center"/>
                    <w:rPr>
                      <w:rFonts w:hint="default" w:ascii="Times New Roman" w:hAnsi="Times New Roman" w:eastAsia="宋体" w:cs="Times New Roman"/>
                      <w:color w:val="auto"/>
                    </w:rPr>
                  </w:pPr>
                </w:p>
              </w:tc>
              <w:tc>
                <w:tcPr>
                  <w:tcW w:w="435" w:type="dxa"/>
                  <w:vMerge w:val="continue"/>
                  <w:vAlign w:val="center"/>
                </w:tcPr>
                <w:p w14:paraId="02E13471">
                  <w:pPr>
                    <w:widowControl w:val="0"/>
                    <w:kinsoku/>
                    <w:spacing w:line="300" w:lineRule="exact"/>
                    <w:jc w:val="center"/>
                    <w:rPr>
                      <w:rFonts w:hint="default" w:ascii="Times New Roman" w:hAnsi="Times New Roman" w:eastAsia="宋体" w:cs="Times New Roman"/>
                      <w:color w:val="auto"/>
                    </w:rPr>
                  </w:pPr>
                </w:p>
              </w:tc>
              <w:tc>
                <w:tcPr>
                  <w:tcW w:w="435" w:type="dxa"/>
                  <w:vMerge w:val="continue"/>
                  <w:vAlign w:val="center"/>
                </w:tcPr>
                <w:p w14:paraId="14A59238">
                  <w:pPr>
                    <w:widowControl w:val="0"/>
                    <w:kinsoku/>
                    <w:spacing w:line="300" w:lineRule="exact"/>
                    <w:jc w:val="center"/>
                    <w:rPr>
                      <w:rFonts w:hint="default" w:ascii="Times New Roman" w:hAnsi="Times New Roman" w:eastAsia="宋体" w:cs="Times New Roman"/>
                      <w:color w:val="auto"/>
                    </w:rPr>
                  </w:pPr>
                </w:p>
              </w:tc>
              <w:tc>
                <w:tcPr>
                  <w:tcW w:w="2582" w:type="dxa"/>
                  <w:vAlign w:val="center"/>
                </w:tcPr>
                <w:p w14:paraId="2EE7268B">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〔A2.2-8〕严控土壤重金属污染，加强油(气)田开发土壤污染防治，以历史遗留工业企业污染场地为重点，开展土壤污染风险管控与修复工程。</w:t>
                  </w:r>
                </w:p>
              </w:tc>
              <w:tc>
                <w:tcPr>
                  <w:tcW w:w="2032" w:type="dxa"/>
                  <w:vAlign w:val="center"/>
                </w:tcPr>
                <w:p w14:paraId="74BE75D0">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本项目属于陆地矿产资源地质勘查，落地油100%回收，废防渗材料、</w:t>
                  </w:r>
                  <w:r>
                    <w:rPr>
                      <w:rFonts w:hint="eastAsia" w:ascii="Times New Roman" w:hAnsi="Times New Roman" w:eastAsia="宋体" w:cs="Times New Roman"/>
                      <w:color w:val="auto"/>
                      <w:lang w:val="en-US" w:eastAsia="zh-CN"/>
                    </w:rPr>
                    <w:t>机械设备</w:t>
                  </w:r>
                  <w:r>
                    <w:rPr>
                      <w:rFonts w:hint="default" w:ascii="Times New Roman" w:hAnsi="Times New Roman" w:eastAsia="宋体" w:cs="Times New Roman"/>
                      <w:color w:val="auto"/>
                      <w:lang w:eastAsia="zh-CN"/>
                    </w:rPr>
                    <w:t>废</w:t>
                  </w:r>
                  <w:r>
                    <w:rPr>
                      <w:rFonts w:hint="eastAsia" w:ascii="Times New Roman" w:hAnsi="Times New Roman" w:eastAsia="宋体" w:cs="Times New Roman"/>
                      <w:color w:val="auto"/>
                      <w:lang w:val="en-US" w:eastAsia="zh-CN"/>
                    </w:rPr>
                    <w:t>油</w:t>
                  </w:r>
                  <w:r>
                    <w:rPr>
                      <w:rFonts w:hint="default" w:ascii="Times New Roman" w:hAnsi="Times New Roman" w:eastAsia="宋体" w:cs="Times New Roman"/>
                      <w:color w:val="auto"/>
                      <w:lang w:eastAsia="zh-CN"/>
                    </w:rPr>
                    <w:t>、废油桶集中收集后暂存于危废贮存点，定期委托有资质的单位处理。固废均得到了合理处置，不会对土壤环境造成严重的污染。</w:t>
                  </w:r>
                </w:p>
              </w:tc>
              <w:tc>
                <w:tcPr>
                  <w:tcW w:w="552" w:type="dxa"/>
                  <w:vAlign w:val="center"/>
                </w:tcPr>
                <w:p w14:paraId="49BAAC2A">
                  <w:pPr>
                    <w:widowControl w:val="0"/>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符合</w:t>
                  </w:r>
                </w:p>
              </w:tc>
            </w:tr>
            <w:tr w14:paraId="22834A4F">
              <w:trPr>
                <w:trHeight w:val="634" w:hRule="atLeast"/>
                <w:jc w:val="center"/>
              </w:trPr>
              <w:tc>
                <w:tcPr>
                  <w:tcW w:w="681" w:type="dxa"/>
                  <w:vMerge w:val="continue"/>
                  <w:vAlign w:val="center"/>
                </w:tcPr>
                <w:p w14:paraId="52FE7782">
                  <w:pPr>
                    <w:widowControl w:val="0"/>
                    <w:kinsoku/>
                    <w:spacing w:line="300" w:lineRule="exact"/>
                    <w:jc w:val="center"/>
                    <w:rPr>
                      <w:rFonts w:hint="default" w:ascii="Times New Roman" w:hAnsi="Times New Roman" w:eastAsia="宋体" w:cs="Times New Roman"/>
                      <w:color w:val="auto"/>
                    </w:rPr>
                  </w:pPr>
                </w:p>
              </w:tc>
              <w:tc>
                <w:tcPr>
                  <w:tcW w:w="435" w:type="dxa"/>
                  <w:vMerge w:val="continue"/>
                  <w:vAlign w:val="center"/>
                </w:tcPr>
                <w:p w14:paraId="073BA3B3">
                  <w:pPr>
                    <w:widowControl w:val="0"/>
                    <w:kinsoku/>
                    <w:spacing w:line="300" w:lineRule="exact"/>
                    <w:jc w:val="center"/>
                    <w:rPr>
                      <w:rFonts w:hint="default" w:ascii="Times New Roman" w:hAnsi="Times New Roman" w:eastAsia="宋体" w:cs="Times New Roman"/>
                      <w:color w:val="auto"/>
                    </w:rPr>
                  </w:pPr>
                </w:p>
              </w:tc>
              <w:tc>
                <w:tcPr>
                  <w:tcW w:w="435" w:type="dxa"/>
                  <w:vAlign w:val="center"/>
                </w:tcPr>
                <w:p w14:paraId="1603CBF8">
                  <w:pPr>
                    <w:widowControl w:val="0"/>
                    <w:kinsoku/>
                    <w:spacing w:line="30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环境风险防控</w:t>
                  </w:r>
                </w:p>
              </w:tc>
              <w:tc>
                <w:tcPr>
                  <w:tcW w:w="2582" w:type="dxa"/>
                  <w:vAlign w:val="center"/>
                </w:tcPr>
                <w:p w14:paraId="2AB49694">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2032" w:type="dxa"/>
                  <w:vAlign w:val="center"/>
                </w:tcPr>
                <w:p w14:paraId="6D01690E">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本环评对项目可能产生的环境风险进行了分析，并提出了相应的风险防范措施和应急措施。</w:t>
                  </w:r>
                </w:p>
              </w:tc>
              <w:tc>
                <w:tcPr>
                  <w:tcW w:w="552" w:type="dxa"/>
                  <w:vAlign w:val="center"/>
                </w:tcPr>
                <w:p w14:paraId="6A282E40">
                  <w:pPr>
                    <w:widowControl w:val="0"/>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符合</w:t>
                  </w:r>
                </w:p>
              </w:tc>
            </w:tr>
            <w:tr w14:paraId="3109F53A">
              <w:trPr>
                <w:trHeight w:val="1268" w:hRule="atLeast"/>
                <w:jc w:val="center"/>
              </w:trPr>
              <w:tc>
                <w:tcPr>
                  <w:tcW w:w="681" w:type="dxa"/>
                  <w:vMerge w:val="continue"/>
                  <w:vAlign w:val="center"/>
                </w:tcPr>
                <w:p w14:paraId="21C6723F">
                  <w:pPr>
                    <w:widowControl w:val="0"/>
                    <w:kinsoku/>
                    <w:spacing w:line="300" w:lineRule="exact"/>
                    <w:jc w:val="center"/>
                    <w:rPr>
                      <w:rFonts w:hint="default" w:ascii="Times New Roman" w:hAnsi="Times New Roman" w:eastAsia="宋体" w:cs="Times New Roman"/>
                      <w:color w:val="auto"/>
                    </w:rPr>
                  </w:pPr>
                </w:p>
              </w:tc>
              <w:tc>
                <w:tcPr>
                  <w:tcW w:w="435" w:type="dxa"/>
                  <w:vMerge w:val="continue"/>
                  <w:vAlign w:val="center"/>
                </w:tcPr>
                <w:p w14:paraId="5519A18B">
                  <w:pPr>
                    <w:widowControl w:val="0"/>
                    <w:kinsoku/>
                    <w:spacing w:line="300" w:lineRule="exact"/>
                    <w:jc w:val="center"/>
                    <w:rPr>
                      <w:rFonts w:hint="default" w:ascii="Times New Roman" w:hAnsi="Times New Roman" w:eastAsia="宋体" w:cs="Times New Roman"/>
                      <w:color w:val="auto"/>
                    </w:rPr>
                  </w:pPr>
                </w:p>
              </w:tc>
              <w:tc>
                <w:tcPr>
                  <w:tcW w:w="435" w:type="dxa"/>
                  <w:vAlign w:val="center"/>
                </w:tcPr>
                <w:p w14:paraId="53573659">
                  <w:pPr>
                    <w:widowControl w:val="0"/>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资源利用效率</w:t>
                  </w:r>
                </w:p>
              </w:tc>
              <w:tc>
                <w:tcPr>
                  <w:tcW w:w="2582" w:type="dxa"/>
                  <w:vAlign w:val="center"/>
                </w:tcPr>
                <w:p w14:paraId="53CCE0E7">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2032" w:type="dxa"/>
                  <w:vAlign w:val="center"/>
                </w:tcPr>
                <w:p w14:paraId="75DCDF52">
                  <w:pPr>
                    <w:widowControl w:val="0"/>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本项目属于陆地矿产资源地质勘查，含油污泥、沾油废防渗材料、</w:t>
                  </w:r>
                  <w:r>
                    <w:rPr>
                      <w:rFonts w:hint="eastAsia" w:ascii="Times New Roman" w:hAnsi="Times New Roman" w:eastAsia="宋体" w:cs="Times New Roman"/>
                      <w:color w:val="auto"/>
                      <w:lang w:val="en-US" w:eastAsia="zh-CN"/>
                    </w:rPr>
                    <w:t>机械设备废油</w:t>
                  </w:r>
                  <w:r>
                    <w:rPr>
                      <w:rFonts w:hint="default" w:ascii="Times New Roman" w:hAnsi="Times New Roman" w:eastAsia="宋体" w:cs="Times New Roman"/>
                      <w:color w:val="auto"/>
                      <w:lang w:eastAsia="zh-CN"/>
                    </w:rPr>
                    <w:t>、废油桶均为危废。集中收集后暂存于危废贮存点，定期委托有资质的单位处理。落地油100%回收。固废均得到了合理处置。</w:t>
                  </w:r>
                </w:p>
              </w:tc>
              <w:tc>
                <w:tcPr>
                  <w:tcW w:w="552" w:type="dxa"/>
                  <w:vAlign w:val="center"/>
                </w:tcPr>
                <w:p w14:paraId="35705216">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bl>
          <w:p w14:paraId="661186BD">
            <w:pPr>
              <w:widowControl w:val="0"/>
              <w:kinsoku/>
              <w:spacing w:line="360" w:lineRule="auto"/>
              <w:ind w:firstLine="480" w:firstLineChars="20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（2）与《关于发布昌吉回族自治州生态环境分区管控动态更新成果的公告》的符合性分析</w:t>
            </w:r>
          </w:p>
          <w:p w14:paraId="496AE43D">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①生态保护红线</w:t>
            </w:r>
          </w:p>
          <w:p w14:paraId="24C2E15D">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用地周围无国家公园、自然保护区、森林公园的生态保育区和核心景观区、地质公园的地质遗迹保护区、世界自然遗产的核心区和缓冲区、湿地公园的湿地保育区和恢复重建区、饮用水水源地一级保护区、水产种质资源保护区的核心区以及其他类型禁止开发区的核心保护区域。项目建设不会占用生态红线保护区。</w:t>
            </w:r>
          </w:p>
          <w:p w14:paraId="634C6129">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②环境质量底线</w:t>
            </w:r>
          </w:p>
          <w:p w14:paraId="04383A77">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本项目为陆地石油勘探项目，无运营期；钻试期产生的污染影响随施工结束而停止，对区域环境质量影响小，不会突破区域环境质量底线。本工程建设不会改变环境功能区，能够严守环境质量底线。</w:t>
            </w:r>
          </w:p>
          <w:p w14:paraId="7C278F2A">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③资源利用上线</w:t>
            </w:r>
          </w:p>
          <w:p w14:paraId="14AC3758">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本工程为陆地矿产资源勘查项目，无运营期。本工程占地包括井场、临时道路及其生活营地等，均为临时占地，项目建设占用土地资源相对区域资源利用较少；符合资源利用上限的要求。</w:t>
            </w:r>
          </w:p>
          <w:p w14:paraId="2DD3F2D4">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④生态环境准入清单</w:t>
            </w:r>
          </w:p>
          <w:p w14:paraId="371769E9">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关于发布昌吉回族自治州生态环境分区管控动态更新成果的公告》，自治州共划定193个环境管控单元，分为优先保护单元94个、重点管控单元92个和一般管控单元7个，实施分类管控。昌吉州生态环境分区管控单元图见附图1。</w:t>
            </w:r>
          </w:p>
          <w:p w14:paraId="1846E0A5">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highlight w:val="none"/>
                <w:lang w:eastAsia="zh-CN"/>
              </w:rPr>
              <w:t>经自治区生态环境分区管控平台校核，</w:t>
            </w:r>
            <w:r>
              <w:rPr>
                <w:rFonts w:ascii="Times New Roman" w:hAnsi="Times New Roman" w:eastAsia="宋体" w:cs="Times New Roman"/>
                <w:color w:val="auto"/>
                <w:sz w:val="24"/>
                <w:szCs w:val="24"/>
                <w:highlight w:val="none"/>
                <w:lang w:eastAsia="zh-CN"/>
              </w:rPr>
              <w:t>项目阜</w:t>
            </w:r>
            <w:r>
              <w:rPr>
                <w:rFonts w:hint="eastAsia" w:ascii="Times New Roman" w:hAnsi="Times New Roman" w:eastAsia="宋体" w:cs="Times New Roman"/>
                <w:color w:val="auto"/>
                <w:sz w:val="24"/>
                <w:szCs w:val="24"/>
                <w:highlight w:val="none"/>
                <w:lang w:val="en-US" w:eastAsia="zh-CN"/>
              </w:rPr>
              <w:t>2602</w:t>
            </w:r>
            <w:r>
              <w:rPr>
                <w:rFonts w:ascii="Times New Roman" w:hAnsi="Times New Roman" w:eastAsia="宋体" w:cs="Times New Roman"/>
                <w:color w:val="auto"/>
                <w:sz w:val="24"/>
                <w:szCs w:val="24"/>
                <w:highlight w:val="none"/>
                <w:lang w:eastAsia="zh-CN"/>
              </w:rPr>
              <w:t>、阜</w:t>
            </w:r>
            <w:r>
              <w:rPr>
                <w:rFonts w:hint="eastAsia" w:ascii="Times New Roman" w:hAnsi="Times New Roman" w:eastAsia="宋体" w:cs="Times New Roman"/>
                <w:color w:val="auto"/>
                <w:sz w:val="24"/>
                <w:szCs w:val="24"/>
                <w:highlight w:val="none"/>
                <w:lang w:val="en-US" w:eastAsia="zh-CN"/>
              </w:rPr>
              <w:t>2602-1井场</w:t>
            </w:r>
            <w:r>
              <w:rPr>
                <w:rFonts w:ascii="Times New Roman" w:hAnsi="Times New Roman" w:eastAsia="宋体" w:cs="Times New Roman"/>
                <w:color w:val="auto"/>
                <w:sz w:val="24"/>
                <w:szCs w:val="24"/>
                <w:highlight w:val="none"/>
                <w:lang w:eastAsia="zh-CN"/>
              </w:rPr>
              <w:t>均位于昌吉回族自治州环境管控单元生态环境准入清单动态更新成果（重点管控单元ZH65230220008-阜康市限采区），其具体分析见表1-2</w:t>
            </w:r>
            <w:r>
              <w:rPr>
                <w:rFonts w:hint="default" w:ascii="Times New Roman" w:hAnsi="Times New Roman" w:eastAsia="宋体" w:cs="Times New Roman"/>
                <w:color w:val="auto"/>
                <w:sz w:val="24"/>
                <w:szCs w:val="24"/>
                <w:lang w:eastAsia="zh-CN"/>
              </w:rPr>
              <w:t>。</w:t>
            </w:r>
          </w:p>
          <w:p w14:paraId="7224DAFA">
            <w:pPr>
              <w:widowControl w:val="0"/>
              <w:kinsoku/>
              <w:spacing w:line="4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表1-2 项目与《昌吉回族自治州生态环境分区管控方案》符合性分析一览表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495"/>
              <w:gridCol w:w="2172"/>
              <w:gridCol w:w="1984"/>
              <w:gridCol w:w="447"/>
            </w:tblGrid>
            <w:tr w14:paraId="152EDC30">
              <w:trPr>
                <w:jc w:val="center"/>
              </w:trPr>
              <w:tc>
                <w:tcPr>
                  <w:tcW w:w="1361" w:type="pct"/>
                  <w:vAlign w:val="center"/>
                </w:tcPr>
                <w:p w14:paraId="2B5EC53B">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管控单元名称</w:t>
                  </w:r>
                </w:p>
              </w:tc>
              <w:tc>
                <w:tcPr>
                  <w:tcW w:w="353" w:type="pct"/>
                  <w:vAlign w:val="center"/>
                </w:tcPr>
                <w:p w14:paraId="70A7E06D">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环境管控</w:t>
                  </w:r>
                </w:p>
              </w:tc>
              <w:tc>
                <w:tcPr>
                  <w:tcW w:w="1550" w:type="pct"/>
                  <w:vAlign w:val="center"/>
                </w:tcPr>
                <w:p w14:paraId="5B3DB41C">
                  <w:pPr>
                    <w:widowControl w:val="0"/>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管控要求</w:t>
                  </w:r>
                </w:p>
              </w:tc>
              <w:tc>
                <w:tcPr>
                  <w:tcW w:w="1416" w:type="pct"/>
                  <w:vAlign w:val="center"/>
                </w:tcPr>
                <w:p w14:paraId="5B15F1DC">
                  <w:pPr>
                    <w:widowControl w:val="0"/>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项目情况</w:t>
                  </w:r>
                </w:p>
              </w:tc>
              <w:tc>
                <w:tcPr>
                  <w:tcW w:w="319" w:type="pct"/>
                  <w:vAlign w:val="center"/>
                </w:tcPr>
                <w:p w14:paraId="30431A23">
                  <w:pPr>
                    <w:widowControl w:val="0"/>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相符性</w:t>
                  </w:r>
                </w:p>
              </w:tc>
            </w:tr>
            <w:tr w14:paraId="65B1C27B">
              <w:trPr>
                <w:jc w:val="center"/>
              </w:trPr>
              <w:tc>
                <w:tcPr>
                  <w:tcW w:w="1361" w:type="pct"/>
                  <w:vMerge w:val="restart"/>
                  <w:vAlign w:val="center"/>
                </w:tcPr>
                <w:p w14:paraId="767532AB">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昌吉回族自治州重点管控单元ZH65230220008-阜康市限采区</w:t>
                  </w:r>
                </w:p>
              </w:tc>
              <w:tc>
                <w:tcPr>
                  <w:tcW w:w="353" w:type="pct"/>
                  <w:vAlign w:val="center"/>
                </w:tcPr>
                <w:p w14:paraId="039339E8">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空间布局约束</w:t>
                  </w:r>
                </w:p>
              </w:tc>
              <w:tc>
                <w:tcPr>
                  <w:tcW w:w="1550" w:type="pct"/>
                  <w:vAlign w:val="center"/>
                </w:tcPr>
                <w:p w14:paraId="5AFFFA16">
                  <w:pPr>
                    <w:widowControl w:val="0"/>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1、严格控制缺水地区、水污染严重区域和敏感区域高耗水、高污染行业发展。</w:t>
                  </w:r>
                </w:p>
              </w:tc>
              <w:tc>
                <w:tcPr>
                  <w:tcW w:w="1416" w:type="pct"/>
                  <w:vAlign w:val="center"/>
                </w:tcPr>
                <w:p w14:paraId="4EBCE7B9">
                  <w:pPr>
                    <w:keepNext w:val="0"/>
                    <w:keepLines/>
                    <w:pageBreakBefore/>
                    <w:widowControl/>
                    <w:kinsoku w:val="0"/>
                    <w:wordWrap w:val="0"/>
                    <w:overflowPunct/>
                    <w:topLinePunct w:val="0"/>
                    <w:autoSpaceDE w:val="0"/>
                    <w:autoSpaceDN w:val="0"/>
                    <w:bidi w:val="0"/>
                    <w:adjustRightInd w:val="0"/>
                    <w:snapToGrid w:val="0"/>
                    <w:spacing w:line="240" w:lineRule="auto"/>
                    <w:ind w:left="0" w:leftChars="0" w:right="0" w:rightChars="0"/>
                    <w:jc w:val="both"/>
                    <w:textAlignment w:val="baseline"/>
                    <w:rPr>
                      <w:rFonts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rPr>
                    <w:t>本项目属于油气资源勘探项目（陆地矿产资源地质勘查），不属于高耗水、高污染行业 。单井钻井期仅90天，用水量较小且主要从就近村庄拉运，不涉及当地地下水开采 。项目选址不涉及自然保护区等环境敏感区，符合空间布局约束要求 。</w:t>
                  </w:r>
                </w:p>
              </w:tc>
              <w:tc>
                <w:tcPr>
                  <w:tcW w:w="319" w:type="pct"/>
                  <w:vAlign w:val="center"/>
                </w:tcPr>
                <w:p w14:paraId="0DA0D5C3">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01C8CFFA">
              <w:trPr>
                <w:jc w:val="center"/>
              </w:trPr>
              <w:tc>
                <w:tcPr>
                  <w:tcW w:w="1361" w:type="pct"/>
                  <w:vMerge w:val="continue"/>
                  <w:vAlign w:val="center"/>
                </w:tcPr>
                <w:p w14:paraId="2A2FC7C2">
                  <w:pPr>
                    <w:widowControl w:val="0"/>
                    <w:kinsoku/>
                    <w:jc w:val="center"/>
                    <w:rPr>
                      <w:rFonts w:ascii="Times New Roman" w:hAnsi="Times New Roman" w:eastAsia="宋体" w:cs="Times New Roman"/>
                      <w:color w:val="auto"/>
                      <w:highlight w:val="none"/>
                      <w:lang w:eastAsia="zh-CN"/>
                    </w:rPr>
                  </w:pPr>
                </w:p>
              </w:tc>
              <w:tc>
                <w:tcPr>
                  <w:tcW w:w="353" w:type="pct"/>
                  <w:vAlign w:val="center"/>
                </w:tcPr>
                <w:p w14:paraId="44504CF4">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污染物排放管控</w:t>
                  </w:r>
                </w:p>
              </w:tc>
              <w:tc>
                <w:tcPr>
                  <w:tcW w:w="1550" w:type="pct"/>
                </w:tcPr>
                <w:p w14:paraId="72FACC9A">
                  <w:pPr>
                    <w:widowControl w:val="0"/>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支持企业积极实施节水技术改造，加强工业园区污水集中处理设施运行管理，加快再生水回用设施建设，提升园区水资源循环利用水平。</w:t>
                  </w:r>
                </w:p>
              </w:tc>
              <w:tc>
                <w:tcPr>
                  <w:tcW w:w="1416" w:type="pct"/>
                  <w:vAlign w:val="center"/>
                </w:tcPr>
                <w:p w14:paraId="6CA3EC52">
                  <w:pPr>
                    <w:keepNext w:val="0"/>
                    <w:keepLines/>
                    <w:pageBreakBefore/>
                    <w:widowControl/>
                    <w:kinsoku w:val="0"/>
                    <w:wordWrap w:val="0"/>
                    <w:overflowPunct/>
                    <w:topLinePunct w:val="0"/>
                    <w:autoSpaceDE w:val="0"/>
                    <w:autoSpaceDN w:val="0"/>
                    <w:bidi w:val="0"/>
                    <w:adjustRightInd w:val="0"/>
                    <w:snapToGrid w:val="0"/>
                    <w:spacing w:line="240" w:lineRule="auto"/>
                    <w:ind w:left="0" w:leftChars="0" w:right="0" w:rightChars="0"/>
                    <w:jc w:val="both"/>
                    <w:textAlignment w:val="baseline"/>
                    <w:rPr>
                      <w:rFonts w:ascii="Times New Roman" w:hAnsi="Times New Roman" w:eastAsia="宋体" w:cs="Times New Roman"/>
                      <w:b/>
                      <w:bCs/>
                      <w:color w:val="auto"/>
                      <w:highlight w:val="none"/>
                      <w:lang w:eastAsia="zh-CN"/>
                    </w:rPr>
                  </w:pPr>
                  <w:r>
                    <w:rPr>
                      <w:rFonts w:hint="default" w:ascii="Times New Roman" w:hAnsi="Times New Roman" w:eastAsia="宋体" w:cs="Times New Roman"/>
                      <w:color w:val="auto"/>
                      <w:sz w:val="21"/>
                      <w:szCs w:val="21"/>
                    </w:rPr>
                    <w:t>本项目采用“泥浆不落地”工艺，钻井岩屑与废弃泥浆分类收集处置，从源头防止地表污染渗漏 。试油期产生的洗井废水和压裂返排液全部拉运至吉</w:t>
                  </w:r>
                  <w:r>
                    <w:rPr>
                      <w:rFonts w:hint="eastAsia"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rPr>
                    <w:t>脱水站，经处理达标后回注油藏，实现废液零排放 。钻井过程采用水泥固井，有效隔离含水层与井筒，保护地下水环境 。</w:t>
                  </w:r>
                </w:p>
              </w:tc>
              <w:tc>
                <w:tcPr>
                  <w:tcW w:w="319" w:type="pct"/>
                  <w:vAlign w:val="center"/>
                </w:tcPr>
                <w:p w14:paraId="0A4320BF">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3A21D32D">
              <w:trPr>
                <w:jc w:val="center"/>
              </w:trPr>
              <w:tc>
                <w:tcPr>
                  <w:tcW w:w="1361" w:type="pct"/>
                  <w:vMerge w:val="continue"/>
                  <w:vAlign w:val="center"/>
                </w:tcPr>
                <w:p w14:paraId="74F13C1D">
                  <w:pPr>
                    <w:widowControl w:val="0"/>
                    <w:kinsoku/>
                    <w:jc w:val="center"/>
                    <w:rPr>
                      <w:rFonts w:ascii="Times New Roman" w:hAnsi="Times New Roman" w:eastAsia="宋体" w:cs="Times New Roman"/>
                      <w:color w:val="auto"/>
                      <w:highlight w:val="none"/>
                      <w:lang w:eastAsia="zh-CN"/>
                    </w:rPr>
                  </w:pPr>
                </w:p>
              </w:tc>
              <w:tc>
                <w:tcPr>
                  <w:tcW w:w="353" w:type="pct"/>
                  <w:vAlign w:val="center"/>
                </w:tcPr>
                <w:p w14:paraId="69CCD417">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环境风险防控</w:t>
                  </w:r>
                </w:p>
              </w:tc>
              <w:tc>
                <w:tcPr>
                  <w:tcW w:w="1550" w:type="pct"/>
                  <w:vAlign w:val="center"/>
                </w:tcPr>
                <w:p w14:paraId="65352C9A">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color w:val="auto"/>
                      <w:highlight w:val="none"/>
                      <w:lang w:eastAsia="zh-CN"/>
                    </w:rPr>
                    <w:t>1、强化重点区域地下水环境风险管控。对化学品生产企业、工业集聚区、尾矿库、矿山开采区、危险废物处置场、垃圾填埋场等地下水污染源及周边区域，逐步开展地下水环境状况调查评估，加强风险管控。</w:t>
                  </w:r>
                </w:p>
              </w:tc>
              <w:tc>
                <w:tcPr>
                  <w:tcW w:w="1416" w:type="pct"/>
                  <w:vAlign w:val="center"/>
                </w:tcPr>
                <w:p w14:paraId="36240A98">
                  <w:pPr>
                    <w:keepNext w:val="0"/>
                    <w:keepLines/>
                    <w:pageBreakBefore/>
                    <w:widowControl/>
                    <w:kinsoku w:val="0"/>
                    <w:wordWrap w:val="0"/>
                    <w:overflowPunct/>
                    <w:topLinePunct w:val="0"/>
                    <w:autoSpaceDE w:val="0"/>
                    <w:autoSpaceDN w:val="0"/>
                    <w:bidi w:val="0"/>
                    <w:adjustRightInd w:val="0"/>
                    <w:snapToGrid w:val="0"/>
                    <w:spacing w:line="240" w:lineRule="auto"/>
                    <w:ind w:left="0" w:leftChars="0" w:right="0" w:rightChars="0"/>
                    <w:jc w:val="both"/>
                    <w:textAlignment w:val="baseline"/>
                    <w:rPr>
                      <w:rFonts w:ascii="Times New Roman" w:hAnsi="Times New Roman" w:eastAsia="宋体" w:cs="Times New Roman"/>
                      <w:b/>
                      <w:bCs/>
                      <w:color w:val="auto"/>
                      <w:highlight w:val="none"/>
                      <w:lang w:eastAsia="zh-CN"/>
                    </w:rPr>
                  </w:pPr>
                  <w:r>
                    <w:rPr>
                      <w:rFonts w:hint="default" w:ascii="Times New Roman" w:hAnsi="Times New Roman" w:eastAsia="宋体" w:cs="Times New Roman"/>
                      <w:color w:val="auto"/>
                      <w:sz w:val="21"/>
                      <w:szCs w:val="21"/>
                    </w:rPr>
                    <w:t>项目实行分区防渗，柴油罐区、危废暂存区等重点区域均铺设HDPE防渗膜 。配备完善的井控系统防止井喷事故，并将项目纳入吐哈油田准东采油管理区突发环境事件应急预案统一管理 。完井后及时进行封井处理及生态恢复，确保无地下水环境污染遗留问题 。</w:t>
                  </w:r>
                </w:p>
              </w:tc>
              <w:tc>
                <w:tcPr>
                  <w:tcW w:w="319" w:type="pct"/>
                  <w:vAlign w:val="center"/>
                </w:tcPr>
                <w:p w14:paraId="5891210D">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300BFBD5">
              <w:trPr>
                <w:jc w:val="center"/>
              </w:trPr>
              <w:tc>
                <w:tcPr>
                  <w:tcW w:w="1361" w:type="pct"/>
                  <w:vMerge w:val="continue"/>
                  <w:vAlign w:val="center"/>
                </w:tcPr>
                <w:p w14:paraId="210EB252">
                  <w:pPr>
                    <w:widowControl w:val="0"/>
                    <w:kinsoku/>
                    <w:jc w:val="center"/>
                    <w:rPr>
                      <w:rFonts w:ascii="Times New Roman" w:hAnsi="Times New Roman" w:eastAsia="宋体" w:cs="Times New Roman"/>
                      <w:color w:val="auto"/>
                      <w:highlight w:val="none"/>
                      <w:lang w:eastAsia="zh-CN"/>
                    </w:rPr>
                  </w:pPr>
                </w:p>
              </w:tc>
              <w:tc>
                <w:tcPr>
                  <w:tcW w:w="353" w:type="pct"/>
                  <w:vAlign w:val="center"/>
                </w:tcPr>
                <w:p w14:paraId="75A317E9">
                  <w:pPr>
                    <w:widowControl w:val="0"/>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资源开发效率要求</w:t>
                  </w:r>
                </w:p>
              </w:tc>
              <w:tc>
                <w:tcPr>
                  <w:tcW w:w="1550" w:type="pct"/>
                  <w:vAlign w:val="center"/>
                </w:tcPr>
                <w:p w14:paraId="35D6D29A">
                  <w:pPr>
                    <w:widowControl w:val="0"/>
                    <w:kinsoku/>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1、县级以上人民政府水行政主管部门应当合理配置地表水、地下水，从严控制地下水取水总量。</w:t>
                  </w:r>
                  <w:r>
                    <w:rPr>
                      <w:rFonts w:ascii="Times New Roman" w:hAnsi="Times New Roman" w:eastAsia="宋体" w:cs="Times New Roman"/>
                      <w:color w:val="auto"/>
                      <w:highlight w:val="none"/>
                      <w:lang w:eastAsia="zh-CN"/>
                    </w:rPr>
                    <w:br w:type="textWrapping"/>
                  </w:r>
                  <w:r>
                    <w:rPr>
                      <w:rFonts w:ascii="Times New Roman" w:hAnsi="Times New Roman" w:eastAsia="宋体" w:cs="Times New Roman"/>
                      <w:color w:val="auto"/>
                      <w:highlight w:val="none"/>
                      <w:lang w:eastAsia="zh-CN"/>
                    </w:rPr>
                    <w:t>2、严守水资源开发利用控制、用水效率控制和水功能区限制纳污“三条红线”，严格实行区域用水总量和强度控制，强化用水定额管理。</w:t>
                  </w:r>
                  <w:r>
                    <w:rPr>
                      <w:rFonts w:ascii="Times New Roman" w:hAnsi="Times New Roman" w:eastAsia="宋体" w:cs="Times New Roman"/>
                      <w:color w:val="auto"/>
                      <w:highlight w:val="none"/>
                    </w:rPr>
                    <w:t>推进地下水超采综合治理。</w:t>
                  </w:r>
                </w:p>
              </w:tc>
              <w:tc>
                <w:tcPr>
                  <w:tcW w:w="1416" w:type="pct"/>
                  <w:vAlign w:val="center"/>
                </w:tcPr>
                <w:p w14:paraId="47DAA957">
                  <w:pPr>
                    <w:keepNext w:val="0"/>
                    <w:keepLines/>
                    <w:pageBreakBefore/>
                    <w:widowControl/>
                    <w:kinsoku w:val="0"/>
                    <w:wordWrap w:val="0"/>
                    <w:overflowPunct/>
                    <w:topLinePunct w:val="0"/>
                    <w:autoSpaceDE w:val="0"/>
                    <w:autoSpaceDN w:val="0"/>
                    <w:bidi w:val="0"/>
                    <w:adjustRightInd w:val="0"/>
                    <w:snapToGrid w:val="0"/>
                    <w:spacing w:line="240" w:lineRule="auto"/>
                    <w:ind w:left="0" w:leftChars="0" w:right="0" w:rightChars="0"/>
                    <w:jc w:val="both"/>
                    <w:textAlignment w:val="baseline"/>
                    <w:rPr>
                      <w:rFonts w:ascii="Times New Roman" w:hAnsi="Times New Roman" w:eastAsia="宋体" w:cs="Times New Roman"/>
                      <w:b/>
                      <w:bCs/>
                      <w:color w:val="auto"/>
                      <w:highlight w:val="none"/>
                      <w:lang w:eastAsia="zh-CN"/>
                    </w:rPr>
                  </w:pPr>
                  <w:r>
                    <w:rPr>
                      <w:rFonts w:hint="default" w:ascii="Times New Roman" w:hAnsi="Times New Roman" w:eastAsia="宋体" w:cs="Times New Roman"/>
                      <w:color w:val="auto"/>
                      <w:sz w:val="21"/>
                      <w:szCs w:val="21"/>
                    </w:rPr>
                    <w:t>本工程钻试期新鲜水消耗总量较小，且供水由罐车就近拉运，不设自备井，不直接开采当地地下水，不会突破区域水资源利用上限 。项目中钻井液循环利用，洗井及压裂废水回注油藏，大幅减少了新鲜水消耗，符合节约资源及用水总量控制的要求 。</w:t>
                  </w:r>
                </w:p>
              </w:tc>
              <w:tc>
                <w:tcPr>
                  <w:tcW w:w="319" w:type="pct"/>
                  <w:vAlign w:val="center"/>
                </w:tcPr>
                <w:p w14:paraId="4D2E24C9">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61DD9FE6">
            <w:pPr>
              <w:widowControl/>
              <w:kinsoku/>
              <w:spacing w:line="360" w:lineRule="auto"/>
              <w:ind w:firstLine="480" w:firstLineChars="200"/>
              <w:jc w:val="both"/>
              <w:rPr>
                <w:rFonts w:hint="default" w:ascii="Times New Roman" w:hAnsi="Times New Roman" w:eastAsia="宋体" w:cs="Times New Roman"/>
                <w:b/>
                <w:bCs/>
                <w:color w:val="auto"/>
                <w:kern w:val="2"/>
                <w:sz w:val="24"/>
                <w:szCs w:val="24"/>
                <w:lang w:eastAsia="zh-CN"/>
              </w:rPr>
            </w:pPr>
            <w:r>
              <w:rPr>
                <w:rFonts w:hint="default" w:ascii="Times New Roman" w:hAnsi="Times New Roman" w:eastAsia="宋体" w:cs="Times New Roman"/>
                <w:color w:val="auto"/>
                <w:sz w:val="24"/>
                <w:szCs w:val="24"/>
                <w:lang w:eastAsia="zh-CN" w:bidi="ar"/>
              </w:rPr>
              <w:t>综上，本项目建设符合生态环境分区管控要求。</w:t>
            </w:r>
          </w:p>
          <w:p w14:paraId="0E4C3657">
            <w:pPr>
              <w:pStyle w:val="23"/>
              <w:widowControl w:val="0"/>
              <w:numPr>
                <w:ilvl w:val="0"/>
                <w:numId w:val="3"/>
              </w:numPr>
              <w:kinsoku/>
              <w:spacing w:before="42" w:line="360" w:lineRule="auto"/>
              <w:jc w:val="both"/>
              <w:rPr>
                <w:rFonts w:hint="default" w:ascii="Times New Roman" w:hAnsi="Times New Roman" w:eastAsia="宋体" w:cs="Times New Roman"/>
                <w:b/>
                <w:bCs/>
                <w:color w:val="auto"/>
                <w:kern w:val="2"/>
                <w:sz w:val="24"/>
                <w:szCs w:val="24"/>
                <w:lang w:eastAsia="zh-CN"/>
              </w:rPr>
            </w:pPr>
            <w:r>
              <w:rPr>
                <w:rFonts w:hint="default" w:ascii="Times New Roman" w:hAnsi="Times New Roman" w:eastAsia="宋体" w:cs="Times New Roman"/>
                <w:b/>
                <w:bCs/>
                <w:color w:val="auto"/>
                <w:kern w:val="2"/>
                <w:sz w:val="24"/>
                <w:szCs w:val="24"/>
                <w:lang w:eastAsia="zh-CN"/>
              </w:rPr>
              <w:t>与《石油天然气开采业污染防治技术政策》的符合性</w:t>
            </w:r>
          </w:p>
          <w:p w14:paraId="1CCD5DC8">
            <w:pPr>
              <w:pStyle w:val="23"/>
              <w:widowControl w:val="0"/>
              <w:kinsoku/>
              <w:spacing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项目与《石油天然气开采业污染防治技术政策》的符合性分析见表1-3。</w:t>
            </w:r>
          </w:p>
          <w:p w14:paraId="0D9381A6">
            <w:pPr>
              <w:widowControl w:val="0"/>
              <w:kinsoku/>
              <w:spacing w:line="4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表1-3 项目与《石油天然气开采业污染防治技术政策》</w:t>
            </w:r>
          </w:p>
          <w:p w14:paraId="6EE1756C">
            <w:pPr>
              <w:widowControl w:val="0"/>
              <w:kinsoku/>
              <w:spacing w:line="40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符合性分析一览表</w:t>
            </w:r>
          </w:p>
          <w:tbl>
            <w:tblPr>
              <w:tblStyle w:val="22"/>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822"/>
              <w:gridCol w:w="2906"/>
              <w:gridCol w:w="269"/>
            </w:tblGrid>
            <w:tr w14:paraId="32B602DC">
              <w:trPr>
                <w:trHeight w:val="1027" w:hRule="atLeast"/>
                <w:jc w:val="center"/>
              </w:trPr>
              <w:tc>
                <w:tcPr>
                  <w:tcW w:w="2731" w:type="pct"/>
                  <w:vAlign w:val="center"/>
                </w:tcPr>
                <w:p w14:paraId="5A62B24F">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《石油天然气开采业污染防治技术政策》</w:t>
                  </w:r>
                </w:p>
              </w:tc>
              <w:tc>
                <w:tcPr>
                  <w:tcW w:w="2076" w:type="pct"/>
                  <w:vAlign w:val="center"/>
                </w:tcPr>
                <w:p w14:paraId="175F6721">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本项目</w:t>
                  </w:r>
                </w:p>
              </w:tc>
              <w:tc>
                <w:tcPr>
                  <w:tcW w:w="192" w:type="pct"/>
                  <w:vAlign w:val="center"/>
                </w:tcPr>
                <w:p w14:paraId="42041C14">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符合性</w:t>
                  </w:r>
                </w:p>
              </w:tc>
            </w:tr>
            <w:tr w14:paraId="350319D2">
              <w:trPr>
                <w:trHeight w:val="2801" w:hRule="atLeast"/>
                <w:jc w:val="center"/>
              </w:trPr>
              <w:tc>
                <w:tcPr>
                  <w:tcW w:w="2731" w:type="pct"/>
                  <w:vAlign w:val="center"/>
                </w:tcPr>
                <w:p w14:paraId="0B98725D">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2076" w:type="pct"/>
                  <w:vAlign w:val="center"/>
                </w:tcPr>
                <w:p w14:paraId="7268155A">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本项目试油期井下作业废水</w:t>
                  </w:r>
                  <w:r>
                    <w:rPr>
                      <w:rFonts w:hint="default" w:ascii="Times New Roman" w:hAnsi="Times New Roman" w:eastAsia="宋体" w:cs="Times New Roman"/>
                      <w:color w:val="auto"/>
                      <w:highlight w:val="none"/>
                      <w:lang w:eastAsia="zh-CN"/>
                    </w:rPr>
                    <w:t>拉运到</w:t>
                  </w:r>
                  <w:r>
                    <w:rPr>
                      <w:rFonts w:hint="eastAsia" w:ascii="Times New Roman" w:hAnsi="Times New Roman" w:eastAsia="宋体" w:cs="Times New Roman"/>
                      <w:color w:val="auto"/>
                      <w:highlight w:val="none"/>
                      <w:lang w:val="en-US" w:eastAsia="zh-CN"/>
                    </w:rPr>
                    <w:t>吉28脱水站</w:t>
                  </w:r>
                  <w:r>
                    <w:rPr>
                      <w:rFonts w:hint="default" w:ascii="Times New Roman" w:hAnsi="Times New Roman" w:eastAsia="宋体" w:cs="Times New Roman"/>
                      <w:color w:val="auto"/>
                      <w:highlight w:val="none"/>
                      <w:lang w:eastAsia="zh-CN"/>
                    </w:rPr>
                    <w:t>并</w:t>
                  </w:r>
                  <w:r>
                    <w:rPr>
                      <w:rFonts w:hint="default" w:ascii="Times New Roman" w:hAnsi="Times New Roman" w:eastAsia="宋体" w:cs="Times New Roman"/>
                      <w:color w:val="auto"/>
                      <w:lang w:eastAsia="zh-CN"/>
                    </w:rPr>
                    <w:t>处理达标后，全部回注油藏，工业废水回用率大于90%；本环评对项目可能产生的环境风险进行了分析，并提出了相应的风险防范措施和应急预案。</w:t>
                  </w:r>
                </w:p>
              </w:tc>
              <w:tc>
                <w:tcPr>
                  <w:tcW w:w="192" w:type="pct"/>
                  <w:vAlign w:val="center"/>
                </w:tcPr>
                <w:p w14:paraId="1E08070C">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24948336">
              <w:trPr>
                <w:trHeight w:val="1415" w:hRule="atLeast"/>
                <w:jc w:val="center"/>
              </w:trPr>
              <w:tc>
                <w:tcPr>
                  <w:tcW w:w="2731" w:type="pct"/>
                  <w:vAlign w:val="center"/>
                </w:tcPr>
                <w:p w14:paraId="53026B8C">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油气田开发不得使用含有国际公约禁用化学物质的油气田化学剂，逐步淘汰微毒及以上油气田化学剂，鼓励使用无毒油气田化学剂。</w:t>
                  </w:r>
                </w:p>
              </w:tc>
              <w:tc>
                <w:tcPr>
                  <w:tcW w:w="2076" w:type="pct"/>
                  <w:vAlign w:val="center"/>
                </w:tcPr>
                <w:p w14:paraId="1EE4C708">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本项目不涉及禁用的化学物质。</w:t>
                  </w:r>
                </w:p>
              </w:tc>
              <w:tc>
                <w:tcPr>
                  <w:tcW w:w="192" w:type="pct"/>
                  <w:vAlign w:val="center"/>
                </w:tcPr>
                <w:p w14:paraId="49B44A55">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0D158C73">
              <w:trPr>
                <w:trHeight w:val="1415" w:hRule="atLeast"/>
                <w:jc w:val="center"/>
              </w:trPr>
              <w:tc>
                <w:tcPr>
                  <w:tcW w:w="2731" w:type="pct"/>
                  <w:vAlign w:val="center"/>
                </w:tcPr>
                <w:p w14:paraId="707A6A68">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落地原油。其中井下作业过程中应配备泄油器、刮油器等。落地原油应及时回收，落地原油回收率应达到100%。</w:t>
                  </w:r>
                </w:p>
              </w:tc>
              <w:tc>
                <w:tcPr>
                  <w:tcW w:w="2076" w:type="pct"/>
                  <w:vAlign w:val="center"/>
                </w:tcPr>
                <w:p w14:paraId="2351160A">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井下作业时带罐，井口敷设防渗膜，防止产生落地油。产生的落地油，及时回收，做到100%回收。</w:t>
                  </w:r>
                </w:p>
              </w:tc>
              <w:tc>
                <w:tcPr>
                  <w:tcW w:w="192" w:type="pct"/>
                  <w:vAlign w:val="center"/>
                </w:tcPr>
                <w:p w14:paraId="78C733A7">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1071DEC0">
              <w:trPr>
                <w:trHeight w:val="1072" w:hRule="atLeast"/>
                <w:jc w:val="center"/>
              </w:trPr>
              <w:tc>
                <w:tcPr>
                  <w:tcW w:w="2731" w:type="pct"/>
                  <w:vAlign w:val="center"/>
                </w:tcPr>
                <w:p w14:paraId="0EB9D825">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在钻井过程中，鼓励采用环境友好的钻井液体系。</w:t>
                  </w:r>
                </w:p>
              </w:tc>
              <w:tc>
                <w:tcPr>
                  <w:tcW w:w="2076" w:type="pct"/>
                  <w:vAlign w:val="center"/>
                </w:tcPr>
                <w:p w14:paraId="0AA5B80B">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本项目使用的钻井液为环境友好钻井液体系，</w:t>
                  </w:r>
                  <w:r>
                    <w:rPr>
                      <w:rFonts w:hint="default" w:ascii="Times New Roman" w:hAnsi="Times New Roman" w:eastAsia="宋体" w:cs="Times New Roman"/>
                      <w:color w:val="auto"/>
                      <w:lang w:val="en-US" w:eastAsia="zh-CN"/>
                    </w:rPr>
                    <w:t>钻井泥浆外运处置</w:t>
                  </w:r>
                  <w:r>
                    <w:rPr>
                      <w:rFonts w:hint="default" w:ascii="Times New Roman" w:hAnsi="Times New Roman" w:eastAsia="宋体" w:cs="Times New Roman"/>
                      <w:color w:val="auto"/>
                      <w:lang w:eastAsia="zh-CN"/>
                    </w:rPr>
                    <w:t>。</w:t>
                  </w:r>
                </w:p>
              </w:tc>
              <w:tc>
                <w:tcPr>
                  <w:tcW w:w="192" w:type="pct"/>
                  <w:vAlign w:val="center"/>
                </w:tcPr>
                <w:p w14:paraId="1292451B">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5CF4D740">
              <w:trPr>
                <w:trHeight w:val="2110" w:hRule="atLeast"/>
                <w:jc w:val="center"/>
              </w:trPr>
              <w:tc>
                <w:tcPr>
                  <w:tcW w:w="2731" w:type="pct"/>
                  <w:vAlign w:val="center"/>
                </w:tcPr>
                <w:p w14:paraId="7B7B193A">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在井下作业过程中，酸化液和压裂液宜集中配制，酸化残液、压裂残液和返排液应回收利用或进行无害化处置，压裂放喷返排入罐率应达到100%。</w:t>
                  </w:r>
                </w:p>
              </w:tc>
              <w:tc>
                <w:tcPr>
                  <w:tcW w:w="2076" w:type="pct"/>
                  <w:vAlign w:val="center"/>
                </w:tcPr>
                <w:p w14:paraId="3C83D017">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本项目井下作业过程中，严格按照环境保护规定的要求，带罐作业，100%回收。井下作业废水不外排，作业单位自带回收罐回收作业废水，运至</w:t>
                  </w:r>
                  <w:r>
                    <w:rPr>
                      <w:rFonts w:hint="eastAsia" w:ascii="Times New Roman" w:hAnsi="Times New Roman" w:eastAsia="宋体" w:cs="Times New Roman"/>
                      <w:color w:val="auto"/>
                      <w:lang w:val="en-US" w:eastAsia="zh-CN"/>
                    </w:rPr>
                    <w:t>吉28脱水站</w:t>
                  </w:r>
                  <w:r>
                    <w:rPr>
                      <w:rFonts w:hint="default" w:ascii="Times New Roman" w:hAnsi="Times New Roman" w:eastAsia="宋体" w:cs="Times New Roman"/>
                      <w:color w:val="auto"/>
                      <w:lang w:eastAsia="zh-CN"/>
                    </w:rPr>
                    <w:t>处理达标后回注。</w:t>
                  </w:r>
                </w:p>
              </w:tc>
              <w:tc>
                <w:tcPr>
                  <w:tcW w:w="192" w:type="pct"/>
                  <w:vAlign w:val="center"/>
                </w:tcPr>
                <w:p w14:paraId="27D2CC50">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7C931F33">
              <w:trPr>
                <w:trHeight w:val="1072" w:hRule="atLeast"/>
                <w:jc w:val="center"/>
              </w:trPr>
              <w:tc>
                <w:tcPr>
                  <w:tcW w:w="2731" w:type="pct"/>
                  <w:vAlign w:val="center"/>
                </w:tcPr>
                <w:p w14:paraId="37F2A950">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在钻井和井下作业过程中，鼓励污油、污水进入生产流程循环利用。</w:t>
                  </w:r>
                </w:p>
              </w:tc>
              <w:tc>
                <w:tcPr>
                  <w:tcW w:w="2076" w:type="pct"/>
                  <w:vAlign w:val="center"/>
                </w:tcPr>
                <w:p w14:paraId="73562D96">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本项目井下</w:t>
                  </w:r>
                  <w:r>
                    <w:rPr>
                      <w:rFonts w:hint="default" w:ascii="Times New Roman" w:hAnsi="Times New Roman" w:eastAsia="宋体" w:cs="Times New Roman"/>
                      <w:color w:val="auto"/>
                      <w:highlight w:val="none"/>
                      <w:lang w:eastAsia="zh-CN"/>
                    </w:rPr>
                    <w:t>作业废水拉运</w:t>
                  </w:r>
                  <w:r>
                    <w:rPr>
                      <w:rFonts w:hint="default" w:ascii="Times New Roman" w:hAnsi="Times New Roman" w:eastAsia="宋体" w:cs="Times New Roman"/>
                      <w:color w:val="auto"/>
                      <w:highlight w:val="none"/>
                      <w:lang w:val="en-US" w:eastAsia="zh-CN"/>
                    </w:rPr>
                    <w:t>至</w:t>
                  </w:r>
                  <w:r>
                    <w:rPr>
                      <w:rFonts w:hint="eastAsia" w:ascii="Times New Roman" w:hAnsi="Times New Roman" w:eastAsia="宋体" w:cs="Times New Roman"/>
                      <w:color w:val="auto"/>
                      <w:highlight w:val="none"/>
                      <w:lang w:val="en-US" w:eastAsia="zh-CN"/>
                    </w:rPr>
                    <w:t>吉28脱水站</w:t>
                  </w:r>
                  <w:r>
                    <w:rPr>
                      <w:rFonts w:hint="default" w:ascii="Times New Roman" w:hAnsi="Times New Roman" w:eastAsia="宋体" w:cs="Times New Roman"/>
                      <w:color w:val="auto"/>
                      <w:highlight w:val="none"/>
                      <w:lang w:eastAsia="zh-CN"/>
                    </w:rPr>
                    <w:t>并处理</w:t>
                  </w:r>
                  <w:r>
                    <w:rPr>
                      <w:rFonts w:hint="default" w:ascii="Times New Roman" w:hAnsi="Times New Roman" w:eastAsia="宋体" w:cs="Times New Roman"/>
                      <w:color w:val="auto"/>
                      <w:lang w:eastAsia="zh-CN"/>
                    </w:rPr>
                    <w:t>达标后，全部回注油藏；落地油100%回收。</w:t>
                  </w:r>
                </w:p>
              </w:tc>
              <w:tc>
                <w:tcPr>
                  <w:tcW w:w="192" w:type="pct"/>
                  <w:vAlign w:val="center"/>
                </w:tcPr>
                <w:p w14:paraId="4C1FD74A">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419FDF74">
              <w:trPr>
                <w:trHeight w:val="2456" w:hRule="atLeast"/>
                <w:jc w:val="center"/>
              </w:trPr>
              <w:tc>
                <w:tcPr>
                  <w:tcW w:w="2731" w:type="pct"/>
                  <w:vAlign w:val="center"/>
                </w:tcPr>
                <w:p w14:paraId="3320E841">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076" w:type="pct"/>
                  <w:vAlign w:val="center"/>
                </w:tcPr>
                <w:p w14:paraId="107AE1DA">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井下作业必须带罐（车）操作，将落地油100%进行回收。</w:t>
                  </w:r>
                </w:p>
              </w:tc>
              <w:tc>
                <w:tcPr>
                  <w:tcW w:w="192" w:type="pct"/>
                  <w:vAlign w:val="center"/>
                </w:tcPr>
                <w:p w14:paraId="553732AC">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073D1F85">
              <w:trPr>
                <w:trHeight w:val="1530" w:hRule="atLeast"/>
                <w:jc w:val="center"/>
              </w:trPr>
              <w:tc>
                <w:tcPr>
                  <w:tcW w:w="2731" w:type="pct"/>
                  <w:tcBorders>
                    <w:bottom w:val="single" w:color="000000" w:sz="6" w:space="0"/>
                  </w:tcBorders>
                  <w:vAlign w:val="center"/>
                </w:tcPr>
                <w:p w14:paraId="2D4C3F5B">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加强油气田建设、勘探开发过程的环境监督管理。</w:t>
                  </w:r>
                </w:p>
              </w:tc>
              <w:tc>
                <w:tcPr>
                  <w:tcW w:w="2076" w:type="pct"/>
                  <w:tcBorders>
                    <w:bottom w:val="single" w:color="000000" w:sz="6" w:space="0"/>
                  </w:tcBorders>
                  <w:vAlign w:val="center"/>
                </w:tcPr>
                <w:p w14:paraId="61275435">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建设单位已建立HSE管理体系，</w:t>
                  </w:r>
                  <w:r>
                    <w:rPr>
                      <w:rFonts w:hint="eastAsia" w:ascii="Times New Roman" w:hAnsi="Times New Roman" w:eastAsia="宋体" w:cs="Times New Roman"/>
                      <w:color w:val="auto"/>
                      <w:lang w:val="en-US" w:eastAsia="zh-CN"/>
                    </w:rPr>
                    <w:t>设置了专门环保人员</w:t>
                  </w:r>
                  <w:r>
                    <w:rPr>
                      <w:rFonts w:hint="default" w:ascii="Times New Roman" w:hAnsi="Times New Roman" w:eastAsia="宋体" w:cs="Times New Roman"/>
                      <w:color w:val="auto"/>
                      <w:lang w:eastAsia="zh-CN"/>
                    </w:rPr>
                    <w:t>对钻井、试油过程中的环境影响及减缓措施进行监督管理。</w:t>
                  </w:r>
                </w:p>
              </w:tc>
              <w:tc>
                <w:tcPr>
                  <w:tcW w:w="192" w:type="pct"/>
                  <w:tcBorders>
                    <w:bottom w:val="single" w:color="000000" w:sz="6" w:space="0"/>
                  </w:tcBorders>
                  <w:vAlign w:val="center"/>
                </w:tcPr>
                <w:p w14:paraId="3CD66067">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bl>
          <w:p w14:paraId="4EEEEB76">
            <w:pPr>
              <w:pStyle w:val="23"/>
              <w:widowControl w:val="0"/>
              <w:kinsoku/>
              <w:spacing w:before="42" w:line="360" w:lineRule="auto"/>
              <w:jc w:val="both"/>
              <w:rPr>
                <w:rFonts w:hint="default" w:ascii="Times New Roman" w:hAnsi="Times New Roman" w:eastAsia="宋体" w:cs="Times New Roman"/>
                <w:b/>
                <w:bCs/>
                <w:color w:val="auto"/>
                <w:kern w:val="2"/>
                <w:sz w:val="24"/>
                <w:szCs w:val="24"/>
                <w:lang w:eastAsia="zh-CN"/>
              </w:rPr>
            </w:pPr>
            <w:r>
              <w:rPr>
                <w:rFonts w:hint="default" w:ascii="Times New Roman" w:hAnsi="Times New Roman" w:eastAsia="宋体" w:cs="Times New Roman"/>
                <w:b/>
                <w:bCs/>
                <w:color w:val="auto"/>
                <w:kern w:val="2"/>
                <w:sz w:val="24"/>
                <w:szCs w:val="24"/>
                <w:lang w:eastAsia="zh-CN"/>
              </w:rPr>
              <w:t>4.与《关于进一步加强石油天然气行业环境影响评价管理的通知》（环办环评函〔2019〕910号）符合性分析</w:t>
            </w:r>
          </w:p>
          <w:p w14:paraId="4D8D5ADD">
            <w:pPr>
              <w:pStyle w:val="23"/>
              <w:widowControl w:val="0"/>
              <w:tabs>
                <w:tab w:val="left" w:pos="121"/>
              </w:tabs>
              <w:kinsoku/>
              <w:spacing w:before="6" w:line="376" w:lineRule="auto"/>
              <w:ind w:left="1" w:firstLine="420"/>
              <w:jc w:val="both"/>
              <w:rPr>
                <w:rFonts w:hint="default" w:ascii="Times New Roman" w:hAnsi="Times New Roman" w:eastAsia="宋体" w:cs="Times New Roman"/>
                <w:color w:val="auto"/>
                <w:spacing w:val="5"/>
                <w:sz w:val="24"/>
                <w:szCs w:val="24"/>
                <w:lang w:eastAsia="zh-CN"/>
              </w:rPr>
            </w:pPr>
            <w:r>
              <w:rPr>
                <w:rFonts w:hint="default" w:ascii="Times New Roman" w:hAnsi="Times New Roman" w:eastAsia="宋体" w:cs="Times New Roman"/>
                <w:color w:val="auto"/>
                <w:spacing w:val="5"/>
                <w:sz w:val="24"/>
                <w:szCs w:val="24"/>
                <w:lang w:eastAsia="zh-CN"/>
              </w:rPr>
              <w:t>《关于进一步加强石油天然气行业环境影响评价管理的通知》（环办环评函〔2019〕910号）对陆地油气开采建设项目环境影响评价分类管理、评价井与开发井管理边界、依托工程可行性论证、废水回注环境管理及生态环境保护措施等提出了明确要求。其中，对未确定产能建设规模的陆地油气开采新区块，建设评价井应依法编制环境影响报告表；对已进入产能建设阶段的区块，原则上不得再以勘探名义继续开展单井环评。</w:t>
            </w:r>
            <w:r>
              <w:rPr>
                <w:rFonts w:hint="default" w:ascii="Times New Roman" w:hAnsi="Times New Roman" w:eastAsia="宋体" w:cs="Times New Roman"/>
                <w:color w:val="auto"/>
                <w:spacing w:val="5"/>
                <w:sz w:val="24"/>
                <w:szCs w:val="24"/>
                <w:lang w:eastAsia="zh-CN"/>
              </w:rPr>
              <w:br w:type="textWrapping"/>
            </w:r>
            <w:r>
              <w:rPr>
                <w:rFonts w:hint="default" w:ascii="Times New Roman" w:hAnsi="Times New Roman" w:eastAsia="宋体" w:cs="Times New Roman"/>
                <w:color w:val="auto"/>
                <w:spacing w:val="5"/>
                <w:sz w:val="24"/>
                <w:szCs w:val="24"/>
                <w:lang w:eastAsia="zh-CN"/>
              </w:rPr>
              <w:t>本项目为准噶尔盆地吉康油田阜2602井、阜2602-1井钻试工程，现阶段建设目的为通过钻井、试油获取地层及产能评价参数，尚未形成区块产能建设方案，项目性质属于评价井钻试工程。经核实，项目周边无已开发老区块，区域内仅有前期已实施的阜侧26井，该井性质同样为评价井，目前处于试油阶段，尚未转入产能建设阶段。因此，本项目所在区域现状不属于成熟开发区以评价井名义实施开发建设的情形。项目与周边已实施评价井位置关系见附图</w:t>
            </w:r>
            <w:r>
              <w:rPr>
                <w:rFonts w:hint="eastAsia" w:ascii="Times New Roman" w:hAnsi="Times New Roman" w:cs="Times New Roman"/>
                <w:color w:val="auto"/>
                <w:spacing w:val="5"/>
                <w:sz w:val="24"/>
                <w:szCs w:val="24"/>
                <w:lang w:val="en-US" w:eastAsia="zh-CN"/>
              </w:rPr>
              <w:t>3-2</w:t>
            </w:r>
            <w:r>
              <w:rPr>
                <w:rFonts w:hint="default" w:ascii="Times New Roman" w:hAnsi="Times New Roman" w:eastAsia="宋体" w:cs="Times New Roman"/>
                <w:color w:val="auto"/>
                <w:spacing w:val="5"/>
                <w:sz w:val="24"/>
                <w:szCs w:val="24"/>
                <w:lang w:eastAsia="zh-CN"/>
              </w:rPr>
              <w:t>。后续若评价结果表明具备开发价值，建设单位将依法另行开展产能建设项目环境影响评价，办理相关环保手续。</w:t>
            </w:r>
            <w:r>
              <w:rPr>
                <w:rFonts w:hint="default" w:ascii="Times New Roman" w:hAnsi="Times New Roman" w:eastAsia="宋体" w:cs="Times New Roman"/>
                <w:color w:val="auto"/>
                <w:spacing w:val="5"/>
                <w:sz w:val="24"/>
                <w:szCs w:val="24"/>
                <w:lang w:eastAsia="zh-CN"/>
              </w:rPr>
              <w:br w:type="textWrapping"/>
            </w:r>
            <w:r>
              <w:rPr>
                <w:rFonts w:hint="default" w:ascii="Times New Roman" w:hAnsi="Times New Roman" w:eastAsia="宋体" w:cs="Times New Roman"/>
                <w:color w:val="auto"/>
                <w:spacing w:val="5"/>
                <w:sz w:val="24"/>
                <w:szCs w:val="24"/>
                <w:lang w:eastAsia="zh-CN"/>
              </w:rPr>
              <w:t>因此，本项目建设性质、评价类别及环境管理要求符合《关于进一步加强石油天然气行业环境影响评价管理的通知》要求，具体符合性分析见表1-4。</w:t>
            </w:r>
          </w:p>
          <w:p w14:paraId="406F2D9D">
            <w:pPr>
              <w:widowControl w:val="0"/>
              <w:kinsoku/>
              <w:spacing w:line="4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表1-4 项目与《关于进一步加强石油天然气行业环境影响评价管理的通知》符合性分析一览表</w:t>
            </w:r>
          </w:p>
          <w:tbl>
            <w:tblPr>
              <w:tblStyle w:val="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9"/>
              <w:gridCol w:w="2564"/>
              <w:gridCol w:w="3914"/>
              <w:gridCol w:w="282"/>
            </w:tblGrid>
            <w:tr w14:paraId="3B32D41A">
              <w:trPr>
                <w:trHeight w:val="849" w:hRule="atLeast"/>
                <w:jc w:val="center"/>
              </w:trPr>
              <w:tc>
                <w:tcPr>
                  <w:tcW w:w="178" w:type="pct"/>
                  <w:vAlign w:val="center"/>
                </w:tcPr>
                <w:p w14:paraId="0435A546">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序号</w:t>
                  </w:r>
                </w:p>
              </w:tc>
              <w:tc>
                <w:tcPr>
                  <w:tcW w:w="1828" w:type="pct"/>
                  <w:vAlign w:val="center"/>
                </w:tcPr>
                <w:p w14:paraId="19121B9D">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《关于进一步加强石油天然气行业环境影响评价管理的通知》</w:t>
                  </w:r>
                </w:p>
              </w:tc>
              <w:tc>
                <w:tcPr>
                  <w:tcW w:w="2791" w:type="pct"/>
                  <w:vAlign w:val="center"/>
                </w:tcPr>
                <w:p w14:paraId="66BA1DD0">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本项目</w:t>
                  </w:r>
                </w:p>
              </w:tc>
              <w:tc>
                <w:tcPr>
                  <w:tcW w:w="201" w:type="pct"/>
                  <w:vAlign w:val="center"/>
                </w:tcPr>
                <w:p w14:paraId="0D16B538">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符合性</w:t>
                  </w:r>
                </w:p>
              </w:tc>
            </w:tr>
            <w:tr w14:paraId="623A7050">
              <w:trPr>
                <w:trHeight w:val="2254" w:hRule="atLeast"/>
                <w:jc w:val="center"/>
              </w:trPr>
              <w:tc>
                <w:tcPr>
                  <w:tcW w:w="178" w:type="pct"/>
                  <w:vAlign w:val="center"/>
                </w:tcPr>
                <w:p w14:paraId="27FFAA1C">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c>
                <w:tcPr>
                  <w:tcW w:w="1828" w:type="pct"/>
                  <w:vAlign w:val="center"/>
                </w:tcPr>
                <w:p w14:paraId="162DC4A6">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确定产能建设规模后，原则上不得以勘探名义继续开展单井环评。</w:t>
                  </w:r>
                </w:p>
              </w:tc>
              <w:tc>
                <w:tcPr>
                  <w:tcW w:w="2791" w:type="pct"/>
                  <w:vAlign w:val="center"/>
                </w:tcPr>
                <w:p w14:paraId="74DDCAED">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为准噶尔盆地吉康油田阜26块部署的阜2602井、阜2602-1井钻试工程，建设内容为2口评价井钻井及试油，目的为获取区块地层、储层及产能评价参数，现阶段尚未形成产能建设规模，项目依法编制环境影响报告表。</w:t>
                  </w:r>
                </w:p>
              </w:tc>
              <w:tc>
                <w:tcPr>
                  <w:tcW w:w="201" w:type="pct"/>
                  <w:vAlign w:val="center"/>
                </w:tcPr>
                <w:p w14:paraId="7BBECFE5">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008B329C">
              <w:trPr>
                <w:trHeight w:val="2535" w:hRule="atLeast"/>
                <w:jc w:val="center"/>
              </w:trPr>
              <w:tc>
                <w:tcPr>
                  <w:tcW w:w="178" w:type="pct"/>
                  <w:vAlign w:val="center"/>
                </w:tcPr>
                <w:p w14:paraId="76F38B18">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w:t>
                  </w:r>
                </w:p>
              </w:tc>
              <w:tc>
                <w:tcPr>
                  <w:tcW w:w="1828" w:type="pct"/>
                  <w:vAlign w:val="center"/>
                </w:tcPr>
                <w:p w14:paraId="782C1658">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项目环评应当深入评价项目建设、运营带来的环境影响和环境风险，提出有效的生态环境保护和环境风险防范措施。</w:t>
                  </w:r>
                </w:p>
              </w:tc>
              <w:tc>
                <w:tcPr>
                  <w:tcW w:w="2791" w:type="pct"/>
                  <w:vAlign w:val="center"/>
                </w:tcPr>
                <w:p w14:paraId="4E622D45">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次评价针对钻前、钻井、试油、完井及封井恢复全过程，对生态扰动、废气、废水、固废、噪声及环境风险进行了分析，并提出了分区防渗、泥浆不落地、废水全部回收处置、落地油100%回收、危废规范暂存转运、井控及应急管理等措施。</w:t>
                  </w:r>
                </w:p>
              </w:tc>
              <w:tc>
                <w:tcPr>
                  <w:tcW w:w="201" w:type="pct"/>
                  <w:vAlign w:val="center"/>
                </w:tcPr>
                <w:p w14:paraId="276FA149">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02F1E342">
              <w:trPr>
                <w:trHeight w:val="2254" w:hRule="atLeast"/>
                <w:jc w:val="center"/>
              </w:trPr>
              <w:tc>
                <w:tcPr>
                  <w:tcW w:w="178" w:type="pct"/>
                  <w:vAlign w:val="center"/>
                </w:tcPr>
                <w:p w14:paraId="772129EA">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w:t>
                  </w:r>
                </w:p>
              </w:tc>
              <w:tc>
                <w:tcPr>
                  <w:tcW w:w="1828" w:type="pct"/>
                  <w:vAlign w:val="center"/>
                </w:tcPr>
                <w:p w14:paraId="4E51EC65">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依托其他防治设施的或者委托第三方处置的，应当论证其可行性和有效性。</w:t>
                  </w:r>
                </w:p>
              </w:tc>
              <w:tc>
                <w:tcPr>
                  <w:tcW w:w="2791" w:type="pct"/>
                  <w:vAlign w:val="center"/>
                </w:tcPr>
                <w:p w14:paraId="37E6C3C5">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本项目生活污水、井下作业废水、固体废物等均明确了依托或委托处置去向，其中井下作业废水依托吉28脱水站处理后回注油藏，危险废物委托有资质单位处置，相关依托工程和处置路径已在报告中进行了论证。</w:t>
                  </w:r>
                </w:p>
              </w:tc>
              <w:tc>
                <w:tcPr>
                  <w:tcW w:w="201" w:type="pct"/>
                  <w:vAlign w:val="center"/>
                </w:tcPr>
                <w:p w14:paraId="2AF137AE">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686F979C">
              <w:trPr>
                <w:trHeight w:val="2254" w:hRule="atLeast"/>
                <w:jc w:val="center"/>
              </w:trPr>
              <w:tc>
                <w:tcPr>
                  <w:tcW w:w="178" w:type="pct"/>
                  <w:vAlign w:val="center"/>
                </w:tcPr>
                <w:p w14:paraId="14A814AD">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4</w:t>
                  </w:r>
                </w:p>
              </w:tc>
              <w:tc>
                <w:tcPr>
                  <w:tcW w:w="1828" w:type="pct"/>
                  <w:vAlign w:val="center"/>
                </w:tcPr>
                <w:p w14:paraId="0F2DDF16">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涉及废水回注的，应当论证回注的环境可行性，采取切实可行的地下水污染防治和监控措施，不得回注与油气开采无关的废水，严禁造成地下水污染。</w:t>
                  </w:r>
                </w:p>
              </w:tc>
              <w:tc>
                <w:tcPr>
                  <w:tcW w:w="2791" w:type="pct"/>
                  <w:vAlign w:val="center"/>
                </w:tcPr>
                <w:p w14:paraId="6DD3F5E1">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回注废水仅为井下作业废水，经吉28脱水站处理达标后回注油藏，不涉及与油气开采无关废水回注。项目采取水泥固井、重点区域防渗、分区防渗、井场污染物规范收集及风险防控措施，可有效防止地下水污染。</w:t>
                  </w:r>
                </w:p>
              </w:tc>
              <w:tc>
                <w:tcPr>
                  <w:tcW w:w="201" w:type="pct"/>
                  <w:vAlign w:val="center"/>
                </w:tcPr>
                <w:p w14:paraId="778C9CFD">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123B4B5A">
              <w:trPr>
                <w:trHeight w:val="1973" w:hRule="atLeast"/>
                <w:jc w:val="center"/>
              </w:trPr>
              <w:tc>
                <w:tcPr>
                  <w:tcW w:w="178" w:type="pct"/>
                  <w:vAlign w:val="center"/>
                </w:tcPr>
                <w:p w14:paraId="1C1825B3">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5</w:t>
                  </w:r>
                </w:p>
              </w:tc>
              <w:tc>
                <w:tcPr>
                  <w:tcW w:w="1828" w:type="pct"/>
                  <w:vAlign w:val="center"/>
                </w:tcPr>
                <w:p w14:paraId="656AF853">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油气开采产生的废弃油基泥浆、含油钻屑及其他固体废物，应当遵循减量化、资源化、无害化原则，按照国家和地方有关固体废物的管理规定进行处置。</w:t>
                  </w:r>
                </w:p>
              </w:tc>
              <w:tc>
                <w:tcPr>
                  <w:tcW w:w="2791" w:type="pct"/>
                  <w:vAlign w:val="center"/>
                </w:tcPr>
                <w:p w14:paraId="53C5801D">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本项目水基岩屑经“泥浆不落地”处理后综合利用或规范处置，油基岩屑、废油、废油桶、沾油废防渗材料等危险废物分类收集、规范暂存并委托有资质单位处置，落地油100%回收。</w:t>
                  </w:r>
                </w:p>
              </w:tc>
              <w:tc>
                <w:tcPr>
                  <w:tcW w:w="201" w:type="pct"/>
                  <w:vAlign w:val="center"/>
                </w:tcPr>
                <w:p w14:paraId="5AD0AAF4">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2DFC2455">
              <w:trPr>
                <w:trHeight w:val="1706" w:hRule="atLeast"/>
                <w:jc w:val="center"/>
              </w:trPr>
              <w:tc>
                <w:tcPr>
                  <w:tcW w:w="178" w:type="pct"/>
                  <w:tcBorders>
                    <w:bottom w:val="single" w:color="000000" w:sz="6" w:space="0"/>
                  </w:tcBorders>
                  <w:vAlign w:val="center"/>
                </w:tcPr>
                <w:p w14:paraId="07C68714">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6</w:t>
                  </w:r>
                </w:p>
              </w:tc>
              <w:tc>
                <w:tcPr>
                  <w:tcW w:w="1828" w:type="pct"/>
                  <w:tcBorders>
                    <w:bottom w:val="single" w:color="000000" w:sz="6" w:space="0"/>
                  </w:tcBorders>
                  <w:vAlign w:val="center"/>
                </w:tcPr>
                <w:p w14:paraId="6638B366">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施工期应当尽量减少施工占地、缩短施工时间、选择合理施工方式、落实环境敏感区管控要求以及其他生态环境保护措施，降低生态环境影响。</w:t>
                  </w:r>
                </w:p>
              </w:tc>
              <w:tc>
                <w:tcPr>
                  <w:tcW w:w="2791" w:type="pct"/>
                  <w:tcBorders>
                    <w:bottom w:val="single" w:color="000000" w:sz="6" w:space="0"/>
                  </w:tcBorders>
                  <w:vAlign w:val="center"/>
                </w:tcPr>
                <w:p w14:paraId="2847458B">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本项目均为临时占地，严格控制井场、道路和生活营地占地范围，施工结束后及时清理、平整并实施生态恢复；项目选址不涉及自然保护区、生态保护红线等环境敏感区。</w:t>
                  </w:r>
                </w:p>
              </w:tc>
              <w:tc>
                <w:tcPr>
                  <w:tcW w:w="201" w:type="pct"/>
                  <w:tcBorders>
                    <w:bottom w:val="single" w:color="000000" w:sz="6" w:space="0"/>
                  </w:tcBorders>
                  <w:vAlign w:val="center"/>
                </w:tcPr>
                <w:p w14:paraId="5143B824">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bl>
          <w:p w14:paraId="3D0A8FE5">
            <w:pPr>
              <w:pStyle w:val="23"/>
              <w:widowControl w:val="0"/>
              <w:kinsoku/>
              <w:spacing w:before="42" w:line="360" w:lineRule="auto"/>
              <w:jc w:val="both"/>
              <w:rPr>
                <w:rFonts w:hint="default" w:ascii="Times New Roman" w:hAnsi="Times New Roman" w:eastAsia="宋体" w:cs="Times New Roman"/>
                <w:b/>
                <w:bCs/>
                <w:color w:val="auto"/>
                <w:kern w:val="2"/>
                <w:sz w:val="24"/>
                <w:szCs w:val="24"/>
                <w:lang w:eastAsia="zh-CN"/>
              </w:rPr>
            </w:pPr>
            <w:r>
              <w:rPr>
                <w:rFonts w:hint="default" w:ascii="Times New Roman" w:hAnsi="Times New Roman" w:eastAsia="宋体" w:cs="Times New Roman"/>
                <w:b/>
                <w:bCs/>
                <w:color w:val="auto"/>
                <w:kern w:val="2"/>
                <w:sz w:val="24"/>
                <w:szCs w:val="24"/>
                <w:lang w:eastAsia="zh-CN"/>
              </w:rPr>
              <w:t>5.与《陆上石油天然气开采业绿色矿山建设规范》（DZ/T0317-2018）符合性分析</w:t>
            </w:r>
          </w:p>
          <w:p w14:paraId="593F14D0">
            <w:pPr>
              <w:pStyle w:val="23"/>
              <w:widowControl w:val="0"/>
              <w:kinsoku/>
              <w:spacing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项目与《陆上石油天然气开采业绿色矿山建设规范》（DZ/T0317-2018）符合性分析见表1-5。</w:t>
            </w:r>
          </w:p>
          <w:p w14:paraId="640E5A7C">
            <w:pPr>
              <w:pStyle w:val="23"/>
              <w:widowControl w:val="0"/>
              <w:kinsoku/>
              <w:spacing w:line="360" w:lineRule="auto"/>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表1-5 项目与《陆上石油天然气开采业绿色矿山建设规范》</w:t>
            </w:r>
          </w:p>
          <w:p w14:paraId="15B2289B">
            <w:pPr>
              <w:pStyle w:val="23"/>
              <w:widowControl w:val="0"/>
              <w:kinsoku/>
              <w:spacing w:line="226"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7"/>
                <w:sz w:val="21"/>
                <w:szCs w:val="21"/>
              </w:rPr>
              <w:t>符合性分析一览表</w:t>
            </w:r>
          </w:p>
          <w:tbl>
            <w:tblPr>
              <w:tblStyle w:val="22"/>
              <w:tblW w:w="499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18"/>
              <w:gridCol w:w="4195"/>
              <w:gridCol w:w="283"/>
            </w:tblGrid>
            <w:tr w14:paraId="02932408">
              <w:trPr>
                <w:trHeight w:val="919" w:hRule="atLeast"/>
                <w:jc w:val="center"/>
              </w:trPr>
              <w:tc>
                <w:tcPr>
                  <w:tcW w:w="1799" w:type="pct"/>
                  <w:vAlign w:val="center"/>
                </w:tcPr>
                <w:p w14:paraId="6ECC88D0">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《陆上石油天然气开采业绿色矿山建设规范》</w:t>
                  </w:r>
                </w:p>
              </w:tc>
              <w:tc>
                <w:tcPr>
                  <w:tcW w:w="2997" w:type="pct"/>
                  <w:vAlign w:val="center"/>
                </w:tcPr>
                <w:p w14:paraId="37A990D8">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本项目</w:t>
                  </w:r>
                </w:p>
              </w:tc>
              <w:tc>
                <w:tcPr>
                  <w:tcW w:w="202" w:type="pct"/>
                  <w:vAlign w:val="center"/>
                </w:tcPr>
                <w:p w14:paraId="7F267CEA">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符合性</w:t>
                  </w:r>
                </w:p>
              </w:tc>
            </w:tr>
            <w:tr w14:paraId="22278911">
              <w:trPr>
                <w:trHeight w:val="1833" w:hRule="atLeast"/>
                <w:jc w:val="center"/>
              </w:trPr>
              <w:tc>
                <w:tcPr>
                  <w:tcW w:w="1799" w:type="pct"/>
                  <w:vAlign w:val="center"/>
                </w:tcPr>
                <w:p w14:paraId="61DA06AB">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应实施绿色钻井技术体系，科学选择钻井方式、环境友好型钻井液及井控措施配备完善的固控系统，及时妥善处置钻井泥浆。</w:t>
                  </w:r>
                </w:p>
              </w:tc>
              <w:tc>
                <w:tcPr>
                  <w:tcW w:w="2997" w:type="pct"/>
                  <w:vAlign w:val="center"/>
                </w:tcPr>
                <w:p w14:paraId="043EBE12">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本项目采用环境友好钻井液及井控措施。</w:t>
                  </w:r>
                </w:p>
              </w:tc>
              <w:tc>
                <w:tcPr>
                  <w:tcW w:w="202" w:type="pct"/>
                  <w:vAlign w:val="center"/>
                </w:tcPr>
                <w:p w14:paraId="760E6AE3">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740F4963">
              <w:trPr>
                <w:trHeight w:val="2959" w:hRule="atLeast"/>
                <w:jc w:val="center"/>
              </w:trPr>
              <w:tc>
                <w:tcPr>
                  <w:tcW w:w="1799" w:type="pct"/>
                  <w:vAlign w:val="center"/>
                </w:tcPr>
                <w:p w14:paraId="61C21BBA">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应按照矿山地质环境保护与土地复垦方案进行地质环境治理和土地复垦。</w:t>
                  </w:r>
                </w:p>
              </w:tc>
              <w:tc>
                <w:tcPr>
                  <w:tcW w:w="2997" w:type="pct"/>
                  <w:vAlign w:val="center"/>
                </w:tcPr>
                <w:p w14:paraId="6EAEA481">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本项目为临时用地，严格控制井场占地面积（</w:t>
                  </w:r>
                  <w:r>
                    <w:rPr>
                      <w:rFonts w:hint="eastAsia" w:ascii="Times New Roman" w:hAnsi="Times New Roman" w:eastAsia="宋体" w:cs="Times New Roman"/>
                      <w:color w:val="auto"/>
                      <w:lang w:val="en-US" w:eastAsia="zh-CN"/>
                    </w:rPr>
                    <w:t>23878</w:t>
                  </w:r>
                  <w:r>
                    <w:rPr>
                      <w:rFonts w:hint="default" w:ascii="Times New Roman" w:hAnsi="Times New Roman" w:eastAsia="宋体" w:cs="Times New Roman"/>
                      <w:color w:val="auto"/>
                      <w:lang w:eastAsia="zh-CN"/>
                    </w:rPr>
                    <w:t>m²）。环评要求施工前进行表土剥离暂存，工程结束后清除井场设施及固废，利用原有表土对井场及道路进行土地复垦和植被恢复，恢复至原貌。</w:t>
                  </w:r>
                </w:p>
              </w:tc>
              <w:tc>
                <w:tcPr>
                  <w:tcW w:w="202" w:type="pct"/>
                  <w:vAlign w:val="center"/>
                </w:tcPr>
                <w:p w14:paraId="3CE9E552">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2646FBF1">
              <w:trPr>
                <w:trHeight w:val="1703" w:hRule="atLeast"/>
                <w:jc w:val="center"/>
              </w:trPr>
              <w:tc>
                <w:tcPr>
                  <w:tcW w:w="1799" w:type="pct"/>
                  <w:vAlign w:val="center"/>
                </w:tcPr>
                <w:p w14:paraId="097F4990">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油气开采过程中产生的含油污泥。采取技术措施进行原油回收处理和利用，处理后固体物含油率低2%。</w:t>
                  </w:r>
                </w:p>
              </w:tc>
              <w:tc>
                <w:tcPr>
                  <w:tcW w:w="2997" w:type="pct"/>
                  <w:vAlign w:val="center"/>
                </w:tcPr>
                <w:p w14:paraId="7335D0AF">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本工程落地油要求100%回收。</w:t>
                  </w:r>
                </w:p>
              </w:tc>
              <w:tc>
                <w:tcPr>
                  <w:tcW w:w="202" w:type="pct"/>
                  <w:vAlign w:val="center"/>
                </w:tcPr>
                <w:p w14:paraId="7293AC54">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102F2F06">
              <w:trPr>
                <w:trHeight w:val="2155" w:hRule="atLeast"/>
                <w:jc w:val="center"/>
              </w:trPr>
              <w:tc>
                <w:tcPr>
                  <w:tcW w:w="1799" w:type="pct"/>
                  <w:vAlign w:val="center"/>
                </w:tcPr>
                <w:p w14:paraId="0C3C15E9">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油气生产过程中产生的废液、废气、固体废物应建档分类管理，并清洁化、无害化处置，处置率应达到100%。</w:t>
                  </w:r>
                </w:p>
              </w:tc>
              <w:tc>
                <w:tcPr>
                  <w:tcW w:w="2997" w:type="pct"/>
                  <w:vAlign w:val="center"/>
                </w:tcPr>
                <w:p w14:paraId="78213873">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本项目试油压裂过程中产生的废水、压裂返排液、钻井岩屑、废防渗材料、落地油泥、</w:t>
                  </w:r>
                  <w:r>
                    <w:rPr>
                      <w:rFonts w:hint="eastAsia" w:ascii="Times New Roman" w:hAnsi="Times New Roman" w:eastAsia="宋体" w:cs="Times New Roman"/>
                      <w:color w:val="auto"/>
                      <w:lang w:val="en-US" w:eastAsia="zh-CN"/>
                    </w:rPr>
                    <w:t>机械设备废油、废油桶</w:t>
                  </w:r>
                  <w:r>
                    <w:rPr>
                      <w:rFonts w:hint="default" w:ascii="Times New Roman" w:hAnsi="Times New Roman" w:eastAsia="宋体" w:cs="Times New Roman"/>
                      <w:color w:val="auto"/>
                      <w:lang w:eastAsia="zh-CN"/>
                    </w:rPr>
                    <w:t>均能妥善处置。</w:t>
                  </w:r>
                </w:p>
              </w:tc>
              <w:tc>
                <w:tcPr>
                  <w:tcW w:w="202" w:type="pct"/>
                  <w:vAlign w:val="center"/>
                </w:tcPr>
                <w:p w14:paraId="2D7F8572">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bl>
          <w:p w14:paraId="7D2BAD07">
            <w:pPr>
              <w:pStyle w:val="23"/>
              <w:widowControl w:val="0"/>
              <w:kinsoku/>
              <w:spacing w:before="42" w:line="360" w:lineRule="auto"/>
              <w:jc w:val="both"/>
              <w:rPr>
                <w:rFonts w:hint="default" w:ascii="Times New Roman" w:hAnsi="Times New Roman" w:eastAsia="宋体" w:cs="Times New Roman"/>
                <w:b/>
                <w:bCs/>
                <w:color w:val="auto"/>
                <w:kern w:val="2"/>
                <w:sz w:val="24"/>
                <w:szCs w:val="24"/>
                <w:lang w:eastAsia="zh-CN"/>
              </w:rPr>
            </w:pPr>
            <w:r>
              <w:rPr>
                <w:rFonts w:hint="default" w:ascii="Times New Roman" w:hAnsi="Times New Roman" w:eastAsia="宋体" w:cs="Times New Roman"/>
                <w:b/>
                <w:bCs/>
                <w:color w:val="auto"/>
                <w:kern w:val="2"/>
                <w:sz w:val="24"/>
                <w:szCs w:val="24"/>
                <w:lang w:eastAsia="zh-CN"/>
              </w:rPr>
              <w:t>6.与《新疆生态环境保护“十四五”规划》符合性分析</w:t>
            </w:r>
          </w:p>
          <w:p w14:paraId="0F99DA0F">
            <w:pPr>
              <w:pStyle w:val="23"/>
              <w:widowControl w:val="0"/>
              <w:kinsoku/>
              <w:spacing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项目与《新疆生态环境保护“十四五”规划》符合性分析见表1-6。</w:t>
            </w:r>
          </w:p>
          <w:p w14:paraId="1BDE7A98">
            <w:pPr>
              <w:widowControl w:val="0"/>
              <w:kinsoku/>
              <w:spacing w:line="400" w:lineRule="exact"/>
              <w:ind w:firstLine="448" w:firstLineChars="200"/>
              <w:jc w:val="center"/>
              <w:rPr>
                <w:rFonts w:hint="default" w:ascii="Times New Roman" w:hAnsi="Times New Roman" w:eastAsia="宋体" w:cs="Times New Roman"/>
                <w:b/>
                <w:bCs/>
                <w:color w:val="auto"/>
                <w:spacing w:val="6"/>
                <w:lang w:eastAsia="zh-CN"/>
              </w:rPr>
            </w:pPr>
            <w:r>
              <w:rPr>
                <w:rFonts w:hint="default" w:ascii="Times New Roman" w:hAnsi="Times New Roman" w:eastAsia="宋体" w:cs="Times New Roman"/>
                <w:b/>
                <w:bCs/>
                <w:color w:val="auto"/>
                <w:spacing w:val="7"/>
                <w:lang w:eastAsia="zh-CN"/>
              </w:rPr>
              <w:t>表1-6 项目与《新疆生态环境保护“十四五”规划》符合性分析</w:t>
            </w:r>
            <w:r>
              <w:rPr>
                <w:rFonts w:hint="default" w:ascii="Times New Roman" w:hAnsi="Times New Roman" w:eastAsia="宋体" w:cs="Times New Roman"/>
                <w:b/>
                <w:bCs/>
                <w:color w:val="auto"/>
                <w:spacing w:val="6"/>
                <w:lang w:eastAsia="zh-CN"/>
              </w:rPr>
              <w:t>一览表</w:t>
            </w:r>
          </w:p>
          <w:tbl>
            <w:tblPr>
              <w:tblStyle w:val="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76"/>
              <w:gridCol w:w="3376"/>
              <w:gridCol w:w="257"/>
            </w:tblGrid>
            <w:tr w14:paraId="537D5739">
              <w:trPr>
                <w:trHeight w:val="509" w:hRule="atLeast"/>
                <w:jc w:val="center"/>
              </w:trPr>
              <w:tc>
                <w:tcPr>
                  <w:tcW w:w="2408" w:type="pct"/>
                  <w:vAlign w:val="center"/>
                </w:tcPr>
                <w:p w14:paraId="4111CB45">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《新疆生态环境保护“十四五”规划》</w:t>
                  </w:r>
                </w:p>
              </w:tc>
              <w:tc>
                <w:tcPr>
                  <w:tcW w:w="2407" w:type="pct"/>
                  <w:vAlign w:val="center"/>
                </w:tcPr>
                <w:p w14:paraId="62AFFCCB">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本项目</w:t>
                  </w:r>
                </w:p>
              </w:tc>
              <w:tc>
                <w:tcPr>
                  <w:tcW w:w="183" w:type="pct"/>
                  <w:vAlign w:val="center"/>
                </w:tcPr>
                <w:p w14:paraId="1481D2B6">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符合性</w:t>
                  </w:r>
                </w:p>
              </w:tc>
            </w:tr>
            <w:tr w14:paraId="47EFA236">
              <w:trPr>
                <w:trHeight w:val="4043" w:hRule="atLeast"/>
                <w:jc w:val="center"/>
              </w:trPr>
              <w:tc>
                <w:tcPr>
                  <w:tcW w:w="2408" w:type="pct"/>
                  <w:vAlign w:val="center"/>
                </w:tcPr>
                <w:p w14:paraId="0A880E03">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实施最严格的生态保护制度。坚决遏制“两高”项目盲目发</w:t>
                  </w:r>
                </w:p>
                <w:p w14:paraId="208E3693">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展，严格执行能源、矿产资源开发自治区人民政府“一支笔”审批制度、环境保护“一票否决”制度，落实“三线一单”生态环境分区管控要求，守住生态保护红线、环境质量底线和资源利用上线，实施生态环境准入清单管控。强化危险废物全过程环境监管。督促各类危险废物产生单位和经营单位依法申报危险废物产生处置情况，报备管理计划，做好信息公开工作，规范运行危险废物转移联单。</w:t>
                  </w:r>
                </w:p>
              </w:tc>
              <w:tc>
                <w:tcPr>
                  <w:tcW w:w="2407" w:type="pct"/>
                  <w:vAlign w:val="center"/>
                </w:tcPr>
                <w:p w14:paraId="0AD062B2">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本项目为油气资源勘探项目，不属于“高污染、高环境风险产品”项目；位于</w:t>
                  </w:r>
                  <w:r>
                    <w:rPr>
                      <w:rFonts w:hint="eastAsia" w:ascii="Times New Roman" w:hAnsi="Times New Roman" w:eastAsia="宋体" w:cs="Times New Roman"/>
                      <w:color w:val="auto"/>
                      <w:lang w:val="en-US" w:eastAsia="zh-CN"/>
                    </w:rPr>
                    <w:t>重点</w:t>
                  </w:r>
                  <w:r>
                    <w:rPr>
                      <w:rFonts w:hint="default" w:ascii="Times New Roman" w:hAnsi="Times New Roman" w:eastAsia="宋体" w:cs="Times New Roman"/>
                      <w:color w:val="auto"/>
                      <w:lang w:eastAsia="zh-CN"/>
                    </w:rPr>
                    <w:t>管控单元，不涉及生态保护红线；废气、噪声均可实现达标排放，废水和固体废物均得到妥善处置，不会突破区域环境质量底线；施工过程中会消耗少量的电能和水，工程资源消耗量相对区域资源利用总量较少，符合资源上限要求；符合区域生态环境分区管控要求。本环评要求定期更新和申报危险废物管理计划，对危险废物贮存、转移和处置进行全过程管理，建立危险废物管理台账，本次可充分依托中国石油天然气股份有限公司吐哈油田分公司准东采油管理区已有管理制度。</w:t>
                  </w:r>
                </w:p>
              </w:tc>
              <w:tc>
                <w:tcPr>
                  <w:tcW w:w="183" w:type="pct"/>
                  <w:vAlign w:val="center"/>
                </w:tcPr>
                <w:p w14:paraId="77671077">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76E5DA73">
              <w:trPr>
                <w:trHeight w:val="962" w:hRule="atLeast"/>
                <w:jc w:val="center"/>
              </w:trPr>
              <w:tc>
                <w:tcPr>
                  <w:tcW w:w="2408" w:type="pct"/>
                  <w:tcBorders>
                    <w:bottom w:val="single" w:color="000000" w:sz="6" w:space="0"/>
                  </w:tcBorders>
                  <w:vAlign w:val="center"/>
                </w:tcPr>
                <w:p w14:paraId="4F2ECA8E">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加强应急监测装备配置，定期开展应急演练，增强实战能力。</w:t>
                  </w:r>
                </w:p>
              </w:tc>
              <w:tc>
                <w:tcPr>
                  <w:tcW w:w="2407" w:type="pct"/>
                  <w:tcBorders>
                    <w:bottom w:val="single" w:color="000000" w:sz="6" w:space="0"/>
                  </w:tcBorders>
                  <w:vAlign w:val="center"/>
                </w:tcPr>
                <w:p w14:paraId="511D9ABA">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本项目拟设置应急监测设备，并定期进行应急演练工作。</w:t>
                  </w:r>
                </w:p>
              </w:tc>
              <w:tc>
                <w:tcPr>
                  <w:tcW w:w="183" w:type="pct"/>
                  <w:tcBorders>
                    <w:bottom w:val="single" w:color="000000" w:sz="6" w:space="0"/>
                  </w:tcBorders>
                  <w:vAlign w:val="center"/>
                </w:tcPr>
                <w:p w14:paraId="77C5B60C">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bl>
          <w:p w14:paraId="6AFA63CA">
            <w:pPr>
              <w:pStyle w:val="23"/>
              <w:widowControl w:val="0"/>
              <w:kinsoku/>
              <w:spacing w:before="42" w:line="360" w:lineRule="auto"/>
              <w:jc w:val="both"/>
              <w:rPr>
                <w:rFonts w:hint="default" w:ascii="Times New Roman" w:hAnsi="Times New Roman" w:eastAsia="宋体" w:cs="Times New Roman"/>
                <w:b/>
                <w:bCs/>
                <w:color w:val="auto"/>
                <w:kern w:val="2"/>
                <w:sz w:val="24"/>
                <w:szCs w:val="24"/>
                <w:lang w:eastAsia="zh-CN"/>
              </w:rPr>
            </w:pPr>
            <w:r>
              <w:rPr>
                <w:rFonts w:hint="default" w:ascii="Times New Roman" w:hAnsi="Times New Roman" w:eastAsia="宋体" w:cs="Times New Roman"/>
                <w:b/>
                <w:bCs/>
                <w:color w:val="auto"/>
                <w:kern w:val="2"/>
                <w:sz w:val="24"/>
                <w:szCs w:val="24"/>
                <w:lang w:eastAsia="zh-CN"/>
              </w:rPr>
              <w:t>7.与《昌吉回族自治州生态环境保护与建设“十四五”规划》符合性分析</w:t>
            </w:r>
          </w:p>
          <w:p w14:paraId="22D31985">
            <w:pPr>
              <w:pStyle w:val="23"/>
              <w:widowControl w:val="0"/>
              <w:kinsoku/>
              <w:spacing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项目与《昌吉回族自治州生态环境保护与建设“十四五”规划》符合性分析见表1-7。</w:t>
            </w:r>
          </w:p>
          <w:p w14:paraId="1786D4C4">
            <w:pPr>
              <w:widowControl w:val="0"/>
              <w:kinsoku/>
              <w:spacing w:line="400" w:lineRule="exact"/>
              <w:jc w:val="center"/>
              <w:rPr>
                <w:rFonts w:hint="default" w:ascii="Times New Roman" w:hAnsi="Times New Roman" w:eastAsia="宋体" w:cs="Times New Roman"/>
                <w:b/>
                <w:bCs/>
                <w:color w:val="auto"/>
                <w:spacing w:val="7"/>
                <w:lang w:eastAsia="zh-CN"/>
              </w:rPr>
            </w:pPr>
            <w:r>
              <w:rPr>
                <w:rFonts w:hint="default" w:ascii="Times New Roman" w:hAnsi="Times New Roman" w:eastAsia="宋体" w:cs="Times New Roman"/>
                <w:b/>
                <w:bCs/>
                <w:color w:val="auto"/>
                <w:spacing w:val="7"/>
                <w:lang w:eastAsia="zh-CN"/>
              </w:rPr>
              <w:t>表1-7 与《昌吉回族自治州生态环境保护与建设“十四五”规划》符合性分析一览表</w:t>
            </w:r>
          </w:p>
          <w:tbl>
            <w:tblPr>
              <w:tblStyle w:val="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62"/>
              <w:gridCol w:w="3362"/>
              <w:gridCol w:w="285"/>
            </w:tblGrid>
            <w:tr w14:paraId="2B0BBB07">
              <w:trPr>
                <w:trHeight w:val="605" w:hRule="atLeast"/>
                <w:jc w:val="center"/>
              </w:trPr>
              <w:tc>
                <w:tcPr>
                  <w:tcW w:w="2398" w:type="pct"/>
                </w:tcPr>
                <w:p w14:paraId="2A9D27B0">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《昌吉回族自治州生态环境保护与建设“十四五”规划》</w:t>
                  </w:r>
                </w:p>
              </w:tc>
              <w:tc>
                <w:tcPr>
                  <w:tcW w:w="2398" w:type="pct"/>
                  <w:vAlign w:val="center"/>
                </w:tcPr>
                <w:p w14:paraId="6A086586">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本项目</w:t>
                  </w:r>
                </w:p>
              </w:tc>
              <w:tc>
                <w:tcPr>
                  <w:tcW w:w="203" w:type="pct"/>
                  <w:vAlign w:val="center"/>
                </w:tcPr>
                <w:p w14:paraId="5F2BB6AC">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符合性</w:t>
                  </w:r>
                </w:p>
              </w:tc>
            </w:tr>
            <w:tr w14:paraId="16BBF12C">
              <w:trPr>
                <w:trHeight w:val="1507" w:hRule="atLeast"/>
                <w:jc w:val="center"/>
              </w:trPr>
              <w:tc>
                <w:tcPr>
                  <w:tcW w:w="2398" w:type="pct"/>
                  <w:vAlign w:val="center"/>
                </w:tcPr>
                <w:p w14:paraId="7C12CD83">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将生态保护红线、环境质量底线、资源利用上线的硬约束落实到环境管控单元，建立差别化的生态环境准入清单，加强“三线一单”成果在政策制定、环境准入、执法监管等方面的应用。</w:t>
                  </w:r>
                </w:p>
              </w:tc>
              <w:tc>
                <w:tcPr>
                  <w:tcW w:w="2398" w:type="pct"/>
                  <w:vAlign w:val="center"/>
                </w:tcPr>
                <w:p w14:paraId="78630FD9">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本项目不涉及生态保护红线，不会突破区域环境质量底线，不会突破区域资源利用上线。</w:t>
                  </w:r>
                </w:p>
              </w:tc>
              <w:tc>
                <w:tcPr>
                  <w:tcW w:w="203" w:type="pct"/>
                  <w:vAlign w:val="center"/>
                </w:tcPr>
                <w:p w14:paraId="0B640261">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3FEE19CB">
              <w:trPr>
                <w:trHeight w:val="1807" w:hRule="atLeast"/>
                <w:jc w:val="center"/>
              </w:trPr>
              <w:tc>
                <w:tcPr>
                  <w:tcW w:w="2398" w:type="pct"/>
                  <w:vAlign w:val="center"/>
                </w:tcPr>
                <w:p w14:paraId="431FE5B9">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强化水资源刚性约束，深入推进最严格水资源管理制度，严守水资源开发利用控制、用水效率控制和水功能区限制纳污“三条红线”，严格实行区域用水总量和强度控制，强化节水约束性指标管理。</w:t>
                  </w:r>
                </w:p>
              </w:tc>
              <w:tc>
                <w:tcPr>
                  <w:tcW w:w="2398" w:type="pct"/>
                  <w:vAlign w:val="center"/>
                </w:tcPr>
                <w:p w14:paraId="39BCC1A6">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拟部署井钻试期仅消耗少量新鲜水，用量在区域可承受范围内，不会突破区域资源利用上限。</w:t>
                  </w:r>
                </w:p>
              </w:tc>
              <w:tc>
                <w:tcPr>
                  <w:tcW w:w="203" w:type="pct"/>
                  <w:vAlign w:val="center"/>
                </w:tcPr>
                <w:p w14:paraId="195DD62C">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362FE87A">
              <w:trPr>
                <w:trHeight w:val="3168" w:hRule="atLeast"/>
                <w:jc w:val="center"/>
              </w:trPr>
              <w:tc>
                <w:tcPr>
                  <w:tcW w:w="2398" w:type="pct"/>
                  <w:vAlign w:val="center"/>
                </w:tcPr>
                <w:p w14:paraId="2C606959">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推进地表水与地下水协同防治。统筹区域地表水、地下水生态环境监管。</w:t>
                  </w:r>
                </w:p>
              </w:tc>
              <w:tc>
                <w:tcPr>
                  <w:tcW w:w="2398" w:type="pct"/>
                  <w:vAlign w:val="center"/>
                </w:tcPr>
                <w:p w14:paraId="09B644B1">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试油过程产生的井</w:t>
                  </w:r>
                  <w:r>
                    <w:rPr>
                      <w:rFonts w:hint="default" w:ascii="Times New Roman" w:hAnsi="Times New Roman" w:eastAsia="宋体" w:cs="Times New Roman"/>
                      <w:color w:val="auto"/>
                      <w:highlight w:val="none"/>
                      <w:lang w:eastAsia="zh-CN"/>
                    </w:rPr>
                    <w:t>下作业废水拉运到</w:t>
                  </w:r>
                  <w:r>
                    <w:rPr>
                      <w:rFonts w:hint="eastAsia" w:ascii="Times New Roman" w:hAnsi="Times New Roman" w:eastAsia="宋体" w:cs="Times New Roman"/>
                      <w:color w:val="auto"/>
                      <w:highlight w:val="none"/>
                      <w:lang w:val="en-US" w:eastAsia="zh-CN"/>
                    </w:rPr>
                    <w:t>吉28脱水站</w:t>
                  </w:r>
                  <w:r>
                    <w:rPr>
                      <w:rFonts w:hint="default" w:ascii="Times New Roman" w:hAnsi="Times New Roman" w:eastAsia="宋体" w:cs="Times New Roman"/>
                      <w:color w:val="auto"/>
                      <w:highlight w:val="none"/>
                      <w:lang w:eastAsia="zh-CN"/>
                    </w:rPr>
                    <w:t>并处</w:t>
                  </w:r>
                  <w:r>
                    <w:rPr>
                      <w:rFonts w:hint="default" w:ascii="Times New Roman" w:hAnsi="Times New Roman" w:eastAsia="宋体" w:cs="Times New Roman"/>
                      <w:color w:val="auto"/>
                      <w:lang w:eastAsia="zh-CN"/>
                    </w:rPr>
                    <w:t>理达标后，全部回注油藏；钻井过程中使用水泥固井，有效地将含水层与井筒分隔开保护地下水不受污染。</w:t>
                  </w:r>
                </w:p>
              </w:tc>
              <w:tc>
                <w:tcPr>
                  <w:tcW w:w="203" w:type="pct"/>
                  <w:vAlign w:val="center"/>
                </w:tcPr>
                <w:p w14:paraId="3075E71C">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4DDBF790">
              <w:trPr>
                <w:trHeight w:val="1507" w:hRule="atLeast"/>
                <w:jc w:val="center"/>
              </w:trPr>
              <w:tc>
                <w:tcPr>
                  <w:tcW w:w="2398" w:type="pct"/>
                  <w:vAlign w:val="center"/>
                </w:tcPr>
                <w:p w14:paraId="66F658D9">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以北部沙漠防风固沙生态维护区、中部平原农田防护人居环境维护区和南部山地水源涵养生态维护区3个水土保持分区为基础，划分重点预防范围和重点治理范围。</w:t>
                  </w:r>
                </w:p>
              </w:tc>
              <w:tc>
                <w:tcPr>
                  <w:tcW w:w="2398" w:type="pct"/>
                  <w:vAlign w:val="center"/>
                </w:tcPr>
                <w:p w14:paraId="13BB7672">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本环评已提出了相应的水土保持措施，可将项目引起的水土流失的程度降低到最小限度。</w:t>
                  </w:r>
                </w:p>
              </w:tc>
              <w:tc>
                <w:tcPr>
                  <w:tcW w:w="203" w:type="pct"/>
                  <w:vAlign w:val="center"/>
                </w:tcPr>
                <w:p w14:paraId="19BB9F53">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41448088">
              <w:trPr>
                <w:trHeight w:val="128" w:hRule="atLeast"/>
                <w:jc w:val="center"/>
              </w:trPr>
              <w:tc>
                <w:tcPr>
                  <w:tcW w:w="2398" w:type="pct"/>
                  <w:tcBorders>
                    <w:bottom w:val="single" w:color="000000" w:sz="6" w:space="0"/>
                  </w:tcBorders>
                  <w:vAlign w:val="center"/>
                </w:tcPr>
                <w:p w14:paraId="0AB522F0">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加强生态环境应急管理。实施企业环境应急预案电子化备案，完成昌吉市政府突发环境事件应急预案修编。</w:t>
                  </w:r>
                </w:p>
              </w:tc>
              <w:tc>
                <w:tcPr>
                  <w:tcW w:w="2398" w:type="pct"/>
                  <w:tcBorders>
                    <w:bottom w:val="single" w:color="000000" w:sz="6" w:space="0"/>
                  </w:tcBorders>
                  <w:vAlign w:val="center"/>
                </w:tcPr>
                <w:p w14:paraId="6209F992">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本项目归属中国石油天然气股份有限公司吐哈油田分公司准东采油管理区管辖，项目实施后需纳入《中国石油天然气股份有限公司吐哈油田分公司准东采油管理区突发环境事件应急预案》。</w:t>
                  </w:r>
                </w:p>
              </w:tc>
              <w:tc>
                <w:tcPr>
                  <w:tcW w:w="203" w:type="pct"/>
                  <w:tcBorders>
                    <w:bottom w:val="single" w:color="000000" w:sz="6" w:space="0"/>
                  </w:tcBorders>
                  <w:vAlign w:val="center"/>
                </w:tcPr>
                <w:p w14:paraId="33B85292">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bl>
          <w:p w14:paraId="7C03C4E8">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8.与新疆维吾尔自治区主体功能区规划的相符性分析</w:t>
            </w:r>
          </w:p>
          <w:p w14:paraId="37A600E0">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新疆维吾尔自治区主体功能区规划》（2016年10月24日），新疆分为以下主体功能区：按开发方式，分为优化开发区域、重点开发区域、限制开发区域和禁止开发区域四类；按开发内容，分为城市化地区、农产品主产区和重点生态功能区三类；按层级，分为国家和自治区级两个层面。</w:t>
            </w:r>
          </w:p>
          <w:p w14:paraId="58A84B03">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本项目建设地点位于新疆维吾尔自治区昌吉回族自治州</w:t>
            </w:r>
            <w:r>
              <w:rPr>
                <w:rFonts w:hint="eastAsia" w:ascii="Times New Roman" w:hAnsi="Times New Roman" w:cs="Times New Roman"/>
                <w:color w:val="auto"/>
                <w:sz w:val="24"/>
                <w:szCs w:val="24"/>
                <w:lang w:val="en-US" w:eastAsia="zh-CN"/>
              </w:rPr>
              <w:t>阜康市</w:t>
            </w:r>
            <w:r>
              <w:rPr>
                <w:rFonts w:hint="default" w:ascii="Times New Roman" w:hAnsi="Times New Roman" w:eastAsia="宋体" w:cs="Times New Roman"/>
                <w:color w:val="auto"/>
                <w:sz w:val="24"/>
                <w:szCs w:val="24"/>
                <w:lang w:eastAsia="zh-CN"/>
              </w:rPr>
              <w:t>境内，</w:t>
            </w:r>
            <w:r>
              <w:rPr>
                <w:rFonts w:ascii="Times New Roman" w:hAnsi="Times New Roman" w:cs="Times New Roman"/>
                <w:color w:val="auto"/>
                <w:sz w:val="24"/>
                <w:szCs w:val="24"/>
                <w:highlight w:val="none"/>
                <w:lang w:eastAsia="zh-CN"/>
              </w:rPr>
              <w:t>属于《新疆维吾尔自治区主体功能区规划》中的国家级重点开发区域（天山北坡地区），该区域的功能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1EED65DC">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本项目为油气资源勘探项目，项目的建设有利于提高油气资源的安全供应能力和开发利用水平，支撑地区经济，因此本项目符合自治区对该区域的功能定位要求。新疆维吾尔自治区主体功能区规划图见附图</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p>
          <w:p w14:paraId="146976C6">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9.与《新疆生态功能区划》的相符性分析</w:t>
            </w:r>
          </w:p>
          <w:p w14:paraId="2CFE5935">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根据《新疆生态功能区划简表》，项目所属生态功能区的主要生态服务功能、主要生态环境问题、主要保护目标和主要发展方向等内容详见表1-8，生态功能区划图详见附图</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p>
          <w:p w14:paraId="34B10079">
            <w:pPr>
              <w:pStyle w:val="23"/>
              <w:widowControl w:val="0"/>
              <w:kinsoku/>
              <w:spacing w:before="1" w:line="226" w:lineRule="auto"/>
              <w:jc w:val="center"/>
              <w:rPr>
                <w:rFonts w:hint="default" w:ascii="Times New Roman" w:hAnsi="Times New Roman" w:eastAsia="宋体" w:cs="Times New Roman"/>
                <w:b/>
                <w:bCs/>
                <w:color w:val="auto"/>
                <w:spacing w:val="5"/>
                <w:sz w:val="21"/>
                <w:szCs w:val="21"/>
              </w:rPr>
            </w:pPr>
            <w:r>
              <w:rPr>
                <w:rFonts w:hint="default" w:ascii="Times New Roman" w:hAnsi="Times New Roman" w:eastAsia="宋体" w:cs="Times New Roman"/>
                <w:b/>
                <w:bCs/>
                <w:color w:val="auto"/>
                <w:spacing w:val="5"/>
                <w:sz w:val="21"/>
                <w:szCs w:val="21"/>
              </w:rPr>
              <w:t>表</w:t>
            </w:r>
            <w:r>
              <w:rPr>
                <w:rFonts w:hint="default" w:ascii="Times New Roman" w:hAnsi="Times New Roman" w:eastAsia="宋体" w:cs="Times New Roman"/>
                <w:b/>
                <w:bCs/>
                <w:color w:val="auto"/>
                <w:spacing w:val="5"/>
                <w:sz w:val="21"/>
                <w:szCs w:val="21"/>
                <w:lang w:eastAsia="zh-CN"/>
              </w:rPr>
              <w:t>1</w:t>
            </w:r>
            <w:r>
              <w:rPr>
                <w:rFonts w:hint="default" w:ascii="Times New Roman" w:hAnsi="Times New Roman" w:eastAsia="宋体" w:cs="Times New Roman"/>
                <w:b/>
                <w:bCs/>
                <w:color w:val="auto"/>
                <w:spacing w:val="5"/>
                <w:sz w:val="21"/>
                <w:szCs w:val="21"/>
              </w:rPr>
              <w:t>-</w:t>
            </w:r>
            <w:r>
              <w:rPr>
                <w:rFonts w:hint="default" w:ascii="Times New Roman" w:hAnsi="Times New Roman" w:eastAsia="宋体" w:cs="Times New Roman"/>
                <w:b/>
                <w:bCs/>
                <w:color w:val="auto"/>
                <w:spacing w:val="5"/>
                <w:sz w:val="21"/>
                <w:szCs w:val="21"/>
                <w:lang w:eastAsia="zh-CN"/>
              </w:rPr>
              <w:t xml:space="preserve">8 </w:t>
            </w:r>
            <w:r>
              <w:rPr>
                <w:rFonts w:hint="default" w:ascii="Times New Roman" w:hAnsi="Times New Roman" w:eastAsia="宋体" w:cs="Times New Roman"/>
                <w:b/>
                <w:bCs/>
                <w:color w:val="auto"/>
                <w:spacing w:val="5"/>
                <w:sz w:val="21"/>
                <w:szCs w:val="21"/>
              </w:rPr>
              <w:t>生态功能区划简表</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2"/>
              <w:gridCol w:w="558"/>
              <w:gridCol w:w="5677"/>
            </w:tblGrid>
            <w:tr w14:paraId="4AB62493">
              <w:trPr>
                <w:trHeight w:val="438" w:hRule="atLeast"/>
                <w:jc w:val="center"/>
              </w:trPr>
              <w:tc>
                <w:tcPr>
                  <w:tcW w:w="551" w:type="pct"/>
                  <w:vMerge w:val="restart"/>
                  <w:tcBorders>
                    <w:top w:val="single" w:color="000000" w:sz="10" w:space="0"/>
                    <w:bottom w:val="nil"/>
                  </w:tcBorders>
                  <w:vAlign w:val="center"/>
                </w:tcPr>
                <w:p w14:paraId="056C00F8">
                  <w:pPr>
                    <w:pStyle w:val="23"/>
                    <w:kinsoku/>
                    <w:spacing w:before="25" w:line="233"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生态功能分区单元</w:t>
                  </w:r>
                </w:p>
              </w:tc>
              <w:tc>
                <w:tcPr>
                  <w:tcW w:w="397" w:type="pct"/>
                  <w:tcBorders>
                    <w:top w:val="single" w:color="000000" w:sz="10" w:space="0"/>
                  </w:tcBorders>
                  <w:vAlign w:val="center"/>
                </w:tcPr>
                <w:p w14:paraId="1B6DE9DC">
                  <w:pPr>
                    <w:pStyle w:val="23"/>
                    <w:kinsoku/>
                    <w:spacing w:before="58" w:line="233"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生态区</w:t>
                  </w:r>
                </w:p>
              </w:tc>
              <w:tc>
                <w:tcPr>
                  <w:tcW w:w="4050" w:type="pct"/>
                  <w:tcBorders>
                    <w:top w:val="single" w:color="000000" w:sz="10" w:space="0"/>
                    <w:right w:val="single" w:color="000000" w:sz="4" w:space="0"/>
                  </w:tcBorders>
                  <w:vAlign w:val="center"/>
                </w:tcPr>
                <w:p w14:paraId="62B16680">
                  <w:pPr>
                    <w:pStyle w:val="23"/>
                    <w:kinsoku/>
                    <w:spacing w:before="58" w:line="228"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7"/>
                      <w:sz w:val="21"/>
                      <w:szCs w:val="21"/>
                      <w:lang w:eastAsia="zh-CN"/>
                    </w:rPr>
                    <w:t>Ⅱ准噶尔盆地温性荒漠与绿洲农业生态区</w:t>
                  </w:r>
                </w:p>
              </w:tc>
            </w:tr>
            <w:tr w14:paraId="6BB964D5">
              <w:trPr>
                <w:trHeight w:val="431" w:hRule="atLeast"/>
                <w:jc w:val="center"/>
              </w:trPr>
              <w:tc>
                <w:tcPr>
                  <w:tcW w:w="551" w:type="pct"/>
                  <w:vMerge w:val="continue"/>
                  <w:tcBorders>
                    <w:top w:val="nil"/>
                    <w:bottom w:val="nil"/>
                  </w:tcBorders>
                  <w:vAlign w:val="center"/>
                </w:tcPr>
                <w:p w14:paraId="48A600B5">
                  <w:pPr>
                    <w:kinsoku/>
                    <w:jc w:val="center"/>
                    <w:rPr>
                      <w:rFonts w:hint="default" w:ascii="Times New Roman" w:hAnsi="Times New Roman" w:eastAsia="宋体" w:cs="Times New Roman"/>
                      <w:color w:val="auto"/>
                      <w:lang w:eastAsia="zh-CN"/>
                    </w:rPr>
                  </w:pPr>
                </w:p>
              </w:tc>
              <w:tc>
                <w:tcPr>
                  <w:tcW w:w="397" w:type="pct"/>
                  <w:vAlign w:val="center"/>
                </w:tcPr>
                <w:p w14:paraId="2375E969">
                  <w:pPr>
                    <w:pStyle w:val="23"/>
                    <w:kinsoku/>
                    <w:spacing w:before="69" w:line="233"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生态亚区</w:t>
                  </w:r>
                </w:p>
              </w:tc>
              <w:tc>
                <w:tcPr>
                  <w:tcW w:w="4050" w:type="pct"/>
                  <w:tcBorders>
                    <w:right w:val="single" w:color="000000" w:sz="4" w:space="0"/>
                  </w:tcBorders>
                  <w:vAlign w:val="center"/>
                </w:tcPr>
                <w:p w14:paraId="7D8829D2">
                  <w:pPr>
                    <w:pStyle w:val="23"/>
                    <w:kinsoku/>
                    <w:spacing w:before="69" w:line="241"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6"/>
                      <w:sz w:val="21"/>
                      <w:szCs w:val="21"/>
                      <w:lang w:eastAsia="zh-CN"/>
                    </w:rPr>
                    <w:t xml:space="preserve">Ⅱ  </w:t>
                  </w:r>
                  <w:r>
                    <w:rPr>
                      <w:rFonts w:hint="default" w:ascii="Times New Roman" w:hAnsi="Times New Roman" w:eastAsia="宋体" w:cs="Times New Roman"/>
                      <w:color w:val="auto"/>
                      <w:spacing w:val="9"/>
                      <w:position w:val="-2"/>
                      <w:sz w:val="21"/>
                      <w:szCs w:val="21"/>
                      <w:vertAlign w:val="subscript"/>
                      <w:lang w:eastAsia="zh-CN"/>
                    </w:rPr>
                    <w:t>5</w:t>
                  </w:r>
                  <w:r>
                    <w:rPr>
                      <w:rFonts w:hint="default" w:ascii="Times New Roman" w:hAnsi="Times New Roman" w:eastAsia="宋体" w:cs="Times New Roman"/>
                      <w:color w:val="auto"/>
                      <w:spacing w:val="9"/>
                      <w:sz w:val="21"/>
                      <w:szCs w:val="21"/>
                      <w:lang w:eastAsia="zh-CN"/>
                    </w:rPr>
                    <w:t>准噶尔盆地南部荒漠绿洲农业生态亚区</w:t>
                  </w:r>
                </w:p>
              </w:tc>
            </w:tr>
            <w:tr w14:paraId="612C80D1">
              <w:trPr>
                <w:trHeight w:val="629" w:hRule="atLeast"/>
                <w:jc w:val="center"/>
              </w:trPr>
              <w:tc>
                <w:tcPr>
                  <w:tcW w:w="551" w:type="pct"/>
                  <w:vMerge w:val="continue"/>
                  <w:tcBorders>
                    <w:top w:val="nil"/>
                  </w:tcBorders>
                  <w:vAlign w:val="center"/>
                </w:tcPr>
                <w:p w14:paraId="425E2FD9">
                  <w:pPr>
                    <w:kinsoku/>
                    <w:jc w:val="center"/>
                    <w:rPr>
                      <w:rFonts w:hint="default" w:ascii="Times New Roman" w:hAnsi="Times New Roman" w:eastAsia="宋体" w:cs="Times New Roman"/>
                      <w:color w:val="auto"/>
                      <w:lang w:eastAsia="zh-CN"/>
                    </w:rPr>
                  </w:pPr>
                </w:p>
              </w:tc>
              <w:tc>
                <w:tcPr>
                  <w:tcW w:w="397" w:type="pct"/>
                  <w:vAlign w:val="center"/>
                </w:tcPr>
                <w:p w14:paraId="325E6409">
                  <w:pPr>
                    <w:pStyle w:val="23"/>
                    <w:kinsoku/>
                    <w:spacing w:before="94" w:line="229"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生态功能区</w:t>
                  </w:r>
                </w:p>
              </w:tc>
              <w:tc>
                <w:tcPr>
                  <w:tcW w:w="4050" w:type="pct"/>
                  <w:tcBorders>
                    <w:right w:val="single" w:color="000000" w:sz="4" w:space="0"/>
                  </w:tcBorders>
                  <w:vAlign w:val="center"/>
                </w:tcPr>
                <w:p w14:paraId="6A307CB1">
                  <w:pPr>
                    <w:pStyle w:val="23"/>
                    <w:kinsoku/>
                    <w:spacing w:before="94" w:line="226"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9"/>
                      <w:sz w:val="21"/>
                      <w:szCs w:val="21"/>
                      <w:lang w:eastAsia="zh-CN"/>
                    </w:rPr>
                    <w:t>28.阜康一木垒绿洲农业、荒漠草地保护生态功</w:t>
                  </w:r>
                  <w:r>
                    <w:rPr>
                      <w:rFonts w:hint="default" w:ascii="Times New Roman" w:hAnsi="Times New Roman" w:eastAsia="宋体" w:cs="Times New Roman"/>
                      <w:color w:val="auto"/>
                      <w:spacing w:val="8"/>
                      <w:sz w:val="21"/>
                      <w:szCs w:val="21"/>
                      <w:lang w:eastAsia="zh-CN"/>
                    </w:rPr>
                    <w:t>能区</w:t>
                  </w:r>
                </w:p>
              </w:tc>
            </w:tr>
            <w:tr w14:paraId="5079F044">
              <w:trPr>
                <w:trHeight w:val="423" w:hRule="atLeast"/>
                <w:jc w:val="center"/>
              </w:trPr>
              <w:tc>
                <w:tcPr>
                  <w:tcW w:w="949" w:type="pct"/>
                  <w:gridSpan w:val="2"/>
                  <w:vAlign w:val="center"/>
                </w:tcPr>
                <w:p w14:paraId="0356CF0F">
                  <w:pPr>
                    <w:pStyle w:val="23"/>
                    <w:kinsoku/>
                    <w:spacing w:before="68"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主要生态服务功能</w:t>
                  </w:r>
                </w:p>
              </w:tc>
              <w:tc>
                <w:tcPr>
                  <w:tcW w:w="4050" w:type="pct"/>
                  <w:tcBorders>
                    <w:right w:val="single" w:color="000000" w:sz="4" w:space="0"/>
                  </w:tcBorders>
                  <w:vAlign w:val="center"/>
                </w:tcPr>
                <w:p w14:paraId="345232F7">
                  <w:pPr>
                    <w:pStyle w:val="23"/>
                    <w:kinsoku/>
                    <w:spacing w:before="68" w:line="228"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9"/>
                      <w:sz w:val="21"/>
                      <w:szCs w:val="21"/>
                      <w:lang w:eastAsia="zh-CN"/>
                    </w:rPr>
                    <w:t>农牧业产品生产、人居环境、荒漠化控制</w:t>
                  </w:r>
                </w:p>
              </w:tc>
            </w:tr>
            <w:tr w14:paraId="521A028A">
              <w:trPr>
                <w:trHeight w:val="272" w:hRule="atLeast"/>
                <w:jc w:val="center"/>
              </w:trPr>
              <w:tc>
                <w:tcPr>
                  <w:tcW w:w="949" w:type="pct"/>
                  <w:gridSpan w:val="2"/>
                  <w:vAlign w:val="center"/>
                </w:tcPr>
                <w:p w14:paraId="710345EE">
                  <w:pPr>
                    <w:pStyle w:val="23"/>
                    <w:kinsoku/>
                    <w:spacing w:before="68" w:line="228" w:lineRule="auto"/>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隶属行政区</w:t>
                  </w:r>
                </w:p>
              </w:tc>
              <w:tc>
                <w:tcPr>
                  <w:tcW w:w="4050" w:type="pct"/>
                  <w:tcBorders>
                    <w:right w:val="single" w:color="000000" w:sz="4" w:space="0"/>
                  </w:tcBorders>
                  <w:vAlign w:val="center"/>
                </w:tcPr>
                <w:p w14:paraId="259EA483">
                  <w:pPr>
                    <w:pStyle w:val="23"/>
                    <w:kinsoku/>
                    <w:spacing w:before="68" w:line="228" w:lineRule="auto"/>
                    <w:jc w:val="center"/>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阜康市、吉木萨尔县、奇台县、木垒县</w:t>
                  </w:r>
                </w:p>
              </w:tc>
            </w:tr>
            <w:tr w14:paraId="752195DF">
              <w:trPr>
                <w:trHeight w:val="602" w:hRule="atLeast"/>
                <w:jc w:val="center"/>
              </w:trPr>
              <w:tc>
                <w:tcPr>
                  <w:tcW w:w="949" w:type="pct"/>
                  <w:gridSpan w:val="2"/>
                  <w:vAlign w:val="center"/>
                </w:tcPr>
                <w:p w14:paraId="4AE056E0">
                  <w:pPr>
                    <w:pStyle w:val="23"/>
                    <w:kinsoku/>
                    <w:spacing w:before="60" w:line="228" w:lineRule="auto"/>
                    <w:jc w:val="center"/>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pacing w:val="9"/>
                      <w:sz w:val="21"/>
                      <w:szCs w:val="21"/>
                    </w:rPr>
                    <w:t>主要生态环境问题</w:t>
                  </w:r>
                </w:p>
              </w:tc>
              <w:tc>
                <w:tcPr>
                  <w:tcW w:w="4050" w:type="pct"/>
                  <w:tcBorders>
                    <w:right w:val="single" w:color="000000" w:sz="4" w:space="0"/>
                  </w:tcBorders>
                  <w:vAlign w:val="center"/>
                </w:tcPr>
                <w:p w14:paraId="1B71BB0D">
                  <w:pPr>
                    <w:pStyle w:val="23"/>
                    <w:kinsoku/>
                    <w:spacing w:before="60" w:line="228" w:lineRule="auto"/>
                    <w:jc w:val="center"/>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地下水超采、荒漠植被退化、沙漠化威胁、局部土壤盐渍化、河流萎缩、滥开荒地</w:t>
                  </w:r>
                </w:p>
              </w:tc>
            </w:tr>
            <w:tr w14:paraId="571FAF4A">
              <w:trPr>
                <w:trHeight w:val="602" w:hRule="atLeast"/>
                <w:jc w:val="center"/>
              </w:trPr>
              <w:tc>
                <w:tcPr>
                  <w:tcW w:w="949" w:type="pct"/>
                  <w:gridSpan w:val="2"/>
                  <w:vAlign w:val="center"/>
                </w:tcPr>
                <w:p w14:paraId="247F760A">
                  <w:pPr>
                    <w:pStyle w:val="23"/>
                    <w:kinsoku/>
                    <w:spacing w:before="60" w:line="228" w:lineRule="auto"/>
                    <w:jc w:val="center"/>
                    <w:rPr>
                      <w:rFonts w:hint="default" w:ascii="Times New Roman" w:hAnsi="Times New Roman" w:eastAsia="宋体" w:cs="Times New Roman"/>
                      <w:color w:val="auto"/>
                      <w:spacing w:val="9"/>
                      <w:sz w:val="21"/>
                      <w:szCs w:val="21"/>
                      <w:lang w:eastAsia="zh-CN"/>
                    </w:rPr>
                  </w:pPr>
                  <w:r>
                    <w:rPr>
                      <w:rFonts w:hint="default" w:ascii="Times New Roman" w:hAnsi="Times New Roman" w:eastAsia="宋体" w:cs="Times New Roman"/>
                      <w:color w:val="auto"/>
                      <w:spacing w:val="9"/>
                      <w:sz w:val="21"/>
                      <w:szCs w:val="21"/>
                      <w:lang w:eastAsia="zh-CN"/>
                    </w:rPr>
                    <w:t>主要生态敏感因子、敏感程度</w:t>
                  </w:r>
                </w:p>
              </w:tc>
              <w:tc>
                <w:tcPr>
                  <w:tcW w:w="4050" w:type="pct"/>
                  <w:tcBorders>
                    <w:right w:val="single" w:color="000000" w:sz="4" w:space="0"/>
                  </w:tcBorders>
                  <w:vAlign w:val="center"/>
                </w:tcPr>
                <w:p w14:paraId="48E01202">
                  <w:pPr>
                    <w:pStyle w:val="23"/>
                    <w:kinsoku/>
                    <w:spacing w:before="60" w:line="228"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9"/>
                      <w:sz w:val="21"/>
                      <w:szCs w:val="21"/>
                      <w:lang w:eastAsia="zh-CN"/>
                    </w:rPr>
                    <w:t>生物多样性和生境中度敏感，土壤侵蚀轻度敏感、不敏感，土</w:t>
                  </w:r>
                  <w:r>
                    <w:rPr>
                      <w:rFonts w:hint="default" w:ascii="Times New Roman" w:hAnsi="Times New Roman" w:eastAsia="宋体" w:cs="Times New Roman"/>
                      <w:color w:val="auto"/>
                      <w:spacing w:val="8"/>
                      <w:sz w:val="21"/>
                      <w:szCs w:val="21"/>
                      <w:lang w:eastAsia="zh-CN"/>
                    </w:rPr>
                    <w:t>地沙漠化、土壤盐渍化不敏感</w:t>
                  </w:r>
                </w:p>
              </w:tc>
            </w:tr>
            <w:tr w14:paraId="672EA2FC">
              <w:trPr>
                <w:trHeight w:val="421" w:hRule="atLeast"/>
                <w:jc w:val="center"/>
              </w:trPr>
              <w:tc>
                <w:tcPr>
                  <w:tcW w:w="949" w:type="pct"/>
                  <w:gridSpan w:val="2"/>
                  <w:vAlign w:val="center"/>
                </w:tcPr>
                <w:p w14:paraId="75949E8B">
                  <w:pPr>
                    <w:pStyle w:val="23"/>
                    <w:kinsoku/>
                    <w:spacing w:before="65"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主要保护目标</w:t>
                  </w:r>
                </w:p>
              </w:tc>
              <w:tc>
                <w:tcPr>
                  <w:tcW w:w="4050" w:type="pct"/>
                  <w:tcBorders>
                    <w:right w:val="single" w:color="000000" w:sz="4" w:space="0"/>
                  </w:tcBorders>
                  <w:vAlign w:val="center"/>
                </w:tcPr>
                <w:p w14:paraId="61933394">
                  <w:pPr>
                    <w:pStyle w:val="23"/>
                    <w:kinsoku/>
                    <w:spacing w:before="64" w:line="227"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9"/>
                      <w:sz w:val="21"/>
                      <w:szCs w:val="21"/>
                      <w:lang w:eastAsia="zh-CN"/>
                    </w:rPr>
                    <w:t>保护基本农田、保护荒漠植被、保护土壤环境质量</w:t>
                  </w:r>
                </w:p>
              </w:tc>
            </w:tr>
            <w:tr w14:paraId="085553C9">
              <w:trPr>
                <w:trHeight w:val="786" w:hRule="atLeast"/>
                <w:jc w:val="center"/>
              </w:trPr>
              <w:tc>
                <w:tcPr>
                  <w:tcW w:w="949" w:type="pct"/>
                  <w:gridSpan w:val="2"/>
                  <w:vAlign w:val="center"/>
                </w:tcPr>
                <w:p w14:paraId="032F7ECF">
                  <w:pPr>
                    <w:pStyle w:val="23"/>
                    <w:kinsoku/>
                    <w:spacing w:before="65" w:line="228" w:lineRule="auto"/>
                    <w:jc w:val="center"/>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主要保护措施</w:t>
                  </w:r>
                </w:p>
              </w:tc>
              <w:tc>
                <w:tcPr>
                  <w:tcW w:w="4050" w:type="pct"/>
                  <w:tcBorders>
                    <w:right w:val="single" w:color="000000" w:sz="4" w:space="0"/>
                  </w:tcBorders>
                  <w:vAlign w:val="center"/>
                </w:tcPr>
                <w:p w14:paraId="502075D5">
                  <w:pPr>
                    <w:pStyle w:val="23"/>
                    <w:kinsoku/>
                    <w:spacing w:before="31" w:line="227"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9"/>
                      <w:sz w:val="21"/>
                      <w:szCs w:val="21"/>
                      <w:lang w:eastAsia="zh-CN"/>
                    </w:rPr>
                    <w:t>节水灌溉、草场休牧、对前山坡耕地和北部沙化土地实施退耕还林(草)，在水源无保障、植被稀少、生态脆弱地带禁止开荒</w:t>
                  </w:r>
                  <w:r>
                    <w:rPr>
                      <w:rFonts w:hint="default" w:ascii="Times New Roman" w:hAnsi="Times New Roman" w:eastAsia="宋体" w:cs="Times New Roman"/>
                      <w:color w:val="auto"/>
                      <w:spacing w:val="8"/>
                      <w:sz w:val="21"/>
                      <w:szCs w:val="21"/>
                      <w:lang w:eastAsia="zh-CN"/>
                    </w:rPr>
                    <w:t>、加强农田投入品的使用管理</w:t>
                  </w:r>
                </w:p>
              </w:tc>
            </w:tr>
            <w:tr w14:paraId="32410BD4">
              <w:trPr>
                <w:trHeight w:val="438" w:hRule="atLeast"/>
                <w:jc w:val="center"/>
              </w:trPr>
              <w:tc>
                <w:tcPr>
                  <w:tcW w:w="949" w:type="pct"/>
                  <w:gridSpan w:val="2"/>
                  <w:tcBorders>
                    <w:bottom w:val="single" w:color="000000" w:sz="10" w:space="0"/>
                  </w:tcBorders>
                  <w:vAlign w:val="center"/>
                </w:tcPr>
                <w:p w14:paraId="4C7C039C">
                  <w:pPr>
                    <w:pStyle w:val="23"/>
                    <w:kinsoku/>
                    <w:spacing w:before="65" w:line="228" w:lineRule="auto"/>
                    <w:jc w:val="center"/>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主要发展方向</w:t>
                  </w:r>
                </w:p>
              </w:tc>
              <w:tc>
                <w:tcPr>
                  <w:tcW w:w="4050" w:type="pct"/>
                  <w:tcBorders>
                    <w:bottom w:val="single" w:color="000000" w:sz="10" w:space="0"/>
                    <w:right w:val="single" w:color="000000" w:sz="4" w:space="0"/>
                  </w:tcBorders>
                  <w:vAlign w:val="center"/>
                </w:tcPr>
                <w:p w14:paraId="4CA35D59">
                  <w:pPr>
                    <w:pStyle w:val="23"/>
                    <w:kinsoku/>
                    <w:spacing w:before="64" w:line="228"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9"/>
                      <w:sz w:val="21"/>
                      <w:szCs w:val="21"/>
                      <w:lang w:eastAsia="zh-CN"/>
                    </w:rPr>
                    <w:t>农牧结合，发展优质、高效特色农业</w:t>
                  </w:r>
                </w:p>
              </w:tc>
            </w:tr>
          </w:tbl>
          <w:p w14:paraId="046F9E75">
            <w:pPr>
              <w:pStyle w:val="23"/>
              <w:widowControl w:val="0"/>
              <w:kinsoku/>
              <w:spacing w:before="42" w:line="360" w:lineRule="auto"/>
              <w:ind w:left="4"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只有钻井期、试油期，不涉及运营期；项目建设占用的土地资源相对区域资源较少，且为临时用地；项目单井施工期较短，资源消耗量较少，不涉及地下水的开采活动。采取环保措施后，项目产生的废气、废水、噪声等对环境影响较小。项目建设符合《新疆生态功能区划》相关要求。</w:t>
            </w:r>
          </w:p>
          <w:p w14:paraId="491EAB32">
            <w:pPr>
              <w:pStyle w:val="23"/>
              <w:widowControl w:val="0"/>
              <w:kinsoku/>
              <w:spacing w:before="42" w:line="360" w:lineRule="auto"/>
              <w:jc w:val="both"/>
              <w:rPr>
                <w:rFonts w:hint="default" w:ascii="Times New Roman" w:hAnsi="Times New Roman" w:eastAsia="宋体" w:cs="Times New Roman"/>
                <w:b/>
                <w:bCs/>
                <w:color w:val="auto"/>
                <w:spacing w:val="-5"/>
                <w:sz w:val="24"/>
                <w:szCs w:val="24"/>
                <w:lang w:eastAsia="zh-CN"/>
              </w:rPr>
            </w:pPr>
            <w:r>
              <w:rPr>
                <w:rFonts w:hint="default" w:ascii="Times New Roman" w:hAnsi="Times New Roman" w:eastAsia="宋体" w:cs="Times New Roman"/>
                <w:b/>
                <w:bCs/>
                <w:color w:val="auto"/>
                <w:spacing w:val="-5"/>
                <w:sz w:val="24"/>
                <w:szCs w:val="24"/>
                <w:lang w:eastAsia="zh-CN"/>
              </w:rPr>
              <w:t>10.与《新疆维吾尔自治区重点行业生态环境准入条件（2024年）》（新环环评发〔2024〕93号）符合性分析</w:t>
            </w:r>
          </w:p>
          <w:p w14:paraId="7FC956E4">
            <w:pPr>
              <w:pStyle w:val="23"/>
              <w:widowControl w:val="0"/>
              <w:kinsoku/>
              <w:spacing w:line="360" w:lineRule="auto"/>
              <w:ind w:firstLine="460" w:firstLineChars="200"/>
              <w:jc w:val="both"/>
              <w:rPr>
                <w:rFonts w:hint="default" w:ascii="Times New Roman" w:hAnsi="Times New Roman" w:eastAsia="宋体" w:cs="Times New Roman"/>
                <w:color w:val="auto"/>
                <w:spacing w:val="-5"/>
                <w:sz w:val="24"/>
                <w:szCs w:val="24"/>
                <w:lang w:eastAsia="zh-CN"/>
              </w:rPr>
            </w:pPr>
            <w:r>
              <w:rPr>
                <w:rFonts w:hint="default" w:ascii="Times New Roman" w:hAnsi="Times New Roman" w:eastAsia="宋体" w:cs="Times New Roman"/>
                <w:color w:val="auto"/>
                <w:spacing w:val="-5"/>
                <w:sz w:val="24"/>
                <w:szCs w:val="24"/>
                <w:lang w:eastAsia="zh-CN"/>
              </w:rPr>
              <w:t>《新疆维吾尔自治区重点行业生态环境准入条件（2024年）》（新环环评发〔2024〕93号）对陆地油气开发项目在选址与空间布局、污染防治、废水回用与回注、固体废物处置、噪声控制、退役生态修复等方面提出了明确生态环境准入要求。</w:t>
            </w:r>
            <w:r>
              <w:rPr>
                <w:rFonts w:hint="default" w:ascii="Times New Roman" w:hAnsi="Times New Roman" w:eastAsia="宋体" w:cs="Times New Roman"/>
                <w:color w:val="auto"/>
                <w:spacing w:val="-5"/>
                <w:sz w:val="24"/>
                <w:szCs w:val="24"/>
                <w:lang w:eastAsia="zh-CN"/>
              </w:rPr>
              <w:br w:type="textWrapping"/>
            </w:r>
            <w:r>
              <w:rPr>
                <w:rFonts w:hint="default" w:ascii="Times New Roman" w:hAnsi="Times New Roman" w:eastAsia="宋体" w:cs="Times New Roman"/>
                <w:color w:val="auto"/>
                <w:spacing w:val="-5"/>
                <w:sz w:val="24"/>
                <w:szCs w:val="24"/>
                <w:lang w:eastAsia="zh-CN"/>
              </w:rPr>
              <w:t>本项目属于陆地石油勘探评价井钻试工程，选址位于阜康市既有油气勘探开发区域内，所在区域不涉及自然保护区、风景名胜区、饮用水水源保护区、生态保护红线等环境敏感区，不占用永久基本农田，且与民宅、铁路、高速公路、学校、医院和大型油库等敏感目标距离满足《钻前工程及井场布置技术要求》（SY/T5466-2013）相关要求；同时，项目位于重点管控单元ZH65230220008-阜康市限采区内，但项目性质为陆地油气勘探评价井，不属于高耗水、高污染行业，施工期短，用水量较小，不开采地下水，并已落实分区防渗、泥浆不落地、废水回收处理、生态恢复等措施，符合准入条件中关于选址与空间布局的管理要求。具体符合性分析见表1-9。</w:t>
            </w:r>
          </w:p>
          <w:p w14:paraId="1991EA81">
            <w:pPr>
              <w:pStyle w:val="23"/>
              <w:widowControl w:val="0"/>
              <w:kinsoku/>
              <w:spacing w:before="1" w:line="360" w:lineRule="auto"/>
              <w:jc w:val="center"/>
              <w:rPr>
                <w:rFonts w:hint="default" w:ascii="Times New Roman" w:hAnsi="Times New Roman" w:eastAsia="宋体" w:cs="Times New Roman"/>
                <w:b/>
                <w:bCs/>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表1-9 与《新疆维吾尔自治区重点行业生态环境准入条件</w:t>
            </w:r>
          </w:p>
          <w:p w14:paraId="0DDE0672">
            <w:pPr>
              <w:pStyle w:val="23"/>
              <w:widowControl w:val="0"/>
              <w:kinsoku/>
              <w:spacing w:before="1" w:line="360" w:lineRule="auto"/>
              <w:jc w:val="center"/>
              <w:rPr>
                <w:rFonts w:hint="default" w:ascii="Times New Roman" w:hAnsi="Times New Roman" w:eastAsia="宋体" w:cs="Times New Roman"/>
                <w:b/>
                <w:bCs/>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（2024年）》符合性分析一览表</w:t>
            </w:r>
          </w:p>
          <w:tbl>
            <w:tblPr>
              <w:tblStyle w:val="22"/>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8"/>
              <w:gridCol w:w="2491"/>
              <w:gridCol w:w="4035"/>
              <w:gridCol w:w="240"/>
            </w:tblGrid>
            <w:tr w14:paraId="21E4C9B7">
              <w:trPr>
                <w:trHeight w:val="669" w:hRule="atLeast"/>
                <w:jc w:val="center"/>
              </w:trPr>
              <w:tc>
                <w:tcPr>
                  <w:tcW w:w="170" w:type="pct"/>
                  <w:tcBorders>
                    <w:top w:val="single" w:color="000000" w:sz="2" w:space="0"/>
                    <w:left w:val="single" w:color="000000" w:sz="2" w:space="0"/>
                  </w:tcBorders>
                  <w:vAlign w:val="center"/>
                </w:tcPr>
                <w:p w14:paraId="19AA0401">
                  <w:pPr>
                    <w:widowControl w:val="0"/>
                    <w:kinsoku/>
                    <w:spacing w:line="300" w:lineRule="exact"/>
                    <w:jc w:val="center"/>
                    <w:textAlignment w:val="auto"/>
                    <w:rPr>
                      <w:rFonts w:hint="default" w:ascii="Times New Roman" w:hAnsi="Times New Roman" w:eastAsia="宋体" w:cs="Times New Roman"/>
                      <w:b/>
                      <w:bCs/>
                      <w:snapToGrid/>
                      <w:color w:val="auto"/>
                      <w:kern w:val="2"/>
                      <w:lang w:eastAsia="zh-CN"/>
                    </w:rPr>
                  </w:pPr>
                  <w:r>
                    <w:rPr>
                      <w:rFonts w:hint="default" w:ascii="Times New Roman" w:hAnsi="Times New Roman" w:eastAsia="宋体" w:cs="Times New Roman"/>
                      <w:b/>
                      <w:bCs/>
                      <w:snapToGrid/>
                      <w:color w:val="auto"/>
                      <w:kern w:val="2"/>
                      <w:lang w:eastAsia="zh-CN"/>
                    </w:rPr>
                    <w:t>序号</w:t>
                  </w:r>
                </w:p>
              </w:tc>
              <w:tc>
                <w:tcPr>
                  <w:tcW w:w="1777" w:type="pct"/>
                  <w:tcBorders>
                    <w:top w:val="single" w:color="000000" w:sz="2" w:space="0"/>
                  </w:tcBorders>
                  <w:vAlign w:val="center"/>
                </w:tcPr>
                <w:p w14:paraId="2A6863DF">
                  <w:pPr>
                    <w:widowControl w:val="0"/>
                    <w:kinsoku/>
                    <w:spacing w:line="300" w:lineRule="exact"/>
                    <w:jc w:val="center"/>
                    <w:textAlignment w:val="auto"/>
                    <w:rPr>
                      <w:rFonts w:hint="default" w:ascii="Times New Roman" w:hAnsi="Times New Roman" w:eastAsia="宋体" w:cs="Times New Roman"/>
                      <w:b/>
                      <w:bCs/>
                      <w:snapToGrid/>
                      <w:color w:val="auto"/>
                      <w:kern w:val="2"/>
                      <w:lang w:eastAsia="zh-CN"/>
                    </w:rPr>
                  </w:pPr>
                  <w:r>
                    <w:rPr>
                      <w:rFonts w:hint="default" w:ascii="Times New Roman" w:hAnsi="Times New Roman" w:eastAsia="宋体" w:cs="Times New Roman"/>
                      <w:b/>
                      <w:bCs/>
                      <w:snapToGrid/>
                      <w:color w:val="auto"/>
                      <w:kern w:val="2"/>
                      <w:lang w:eastAsia="zh-CN"/>
                    </w:rPr>
                    <w:t>《新疆维吾尔自治区重点行业生态环境准入条件（2024年）》中相关规定</w:t>
                  </w:r>
                </w:p>
              </w:tc>
              <w:tc>
                <w:tcPr>
                  <w:tcW w:w="2879" w:type="pct"/>
                  <w:tcBorders>
                    <w:top w:val="single" w:color="000000" w:sz="2" w:space="0"/>
                  </w:tcBorders>
                  <w:vAlign w:val="center"/>
                </w:tcPr>
                <w:p w14:paraId="01CC1CC2">
                  <w:pPr>
                    <w:widowControl w:val="0"/>
                    <w:kinsoku/>
                    <w:spacing w:line="300" w:lineRule="exact"/>
                    <w:jc w:val="center"/>
                    <w:textAlignment w:val="auto"/>
                    <w:rPr>
                      <w:rFonts w:hint="default" w:ascii="Times New Roman" w:hAnsi="Times New Roman" w:eastAsia="宋体" w:cs="Times New Roman"/>
                      <w:b/>
                      <w:bCs/>
                      <w:snapToGrid/>
                      <w:color w:val="auto"/>
                      <w:kern w:val="2"/>
                      <w:lang w:eastAsia="zh-CN"/>
                    </w:rPr>
                  </w:pPr>
                  <w:r>
                    <w:rPr>
                      <w:rFonts w:hint="default" w:ascii="Times New Roman" w:hAnsi="Times New Roman" w:eastAsia="宋体" w:cs="Times New Roman"/>
                      <w:b/>
                      <w:bCs/>
                      <w:snapToGrid/>
                      <w:color w:val="auto"/>
                      <w:kern w:val="2"/>
                      <w:lang w:eastAsia="zh-CN"/>
                    </w:rPr>
                    <w:t>本项目采取的相关措施</w:t>
                  </w:r>
                </w:p>
              </w:tc>
              <w:tc>
                <w:tcPr>
                  <w:tcW w:w="171" w:type="pct"/>
                  <w:tcBorders>
                    <w:top w:val="single" w:color="000000" w:sz="2" w:space="0"/>
                  </w:tcBorders>
                  <w:vAlign w:val="center"/>
                </w:tcPr>
                <w:p w14:paraId="0E78018A">
                  <w:pPr>
                    <w:widowControl w:val="0"/>
                    <w:kinsoku/>
                    <w:spacing w:line="300" w:lineRule="exact"/>
                    <w:jc w:val="center"/>
                    <w:textAlignment w:val="auto"/>
                    <w:rPr>
                      <w:rFonts w:hint="default" w:ascii="Times New Roman" w:hAnsi="Times New Roman" w:eastAsia="宋体" w:cs="Times New Roman"/>
                      <w:b/>
                      <w:bCs/>
                      <w:snapToGrid/>
                      <w:color w:val="auto"/>
                      <w:kern w:val="2"/>
                      <w:lang w:eastAsia="zh-CN"/>
                    </w:rPr>
                  </w:pPr>
                  <w:r>
                    <w:rPr>
                      <w:rFonts w:hint="default" w:ascii="Times New Roman" w:hAnsi="Times New Roman" w:eastAsia="宋体" w:cs="Times New Roman"/>
                      <w:b/>
                      <w:bCs/>
                      <w:snapToGrid/>
                      <w:color w:val="auto"/>
                      <w:kern w:val="2"/>
                      <w:lang w:eastAsia="zh-CN"/>
                    </w:rPr>
                    <w:t>分析</w:t>
                  </w:r>
                </w:p>
                <w:p w14:paraId="2CDFD46B">
                  <w:pPr>
                    <w:widowControl w:val="0"/>
                    <w:kinsoku/>
                    <w:spacing w:line="300" w:lineRule="exact"/>
                    <w:jc w:val="center"/>
                    <w:textAlignment w:val="auto"/>
                    <w:rPr>
                      <w:rFonts w:hint="default" w:ascii="Times New Roman" w:hAnsi="Times New Roman" w:eastAsia="宋体" w:cs="Times New Roman"/>
                      <w:b/>
                      <w:bCs/>
                      <w:snapToGrid/>
                      <w:color w:val="auto"/>
                      <w:kern w:val="2"/>
                      <w:lang w:eastAsia="zh-CN"/>
                    </w:rPr>
                  </w:pPr>
                  <w:r>
                    <w:rPr>
                      <w:rFonts w:hint="default" w:ascii="Times New Roman" w:hAnsi="Times New Roman" w:eastAsia="宋体" w:cs="Times New Roman"/>
                      <w:b/>
                      <w:bCs/>
                      <w:snapToGrid/>
                      <w:color w:val="auto"/>
                      <w:kern w:val="2"/>
                      <w:lang w:eastAsia="zh-CN"/>
                    </w:rPr>
                    <w:t>结论</w:t>
                  </w:r>
                </w:p>
              </w:tc>
            </w:tr>
            <w:tr w14:paraId="6AD2EE93">
              <w:trPr>
                <w:trHeight w:val="913" w:hRule="atLeast"/>
                <w:jc w:val="center"/>
              </w:trPr>
              <w:tc>
                <w:tcPr>
                  <w:tcW w:w="170" w:type="pct"/>
                  <w:tcBorders>
                    <w:left w:val="single" w:color="000000" w:sz="2" w:space="0"/>
                  </w:tcBorders>
                  <w:vAlign w:val="center"/>
                </w:tcPr>
                <w:p w14:paraId="611B37D6">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1</w:t>
                  </w:r>
                </w:p>
              </w:tc>
              <w:tc>
                <w:tcPr>
                  <w:tcW w:w="1777" w:type="pct"/>
                  <w:vAlign w:val="center"/>
                </w:tcPr>
                <w:p w14:paraId="6C39FC15">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选址应符合“三线一单”生态环境分区管控要求，不得位于法律法规禁止开发建设区域，避让自然保护区、生态保护红线、饮用水水源保护区等环境敏感区。</w:t>
                  </w:r>
                </w:p>
              </w:tc>
              <w:tc>
                <w:tcPr>
                  <w:tcW w:w="2879" w:type="pct"/>
                  <w:vAlign w:val="center"/>
                </w:tcPr>
                <w:p w14:paraId="0788AEB0">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项目位于昌吉州重点管控单元ZH65230220008—阜康市限采区，不涉及生态保护红线、自然保护区、风景名胜区、饮用水水源保护区等环境敏感区，符合昌吉州及自治区生态环境分区管控要求。</w:t>
                  </w:r>
                </w:p>
              </w:tc>
              <w:tc>
                <w:tcPr>
                  <w:tcW w:w="171" w:type="pct"/>
                  <w:vAlign w:val="center"/>
                </w:tcPr>
                <w:p w14:paraId="21A24F8F">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符合</w:t>
                  </w:r>
                </w:p>
              </w:tc>
            </w:tr>
            <w:tr w14:paraId="5C563077">
              <w:trPr>
                <w:trHeight w:val="2707" w:hRule="atLeast"/>
                <w:jc w:val="center"/>
              </w:trPr>
              <w:tc>
                <w:tcPr>
                  <w:tcW w:w="170" w:type="pct"/>
                  <w:tcBorders>
                    <w:left w:val="single" w:color="000000" w:sz="2" w:space="0"/>
                  </w:tcBorders>
                  <w:vAlign w:val="center"/>
                </w:tcPr>
                <w:p w14:paraId="39175E23">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2</w:t>
                  </w:r>
                </w:p>
              </w:tc>
              <w:tc>
                <w:tcPr>
                  <w:tcW w:w="1777" w:type="pct"/>
                  <w:vAlign w:val="center"/>
                </w:tcPr>
                <w:p w14:paraId="50832B5F">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选址与空间布局应符合国土空间规划、产业政策、行业规划及规划环评要求</w:t>
                  </w:r>
                  <w:r>
                    <w:rPr>
                      <w:rFonts w:hint="default" w:ascii="Times New Roman" w:hAnsi="Times New Roman" w:eastAsia="宋体" w:cs="Times New Roman"/>
                      <w:color w:val="auto"/>
                      <w:lang w:val="zh-CN" w:eastAsia="zh-CN"/>
                    </w:rPr>
                    <w:t>。</w:t>
                  </w:r>
                </w:p>
              </w:tc>
              <w:tc>
                <w:tcPr>
                  <w:tcW w:w="2879" w:type="pct"/>
                  <w:vAlign w:val="center"/>
                </w:tcPr>
                <w:p w14:paraId="5323C05D">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本项目为陆地油气勘探评价井项目，属于《产业结构调整指导目录（2024年本）》鼓励类，符合《新疆维吾尔自治区矿产资源总体规划（2021-2025年）》《新疆维吾尔自治区昌吉回族自治州矿产资源总体规划（2021-2025年）》及《吐哈油田公司勘探与生产业务“十四五”发展规划》要求</w:t>
                  </w:r>
                  <w:r>
                    <w:rPr>
                      <w:rFonts w:hint="default" w:ascii="Times New Roman" w:hAnsi="Times New Roman" w:eastAsia="宋体" w:cs="Times New Roman"/>
                      <w:color w:val="auto"/>
                      <w:lang w:val="zh-CN" w:eastAsia="zh-CN"/>
                    </w:rPr>
                    <w:t>。</w:t>
                  </w:r>
                </w:p>
              </w:tc>
              <w:tc>
                <w:tcPr>
                  <w:tcW w:w="171" w:type="pct"/>
                  <w:vAlign w:val="center"/>
                </w:tcPr>
                <w:p w14:paraId="1D979C5C">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符合</w:t>
                  </w:r>
                </w:p>
              </w:tc>
            </w:tr>
            <w:tr w14:paraId="3E64D323">
              <w:trPr>
                <w:trHeight w:val="1757" w:hRule="atLeast"/>
                <w:jc w:val="center"/>
              </w:trPr>
              <w:tc>
                <w:tcPr>
                  <w:tcW w:w="170" w:type="pct"/>
                  <w:tcBorders>
                    <w:left w:val="single" w:color="000000" w:sz="2" w:space="0"/>
                  </w:tcBorders>
                  <w:vAlign w:val="center"/>
                </w:tcPr>
                <w:p w14:paraId="718E2429">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3</w:t>
                  </w:r>
                </w:p>
              </w:tc>
              <w:tc>
                <w:tcPr>
                  <w:tcW w:w="1777" w:type="pct"/>
                  <w:vAlign w:val="center"/>
                </w:tcPr>
                <w:p w14:paraId="6B0CF516">
                  <w:pPr>
                    <w:widowControl w:val="0"/>
                    <w:kinsoku/>
                    <w:spacing w:line="240" w:lineRule="atLeast"/>
                    <w:jc w:val="both"/>
                    <w:rPr>
                      <w:rFonts w:hint="default" w:ascii="Times New Roman" w:hAnsi="Times New Roman" w:eastAsia="宋体" w:cs="Times New Roman"/>
                      <w:color w:val="auto"/>
                      <w:lang w:val="zh-CN"/>
                    </w:rPr>
                  </w:pPr>
                </w:p>
                <w:p w14:paraId="750E3E6A">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施工期应尽量减少施工占地、严格控制施工作业面积、缩短施工时间、选择合理施工方式，落实环境敏感区管控要求，有效降低生态环境影响</w:t>
                  </w:r>
                </w:p>
              </w:tc>
              <w:tc>
                <w:tcPr>
                  <w:tcW w:w="2879" w:type="pct"/>
                  <w:vAlign w:val="center"/>
                </w:tcPr>
                <w:p w14:paraId="3E7D5CB9">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本项目均为临时占地，严格控制井场、道路、生活营地等施工作业范围，单井钻井期90天、试油期</w:t>
                  </w:r>
                  <w:r>
                    <w:rPr>
                      <w:rFonts w:hint="eastAsia" w:ascii="Times New Roman" w:hAnsi="Times New Roman" w:eastAsia="宋体" w:cs="Times New Roman"/>
                      <w:color w:val="auto"/>
                      <w:lang w:val="en-US" w:eastAsia="zh-CN"/>
                    </w:rPr>
                    <w:t>180</w:t>
                  </w:r>
                  <w:r>
                    <w:rPr>
                      <w:rFonts w:hint="default" w:ascii="Times New Roman" w:hAnsi="Times New Roman" w:eastAsia="宋体" w:cs="Times New Roman"/>
                      <w:color w:val="auto"/>
                      <w:lang w:val="zh-CN"/>
                    </w:rPr>
                    <w:t>天，施工结束后及时清理、平整并开展生态恢复。项目选址不涉及环境敏感区</w:t>
                  </w:r>
                  <w:r>
                    <w:rPr>
                      <w:rFonts w:hint="default" w:ascii="Times New Roman" w:hAnsi="Times New Roman" w:eastAsia="宋体" w:cs="Times New Roman"/>
                      <w:color w:val="auto"/>
                      <w:lang w:val="zh-CN" w:eastAsia="zh-CN"/>
                    </w:rPr>
                    <w:t>。</w:t>
                  </w:r>
                </w:p>
              </w:tc>
              <w:tc>
                <w:tcPr>
                  <w:tcW w:w="171" w:type="pct"/>
                  <w:vAlign w:val="center"/>
                </w:tcPr>
                <w:p w14:paraId="6A5AF48E">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符合</w:t>
                  </w:r>
                </w:p>
              </w:tc>
            </w:tr>
            <w:tr w14:paraId="3FD57ABD">
              <w:trPr>
                <w:trHeight w:val="1865" w:hRule="atLeast"/>
                <w:jc w:val="center"/>
              </w:trPr>
              <w:tc>
                <w:tcPr>
                  <w:tcW w:w="170" w:type="pct"/>
                  <w:tcBorders>
                    <w:left w:val="single" w:color="000000" w:sz="2" w:space="0"/>
                  </w:tcBorders>
                  <w:vAlign w:val="center"/>
                </w:tcPr>
                <w:p w14:paraId="3D04C09A">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4</w:t>
                  </w:r>
                </w:p>
              </w:tc>
              <w:tc>
                <w:tcPr>
                  <w:tcW w:w="1777" w:type="pct"/>
                  <w:vAlign w:val="center"/>
                </w:tcPr>
                <w:p w14:paraId="7A5DBA72">
                  <w:pPr>
                    <w:widowControl w:val="0"/>
                    <w:kinsoku/>
                    <w:spacing w:line="240" w:lineRule="atLeast"/>
                    <w:jc w:val="both"/>
                    <w:rPr>
                      <w:rFonts w:hint="eastAsia"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选址应结合周边环境敏感目标分布，满足相关防护距离和井场布置要求</w:t>
                  </w:r>
                  <w:r>
                    <w:rPr>
                      <w:rFonts w:hint="eastAsia" w:ascii="Times New Roman" w:hAnsi="Times New Roman" w:eastAsia="宋体" w:cs="Times New Roman"/>
                      <w:color w:val="auto"/>
                      <w:lang w:val="zh-CN" w:eastAsia="zh-CN"/>
                    </w:rPr>
                    <w:t>。</w:t>
                  </w:r>
                </w:p>
              </w:tc>
              <w:tc>
                <w:tcPr>
                  <w:tcW w:w="2879" w:type="pct"/>
                  <w:vAlign w:val="center"/>
                </w:tcPr>
                <w:p w14:paraId="78C693D5">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经现场踏勘，本项目100m范围内无民宅，200m范围内无铁路、高速公路，500m范围内无学校、医院和大型油库等人口密集型、高危型场所，满足《钻前工程及井场布置技术要求》（SY/T5466-2013）相关要求</w:t>
                  </w:r>
                  <w:r>
                    <w:rPr>
                      <w:rFonts w:hint="default" w:ascii="Times New Roman" w:hAnsi="Times New Roman" w:eastAsia="宋体" w:cs="Times New Roman"/>
                      <w:color w:val="auto"/>
                      <w:lang w:val="zh-CN" w:eastAsia="zh-CN"/>
                    </w:rPr>
                    <w:t>。</w:t>
                  </w:r>
                </w:p>
              </w:tc>
              <w:tc>
                <w:tcPr>
                  <w:tcW w:w="171" w:type="pct"/>
                  <w:vAlign w:val="center"/>
                </w:tcPr>
                <w:p w14:paraId="75224C49">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符合</w:t>
                  </w:r>
                </w:p>
              </w:tc>
            </w:tr>
            <w:tr w14:paraId="6B7409E0">
              <w:trPr>
                <w:trHeight w:val="1064" w:hRule="atLeast"/>
                <w:jc w:val="center"/>
              </w:trPr>
              <w:tc>
                <w:tcPr>
                  <w:tcW w:w="170" w:type="pct"/>
                  <w:tcBorders>
                    <w:left w:val="single" w:color="000000" w:sz="2" w:space="0"/>
                  </w:tcBorders>
                  <w:vAlign w:val="center"/>
                </w:tcPr>
                <w:p w14:paraId="7BD285FD">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5</w:t>
                  </w:r>
                </w:p>
              </w:tc>
              <w:tc>
                <w:tcPr>
                  <w:tcW w:w="1777" w:type="pct"/>
                  <w:vAlign w:val="center"/>
                </w:tcPr>
                <w:p w14:paraId="566B393D">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陆地油气开发项目应对挥发性有机物液体储存和装载损失、废水集输和处理系统、设备与管线组件泄漏、非正常工况等无组织排放源进行有效管控</w:t>
                  </w:r>
                  <w:r>
                    <w:rPr>
                      <w:rFonts w:hint="default" w:ascii="Times New Roman" w:hAnsi="Times New Roman" w:eastAsia="宋体" w:cs="Times New Roman"/>
                      <w:color w:val="auto"/>
                      <w:lang w:val="zh-CN" w:eastAsia="zh-CN"/>
                    </w:rPr>
                    <w:t>。</w:t>
                  </w:r>
                </w:p>
              </w:tc>
              <w:tc>
                <w:tcPr>
                  <w:tcW w:w="2879" w:type="pct"/>
                  <w:vAlign w:val="center"/>
                </w:tcPr>
                <w:p w14:paraId="6A7FBC96">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本项目试油期原油入罐暂存，井下作业废水带罐回收，伴生气经排气管线燃烧后放空，落实设备密闭、带罐作业、规范集输等措施，满足《陆上石油天然气开采工业大气污染物排放标准》（GB39728-2020）要求</w:t>
                  </w:r>
                  <w:r>
                    <w:rPr>
                      <w:rFonts w:hint="eastAsia" w:ascii="Times New Roman" w:hAnsi="Times New Roman" w:eastAsia="宋体" w:cs="Times New Roman"/>
                      <w:color w:val="auto"/>
                      <w:lang w:val="zh-CN" w:eastAsia="zh-CN"/>
                    </w:rPr>
                    <w:t>。</w:t>
                  </w:r>
                </w:p>
              </w:tc>
              <w:tc>
                <w:tcPr>
                  <w:tcW w:w="171" w:type="pct"/>
                  <w:vAlign w:val="center"/>
                </w:tcPr>
                <w:p w14:paraId="4172C81E">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符合</w:t>
                  </w:r>
                </w:p>
              </w:tc>
            </w:tr>
            <w:tr w14:paraId="067D5291">
              <w:trPr>
                <w:trHeight w:val="761" w:hRule="atLeast"/>
                <w:jc w:val="center"/>
              </w:trPr>
              <w:tc>
                <w:tcPr>
                  <w:tcW w:w="170" w:type="pct"/>
                  <w:tcBorders>
                    <w:left w:val="single" w:color="000000" w:sz="2" w:space="0"/>
                  </w:tcBorders>
                  <w:vAlign w:val="center"/>
                </w:tcPr>
                <w:p w14:paraId="5DABD48E">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6</w:t>
                  </w:r>
                </w:p>
              </w:tc>
              <w:tc>
                <w:tcPr>
                  <w:tcW w:w="1777" w:type="pct"/>
                  <w:vAlign w:val="center"/>
                </w:tcPr>
                <w:p w14:paraId="240620EE">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陆地油气开发项目产生的废水应处理后优先回用，工业废水回用率应达到90%以上；压裂废液、酸化废液等井下作业废水应100%返排入罐</w:t>
                  </w:r>
                  <w:r>
                    <w:rPr>
                      <w:rFonts w:hint="default" w:ascii="Times New Roman" w:hAnsi="Times New Roman" w:eastAsia="宋体" w:cs="Times New Roman"/>
                      <w:color w:val="auto"/>
                      <w:lang w:val="zh-CN" w:eastAsia="zh-CN"/>
                    </w:rPr>
                    <w:t>。</w:t>
                  </w:r>
                </w:p>
              </w:tc>
              <w:tc>
                <w:tcPr>
                  <w:tcW w:w="2879" w:type="pct"/>
                  <w:vAlign w:val="center"/>
                </w:tcPr>
                <w:p w14:paraId="1A2A2008">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本项目井下作业废水全部带罐回收，拉运至吉28脱水站处理达标后回注油藏，不外排，满足废水回用与返排入罐要求</w:t>
                  </w:r>
                  <w:r>
                    <w:rPr>
                      <w:rFonts w:hint="default" w:ascii="Times New Roman" w:hAnsi="Times New Roman" w:eastAsia="宋体" w:cs="Times New Roman"/>
                      <w:color w:val="auto"/>
                      <w:lang w:val="zh-CN" w:eastAsia="zh-CN"/>
                    </w:rPr>
                    <w:t>。</w:t>
                  </w:r>
                </w:p>
              </w:tc>
              <w:tc>
                <w:tcPr>
                  <w:tcW w:w="171" w:type="pct"/>
                  <w:vAlign w:val="center"/>
                </w:tcPr>
                <w:p w14:paraId="5D1B9704">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符合</w:t>
                  </w:r>
                </w:p>
              </w:tc>
            </w:tr>
            <w:tr w14:paraId="459B6A1B">
              <w:trPr>
                <w:trHeight w:val="1197" w:hRule="atLeast"/>
                <w:jc w:val="center"/>
              </w:trPr>
              <w:tc>
                <w:tcPr>
                  <w:tcW w:w="170" w:type="pct"/>
                  <w:tcBorders>
                    <w:left w:val="single" w:color="000000" w:sz="2" w:space="0"/>
                  </w:tcBorders>
                  <w:vAlign w:val="center"/>
                </w:tcPr>
                <w:p w14:paraId="10D53D8D">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7</w:t>
                  </w:r>
                </w:p>
              </w:tc>
              <w:tc>
                <w:tcPr>
                  <w:tcW w:w="1777" w:type="pct"/>
                  <w:vAlign w:val="center"/>
                </w:tcPr>
                <w:p w14:paraId="5FA6F887">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涉及废水回注的，应采取地下水污染防治和监控措施，不得回注与油气开采无关废水，严禁造成地下水污染</w:t>
                  </w:r>
                  <w:r>
                    <w:rPr>
                      <w:rFonts w:hint="default" w:ascii="Times New Roman" w:hAnsi="Times New Roman" w:eastAsia="宋体" w:cs="Times New Roman"/>
                      <w:color w:val="auto"/>
                      <w:lang w:val="zh-CN" w:eastAsia="zh-CN"/>
                    </w:rPr>
                    <w:t>。</w:t>
                  </w:r>
                </w:p>
              </w:tc>
              <w:tc>
                <w:tcPr>
                  <w:tcW w:w="2879" w:type="pct"/>
                  <w:vAlign w:val="center"/>
                </w:tcPr>
                <w:p w14:paraId="239936A0">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本项目回注废水仅为井下作业废水，处理后回注油藏；项目采取水泥固井、重点区域防渗、分区防渗及风险防控措施，可有效防控地下水污染</w:t>
                  </w:r>
                  <w:r>
                    <w:rPr>
                      <w:rFonts w:hint="default" w:ascii="Times New Roman" w:hAnsi="Times New Roman" w:eastAsia="宋体" w:cs="Times New Roman"/>
                      <w:color w:val="auto"/>
                      <w:lang w:val="zh-CN" w:eastAsia="zh-CN"/>
                    </w:rPr>
                    <w:t>。</w:t>
                  </w:r>
                </w:p>
              </w:tc>
              <w:tc>
                <w:tcPr>
                  <w:tcW w:w="171" w:type="pct"/>
                  <w:vAlign w:val="center"/>
                </w:tcPr>
                <w:p w14:paraId="47D15AF6">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r>
                    <w:rPr>
                      <w:rFonts w:hint="default" w:ascii="Times New Roman" w:hAnsi="Times New Roman" w:eastAsia="宋体" w:cs="Times New Roman"/>
                      <w:snapToGrid/>
                      <w:color w:val="auto"/>
                      <w:kern w:val="2"/>
                      <w:lang w:eastAsia="zh-CN"/>
                    </w:rPr>
                    <w:t>符合</w:t>
                  </w:r>
                </w:p>
              </w:tc>
            </w:tr>
            <w:tr w14:paraId="648D5592">
              <w:trPr>
                <w:trHeight w:val="1197" w:hRule="atLeast"/>
                <w:jc w:val="center"/>
              </w:trPr>
              <w:tc>
                <w:tcPr>
                  <w:tcW w:w="170" w:type="pct"/>
                  <w:tcBorders>
                    <w:left w:val="single" w:color="000000" w:sz="2" w:space="0"/>
                  </w:tcBorders>
                  <w:vAlign w:val="center"/>
                </w:tcPr>
                <w:p w14:paraId="2083C776">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p>
              </w:tc>
              <w:tc>
                <w:tcPr>
                  <w:tcW w:w="1777" w:type="pct"/>
                  <w:vAlign w:val="center"/>
                </w:tcPr>
                <w:p w14:paraId="698A3BB7">
                  <w:pPr>
                    <w:widowControl w:val="0"/>
                    <w:kinsoku/>
                    <w:spacing w:line="240" w:lineRule="atLeast"/>
                    <w:jc w:val="both"/>
                    <w:rPr>
                      <w:rFonts w:hint="eastAsia"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废弃钻井泥浆及岩屑应采取“泥浆不落地”工艺；落地原油回收率应达100%；危险废物依法依规处置</w:t>
                  </w:r>
                  <w:r>
                    <w:rPr>
                      <w:rFonts w:hint="eastAsia" w:ascii="Times New Roman" w:hAnsi="Times New Roman" w:eastAsia="宋体" w:cs="Times New Roman"/>
                      <w:color w:val="auto"/>
                      <w:lang w:val="zh-CN" w:eastAsia="zh-CN"/>
                    </w:rPr>
                    <w:t>。</w:t>
                  </w:r>
                </w:p>
              </w:tc>
              <w:tc>
                <w:tcPr>
                  <w:tcW w:w="2879" w:type="pct"/>
                  <w:vAlign w:val="center"/>
                </w:tcPr>
                <w:p w14:paraId="476A29CF">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项目废弃钻井泥浆及岩屑采取“泥浆不落地”工艺，落地油100%回收；油基岩屑、废矿物油、废油桶、沾油废防渗材料等危险废物分类收集、规范暂存并委托有资质单位处置</w:t>
                  </w:r>
                </w:p>
              </w:tc>
              <w:tc>
                <w:tcPr>
                  <w:tcW w:w="171" w:type="pct"/>
                  <w:vAlign w:val="center"/>
                </w:tcPr>
                <w:p w14:paraId="1F4DA98B">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p>
              </w:tc>
            </w:tr>
            <w:tr w14:paraId="0723C93C">
              <w:trPr>
                <w:trHeight w:val="1197" w:hRule="atLeast"/>
                <w:jc w:val="center"/>
              </w:trPr>
              <w:tc>
                <w:tcPr>
                  <w:tcW w:w="170" w:type="pct"/>
                  <w:tcBorders>
                    <w:left w:val="single" w:color="000000" w:sz="2" w:space="0"/>
                  </w:tcBorders>
                  <w:vAlign w:val="center"/>
                </w:tcPr>
                <w:p w14:paraId="4ED9D637">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p>
              </w:tc>
              <w:tc>
                <w:tcPr>
                  <w:tcW w:w="1777" w:type="pct"/>
                  <w:vAlign w:val="center"/>
                </w:tcPr>
                <w:p w14:paraId="5D2AF43B">
                  <w:pPr>
                    <w:widowControl w:val="0"/>
                    <w:kinsoku/>
                    <w:spacing w:line="240" w:lineRule="atLeast"/>
                    <w:jc w:val="both"/>
                    <w:rPr>
                      <w:rFonts w:hint="eastAsia"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噪声排放应达到《工业企业厂界环境噪声排放标准》（GB12348）要求</w:t>
                  </w:r>
                  <w:r>
                    <w:rPr>
                      <w:rFonts w:hint="eastAsia" w:ascii="Times New Roman" w:hAnsi="Times New Roman" w:eastAsia="宋体" w:cs="Times New Roman"/>
                      <w:color w:val="auto"/>
                      <w:lang w:val="zh-CN" w:eastAsia="zh-CN"/>
                    </w:rPr>
                    <w:t>。</w:t>
                  </w:r>
                </w:p>
              </w:tc>
              <w:tc>
                <w:tcPr>
                  <w:tcW w:w="2879" w:type="pct"/>
                  <w:vAlign w:val="center"/>
                </w:tcPr>
                <w:p w14:paraId="400BC1CF">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项目采取减振、隔声、加强设备维护等措施，厂界噪声可满足《工业企业厂界环境噪声排放标准》（GB12348-2008）要求。</w:t>
                  </w:r>
                </w:p>
              </w:tc>
              <w:tc>
                <w:tcPr>
                  <w:tcW w:w="171" w:type="pct"/>
                  <w:vAlign w:val="center"/>
                </w:tcPr>
                <w:p w14:paraId="77FD71AC">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p>
              </w:tc>
            </w:tr>
            <w:tr w14:paraId="1ABEED6D">
              <w:trPr>
                <w:trHeight w:val="1202" w:hRule="atLeast"/>
                <w:jc w:val="center"/>
              </w:trPr>
              <w:tc>
                <w:tcPr>
                  <w:tcW w:w="170" w:type="pct"/>
                  <w:tcBorders>
                    <w:left w:val="single" w:color="000000" w:sz="2" w:space="0"/>
                  </w:tcBorders>
                  <w:vAlign w:val="center"/>
                </w:tcPr>
                <w:p w14:paraId="3122CDAB">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p>
              </w:tc>
              <w:tc>
                <w:tcPr>
                  <w:tcW w:w="1777" w:type="pct"/>
                  <w:vAlign w:val="center"/>
                </w:tcPr>
                <w:p w14:paraId="134B3D96">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对拟退役的废弃井（站）场、道路等工程设施应进行生态修复，确保无土壤及地下水环境污染遗留问题、废弃物得到妥善处置。</w:t>
                  </w:r>
                </w:p>
              </w:tc>
              <w:tc>
                <w:tcPr>
                  <w:tcW w:w="2879" w:type="pct"/>
                  <w:vAlign w:val="center"/>
                </w:tcPr>
                <w:p w14:paraId="108F1B64">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本项目钻试结束后根据试油结果进行封井或转入后续开发；无利用价值时将拆除设施、清理场地、实施生态恢复，确保无污染遗留问题。</w:t>
                  </w:r>
                </w:p>
              </w:tc>
              <w:tc>
                <w:tcPr>
                  <w:tcW w:w="171" w:type="pct"/>
                  <w:vAlign w:val="center"/>
                </w:tcPr>
                <w:p w14:paraId="103788A7">
                  <w:pPr>
                    <w:widowControl w:val="0"/>
                    <w:kinsoku/>
                    <w:spacing w:line="300" w:lineRule="exact"/>
                    <w:jc w:val="center"/>
                    <w:textAlignment w:val="auto"/>
                    <w:rPr>
                      <w:rFonts w:hint="default" w:ascii="Times New Roman" w:hAnsi="Times New Roman" w:eastAsia="宋体" w:cs="Times New Roman"/>
                      <w:snapToGrid/>
                      <w:color w:val="auto"/>
                      <w:kern w:val="2"/>
                      <w:lang w:eastAsia="zh-CN"/>
                    </w:rPr>
                  </w:pPr>
                </w:p>
              </w:tc>
            </w:tr>
          </w:tbl>
          <w:p w14:paraId="76AA7424">
            <w:pPr>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.与《新疆维吾尔自治区大气污染防治条例》符合性分析</w:t>
            </w:r>
          </w:p>
          <w:p w14:paraId="04367E58">
            <w:pPr>
              <w:pStyle w:val="23"/>
              <w:widowControl w:val="0"/>
              <w:kinsoku/>
              <w:spacing w:before="35" w:line="359" w:lineRule="auto"/>
              <w:ind w:left="3" w:right="87" w:firstLine="486"/>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lang w:eastAsia="zh-CN"/>
              </w:rPr>
              <w:t>《新疆维吾尔自治区大气污染防治条例》第三十七条规定：各级人民政府应当加强对建设施工、矿产资源开采、物料运输的扬尘和沙尘污染的治理，保持道路清洁、控制堆料和渣土堆放，科学合理扩大绿地、水面、湿地、地面铺装和防风固沙绿化面积</w:t>
            </w:r>
            <w:r>
              <w:rPr>
                <w:rFonts w:hint="default" w:ascii="Times New Roman" w:hAnsi="Times New Roman" w:eastAsia="宋体" w:cs="Times New Roman"/>
                <w:color w:val="auto"/>
                <w:spacing w:val="-3"/>
                <w:sz w:val="24"/>
                <w:szCs w:val="24"/>
                <w:lang w:eastAsia="zh-CN"/>
              </w:rPr>
              <w:t>,防治扬尘污染。第四十四条矿山开采产生的废石、废</w:t>
            </w:r>
            <w:r>
              <w:rPr>
                <w:rFonts w:hint="default" w:ascii="Times New Roman" w:hAnsi="Times New Roman" w:eastAsia="宋体" w:cs="Times New Roman"/>
                <w:color w:val="auto"/>
                <w:spacing w:val="-4"/>
                <w:sz w:val="24"/>
                <w:szCs w:val="24"/>
                <w:lang w:eastAsia="zh-CN"/>
              </w:rPr>
              <w:t>渣、泥土</w:t>
            </w:r>
            <w:r>
              <w:rPr>
                <w:rFonts w:hint="default" w:ascii="Times New Roman" w:hAnsi="Times New Roman" w:eastAsia="宋体" w:cs="Times New Roman"/>
                <w:color w:val="auto"/>
                <w:spacing w:val="-1"/>
                <w:sz w:val="24"/>
                <w:szCs w:val="24"/>
                <w:lang w:eastAsia="zh-CN"/>
              </w:rPr>
              <w:t>等应当堆放到专门存放地，并采取围挡、设置防尘网或者防尘布等防尘措施；施工便道应当硬化。</w:t>
            </w:r>
          </w:p>
          <w:p w14:paraId="3999B3C9">
            <w:pPr>
              <w:pStyle w:val="23"/>
              <w:widowControl w:val="0"/>
              <w:kinsoku/>
              <w:spacing w:before="7" w:line="359" w:lineRule="auto"/>
              <w:ind w:left="4" w:right="3"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施工期严格落实扬尘污染防治措施，施工便道采取压实硬化处理，运输车辆采取密闭或遮盖措施；针对钻井岩屑，项目采用“泥浆不落地”工艺进行分类收集与精细化处置，从源头杜绝扬尘污染。产生的水基岩屑经不落地设备处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委托具有</w:t>
            </w:r>
            <w:r>
              <w:rPr>
                <w:rFonts w:hint="default" w:ascii="Times New Roman" w:hAnsi="Times New Roman" w:eastAsia="宋体" w:cs="Times New Roman"/>
                <w:color w:val="auto"/>
                <w:sz w:val="24"/>
                <w:szCs w:val="24"/>
                <w:lang w:eastAsia="zh-CN"/>
              </w:rPr>
              <w:t>相应处理能力的第三方</w:t>
            </w:r>
            <w:r>
              <w:rPr>
                <w:rFonts w:hint="default" w:ascii="Times New Roman" w:hAnsi="Times New Roman" w:eastAsia="宋体" w:cs="Times New Roman"/>
                <w:color w:val="auto"/>
                <w:sz w:val="24"/>
                <w:szCs w:val="24"/>
                <w:lang w:val="en-US" w:eastAsia="zh-CN"/>
              </w:rPr>
              <w:t>环保</w:t>
            </w:r>
            <w:r>
              <w:rPr>
                <w:rFonts w:hint="default" w:ascii="Times New Roman" w:hAnsi="Times New Roman" w:eastAsia="宋体" w:cs="Times New Roman"/>
                <w:color w:val="auto"/>
                <w:sz w:val="24"/>
                <w:szCs w:val="24"/>
                <w:lang w:eastAsia="zh-CN"/>
              </w:rPr>
              <w:t>单位进行集中处置，经检测达到《油气田钻井固体废物综合利用污染控制要求》（DB65/T3997-2017）相关标准限值后综合利用</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由第三方</w:t>
            </w:r>
            <w:r>
              <w:rPr>
                <w:rFonts w:hint="default" w:ascii="Times New Roman" w:hAnsi="Times New Roman" w:eastAsia="宋体" w:cs="Times New Roman"/>
                <w:color w:val="auto"/>
                <w:sz w:val="24"/>
                <w:szCs w:val="24"/>
              </w:rPr>
              <w:t>用于铺设通井路、铺垫钻井</w:t>
            </w:r>
            <w:r>
              <w:rPr>
                <w:rFonts w:hint="default" w:ascii="Times New Roman" w:hAnsi="Times New Roman" w:eastAsia="宋体" w:cs="Times New Roman"/>
                <w:color w:val="auto"/>
                <w:sz w:val="24"/>
                <w:szCs w:val="24"/>
                <w:lang w:val="en-US" w:eastAsia="zh-CN"/>
              </w:rPr>
              <w:t>井场</w:t>
            </w:r>
            <w:r>
              <w:rPr>
                <w:rFonts w:hint="default" w:ascii="Times New Roman" w:hAnsi="Times New Roman" w:eastAsia="宋体" w:cs="Times New Roman"/>
                <w:color w:val="auto"/>
                <w:sz w:val="24"/>
                <w:szCs w:val="24"/>
              </w:rPr>
              <w:t>基础材料，既实现了资源化利用又起到了地面覆盖防尘的作用</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油基岩屑属于危险废物，严格暂存于现场专用</w:t>
            </w:r>
            <w:r>
              <w:rPr>
                <w:rFonts w:hint="default" w:ascii="Times New Roman" w:hAnsi="Times New Roman" w:eastAsia="宋体" w:cs="Times New Roman"/>
                <w:color w:val="auto"/>
                <w:sz w:val="24"/>
                <w:szCs w:val="24"/>
                <w:lang w:val="en-US" w:eastAsia="zh-CN"/>
              </w:rPr>
              <w:t>方罐内</w:t>
            </w:r>
            <w:r>
              <w:rPr>
                <w:rFonts w:hint="default" w:ascii="Times New Roman" w:hAnsi="Times New Roman" w:eastAsia="宋体" w:cs="Times New Roman"/>
                <w:color w:val="auto"/>
                <w:sz w:val="24"/>
                <w:szCs w:val="24"/>
              </w:rPr>
              <w:t>，严禁露天散堆，采取及时转运机制，委托有资质单位进行无害化处置，无扬尘产生</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此外，项目施工结束后拟对临时占地（包括井场及临时道路）进行平整和生态恢复治理，可有效减少长期扬尘影响。综上所述，项目建设符合《新疆维吾尔自治区大气污染防治条例》的相关要求</w:t>
            </w:r>
            <w:r>
              <w:rPr>
                <w:rFonts w:hint="default" w:ascii="Times New Roman" w:hAnsi="Times New Roman" w:eastAsia="宋体" w:cs="Times New Roman"/>
                <w:color w:val="auto"/>
                <w:spacing w:val="-1"/>
                <w:sz w:val="24"/>
                <w:szCs w:val="24"/>
                <w:lang w:eastAsia="zh-CN"/>
              </w:rPr>
              <w:t>。</w:t>
            </w:r>
          </w:p>
          <w:p w14:paraId="5892FA3D">
            <w:pPr>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.与《钻前工程及井场布置技术要求》（SY/T5466-2013)符合性分析</w:t>
            </w:r>
          </w:p>
          <w:p w14:paraId="1996D64C">
            <w:pPr>
              <w:pStyle w:val="23"/>
              <w:widowControl/>
              <w:kinsoku/>
              <w:spacing w:line="360" w:lineRule="auto"/>
              <w:ind w:left="5" w:firstLine="485"/>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《钻前工程及井场布置技术要求》（</w:t>
            </w:r>
            <w:r>
              <w:rPr>
                <w:rFonts w:hint="default" w:ascii="Times New Roman" w:hAnsi="Times New Roman" w:eastAsia="宋体" w:cs="Times New Roman"/>
                <w:color w:val="auto"/>
                <w:sz w:val="24"/>
                <w:szCs w:val="24"/>
                <w:lang w:eastAsia="zh-CN"/>
              </w:rPr>
              <w:t>SY</w:t>
            </w:r>
            <w:r>
              <w:rPr>
                <w:rFonts w:hint="default" w:ascii="Times New Roman" w:hAnsi="Times New Roman" w:eastAsia="宋体" w:cs="Times New Roman"/>
                <w:color w:val="auto"/>
                <w:spacing w:val="2"/>
                <w:sz w:val="24"/>
                <w:szCs w:val="24"/>
                <w:lang w:eastAsia="zh-CN"/>
              </w:rPr>
              <w:t>/T5466-2013）中“油</w:t>
            </w:r>
            <w:r>
              <w:rPr>
                <w:rFonts w:hint="default" w:ascii="Times New Roman" w:hAnsi="Times New Roman" w:eastAsia="宋体" w:cs="Times New Roman"/>
                <w:color w:val="auto"/>
                <w:spacing w:val="-4"/>
                <w:sz w:val="24"/>
                <w:szCs w:val="24"/>
                <w:lang w:eastAsia="zh-CN"/>
              </w:rPr>
              <w:t>气井井口距高压线及其他永久性设施应不小于75m；距民宅应不小</w:t>
            </w:r>
            <w:r>
              <w:rPr>
                <w:rFonts w:hint="default" w:ascii="Times New Roman" w:hAnsi="Times New Roman" w:eastAsia="宋体" w:cs="Times New Roman"/>
                <w:color w:val="auto"/>
                <w:spacing w:val="-2"/>
                <w:sz w:val="24"/>
                <w:szCs w:val="24"/>
                <w:lang w:eastAsia="zh-CN"/>
              </w:rPr>
              <w:t>于100m；距铁路、高速公路应不小于200m；距学校、医院和大型</w:t>
            </w:r>
            <w:r>
              <w:rPr>
                <w:rFonts w:hint="default" w:ascii="Times New Roman" w:hAnsi="Times New Roman" w:eastAsia="宋体" w:cs="Times New Roman"/>
                <w:color w:val="auto"/>
                <w:spacing w:val="-1"/>
                <w:sz w:val="24"/>
                <w:szCs w:val="24"/>
                <w:lang w:eastAsia="zh-CN"/>
              </w:rPr>
              <w:t>油库等人口密集性、高危型场所应不小于500m”的要求。</w:t>
            </w:r>
          </w:p>
          <w:p w14:paraId="4AA7D6CF">
            <w:pPr>
              <w:pStyle w:val="23"/>
              <w:widowControl/>
              <w:kinsoku/>
              <w:spacing w:line="360" w:lineRule="auto"/>
              <w:ind w:left="21" w:firstLine="465"/>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经现场踏勘，本项目100m范围内无民宅；200m范围内无</w:t>
            </w:r>
            <w:r>
              <w:rPr>
                <w:rFonts w:hint="default" w:ascii="Times New Roman" w:hAnsi="Times New Roman" w:eastAsia="宋体" w:cs="Times New Roman"/>
                <w:color w:val="auto"/>
                <w:spacing w:val="-3"/>
                <w:sz w:val="24"/>
                <w:szCs w:val="24"/>
                <w:lang w:eastAsia="zh-CN"/>
              </w:rPr>
              <w:t>铁路</w:t>
            </w:r>
            <w:r>
              <w:rPr>
                <w:rFonts w:hint="default" w:ascii="Times New Roman" w:hAnsi="Times New Roman" w:eastAsia="宋体" w:cs="Times New Roman"/>
                <w:color w:val="auto"/>
                <w:sz w:val="24"/>
                <w:szCs w:val="24"/>
                <w:lang w:eastAsia="zh-CN"/>
              </w:rPr>
              <w:t>、高速公路；500m范围内无学校、医院和</w:t>
            </w:r>
            <w:r>
              <w:rPr>
                <w:rFonts w:hint="default" w:ascii="Times New Roman" w:hAnsi="Times New Roman" w:eastAsia="宋体" w:cs="Times New Roman"/>
                <w:color w:val="auto"/>
                <w:spacing w:val="-1"/>
                <w:sz w:val="24"/>
                <w:szCs w:val="24"/>
                <w:lang w:eastAsia="zh-CN"/>
              </w:rPr>
              <w:t>大型油库等人口密集型</w:t>
            </w:r>
            <w:r>
              <w:rPr>
                <w:rFonts w:hint="default" w:ascii="Times New Roman" w:hAnsi="Times New Roman" w:eastAsia="宋体" w:cs="Times New Roman"/>
                <w:color w:val="auto"/>
                <w:spacing w:val="-16"/>
                <w:sz w:val="24"/>
                <w:szCs w:val="24"/>
                <w:lang w:eastAsia="zh-CN"/>
              </w:rPr>
              <w:t>、高危型</w:t>
            </w:r>
            <w:r>
              <w:rPr>
                <w:rFonts w:hint="default" w:ascii="Times New Roman" w:hAnsi="Times New Roman" w:eastAsia="宋体" w:cs="Times New Roman"/>
                <w:color w:val="auto"/>
                <w:spacing w:val="-15"/>
                <w:sz w:val="24"/>
                <w:szCs w:val="24"/>
                <w:lang w:eastAsia="zh-CN"/>
              </w:rPr>
              <w:t>场所，满足《钻前工程及井场布置技术要求》（SY/T546</w:t>
            </w:r>
            <w:r>
              <w:rPr>
                <w:rFonts w:hint="default" w:ascii="Times New Roman" w:hAnsi="Times New Roman" w:eastAsia="宋体" w:cs="Times New Roman"/>
                <w:color w:val="auto"/>
                <w:spacing w:val="-16"/>
                <w:sz w:val="24"/>
                <w:szCs w:val="24"/>
                <w:lang w:eastAsia="zh-CN"/>
              </w:rPr>
              <w:t>6-2</w:t>
            </w:r>
            <w:r>
              <w:rPr>
                <w:rFonts w:hint="default" w:ascii="Times New Roman" w:hAnsi="Times New Roman" w:eastAsia="宋体" w:cs="Times New Roman"/>
                <w:color w:val="auto"/>
                <w:spacing w:val="-12"/>
                <w:sz w:val="24"/>
                <w:szCs w:val="24"/>
                <w:lang w:eastAsia="zh-CN"/>
              </w:rPr>
              <w:t>0</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pacing w:val="-3"/>
                <w:sz w:val="24"/>
                <w:szCs w:val="24"/>
                <w:lang w:eastAsia="zh-CN"/>
              </w:rPr>
              <w:t>13）的相关要求。</w:t>
            </w:r>
          </w:p>
          <w:p w14:paraId="23E89BB1">
            <w:pPr>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.与《新疆维吾尔自治区2025年空气质量持续改善行动实施方案》（新政办发〔2024〕58号）符合性分析</w:t>
            </w:r>
          </w:p>
          <w:p w14:paraId="2DA99CA2">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项目与《新疆维吾尔自治区2025年空气质量持续改善行动实施方案》（新政办发〔2024〕58号）符合性分析见表1-10。</w:t>
            </w:r>
          </w:p>
          <w:p w14:paraId="5EEAC9B1">
            <w:pPr>
              <w:widowControl w:val="0"/>
              <w:kinsoku/>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lang w:eastAsia="zh-CN"/>
              </w:rPr>
              <w:t>表1-10与《新疆维吾尔自治区2025年空气质量持续改善行动实施方案》符合性分析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3800"/>
              <w:gridCol w:w="2292"/>
              <w:gridCol w:w="467"/>
            </w:tblGrid>
            <w:tr w14:paraId="5AA76680">
              <w:trPr>
                <w:trHeight w:val="90" w:hRule="atLeast"/>
              </w:trPr>
              <w:tc>
                <w:tcPr>
                  <w:tcW w:w="319" w:type="pct"/>
                  <w:vAlign w:val="center"/>
                </w:tcPr>
                <w:p w14:paraId="70487925">
                  <w:pPr>
                    <w:widowControl w:val="0"/>
                    <w:kinsoku/>
                    <w:spacing w:line="240" w:lineRule="atLeas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序号</w:t>
                  </w:r>
                </w:p>
              </w:tc>
              <w:tc>
                <w:tcPr>
                  <w:tcW w:w="2711" w:type="pct"/>
                  <w:vAlign w:val="center"/>
                </w:tcPr>
                <w:p w14:paraId="275C6539">
                  <w:pPr>
                    <w:widowControl w:val="0"/>
                    <w:kinsoku/>
                    <w:spacing w:line="240" w:lineRule="atLeas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方案内容</w:t>
                  </w:r>
                </w:p>
              </w:tc>
              <w:tc>
                <w:tcPr>
                  <w:tcW w:w="1635" w:type="pct"/>
                  <w:vAlign w:val="center"/>
                </w:tcPr>
                <w:p w14:paraId="1EA3FB06">
                  <w:pPr>
                    <w:widowControl w:val="0"/>
                    <w:kinsoku/>
                    <w:spacing w:line="240" w:lineRule="atLeas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项目情况</w:t>
                  </w:r>
                </w:p>
              </w:tc>
              <w:tc>
                <w:tcPr>
                  <w:tcW w:w="333" w:type="pct"/>
                  <w:vAlign w:val="center"/>
                </w:tcPr>
                <w:p w14:paraId="13E1DB51">
                  <w:pPr>
                    <w:widowControl w:val="0"/>
                    <w:kinsoku/>
                    <w:spacing w:line="240" w:lineRule="atLeas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符合性</w:t>
                  </w:r>
                </w:p>
              </w:tc>
            </w:tr>
            <w:tr w14:paraId="665F071C">
              <w:trPr>
                <w:trHeight w:val="368" w:hRule="atLeast"/>
              </w:trPr>
              <w:tc>
                <w:tcPr>
                  <w:tcW w:w="319" w:type="pct"/>
                  <w:vAlign w:val="center"/>
                </w:tcPr>
                <w:p w14:paraId="63141F8E">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c>
                <w:tcPr>
                  <w:tcW w:w="2711" w:type="pct"/>
                  <w:vAlign w:val="center"/>
                </w:tcPr>
                <w:p w14:paraId="160B6960">
                  <w:pPr>
                    <w:widowControl w:val="0"/>
                    <w:kinsoku/>
                    <w:spacing w:line="240" w:lineRule="atLeast"/>
                    <w:jc w:val="both"/>
                    <w:rPr>
                      <w:rFonts w:hint="default" w:ascii="Times New Roman" w:hAnsi="Times New Roman" w:eastAsia="宋体" w:cs="Times New Roman"/>
                      <w:color w:val="auto"/>
                    </w:rPr>
                  </w:pPr>
                  <w:r>
                    <w:rPr>
                      <w:rFonts w:hint="default" w:ascii="Times New Roman" w:hAnsi="Times New Roman" w:eastAsia="宋体" w:cs="Times New Roman"/>
                      <w:color w:val="auto"/>
                      <w:lang w:val="zh-CN"/>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严格落实钢铁产能置换，联防联控区严禁新增钢铁产能。推行钢铁、焦化、烧结一体化布局，大幅减少独立焦化、烧结、球团和热轧企业及工序。到2025年，短流程炼钢产量占比力争提升至15%</w:t>
                  </w:r>
                </w:p>
              </w:tc>
              <w:tc>
                <w:tcPr>
                  <w:tcW w:w="1635" w:type="pct"/>
                  <w:vAlign w:val="center"/>
                </w:tcPr>
                <w:p w14:paraId="4ED632BC">
                  <w:pPr>
                    <w:widowControl w:val="0"/>
                    <w:kinsoku/>
                    <w:spacing w:line="24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本项目不属于钢铁行业及高排放、高耗能、低水平的工业项目，符合国家产业政策</w:t>
                  </w:r>
                </w:p>
              </w:tc>
              <w:tc>
                <w:tcPr>
                  <w:tcW w:w="333" w:type="pct"/>
                  <w:vAlign w:val="center"/>
                </w:tcPr>
                <w:p w14:paraId="0A652C3E">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4CC923A2">
              <w:trPr>
                <w:trHeight w:val="368" w:hRule="atLeast"/>
              </w:trPr>
              <w:tc>
                <w:tcPr>
                  <w:tcW w:w="319" w:type="pct"/>
                  <w:vAlign w:val="center"/>
                </w:tcPr>
                <w:p w14:paraId="66A0AD0A">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w:t>
                  </w:r>
                </w:p>
              </w:tc>
              <w:tc>
                <w:tcPr>
                  <w:tcW w:w="2711" w:type="pct"/>
                  <w:vAlign w:val="center"/>
                </w:tcPr>
                <w:p w14:paraId="3D1B39BE">
                  <w:pPr>
                    <w:widowControl w:val="0"/>
                    <w:kinsoku/>
                    <w:spacing w:line="24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172阜康油田康探 1 区块二叠系上乌尔禾组砾岩油藏康探 1 断块开发试验步进式烧结机和球团竖炉以及半封闭式硅锰合金、镍铁、高碳铬铁、高碳锰铁电炉。</w:t>
                  </w:r>
                  <w:r>
                    <w:rPr>
                      <w:rFonts w:hint="default" w:ascii="Times New Roman" w:hAnsi="Times New Roman" w:eastAsia="宋体" w:cs="Times New Roman"/>
                      <w:color w:val="auto"/>
                      <w:lang w:val="zh-CN" w:eastAsia="zh-CN"/>
                    </w:rPr>
                    <w:t>引导重点区域钢铁、焦化、电解铝等产业有序调整优化</w:t>
                  </w:r>
                </w:p>
              </w:tc>
              <w:tc>
                <w:tcPr>
                  <w:tcW w:w="1635" w:type="pct"/>
                  <w:vAlign w:val="center"/>
                </w:tcPr>
                <w:p w14:paraId="5882F115">
                  <w:pPr>
                    <w:widowControl w:val="0"/>
                    <w:kinsoku/>
                    <w:spacing w:line="24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本项目为陆地石油</w:t>
                  </w:r>
                  <w:r>
                    <w:rPr>
                      <w:rFonts w:hint="default" w:ascii="Times New Roman" w:hAnsi="Times New Roman" w:eastAsia="宋体" w:cs="Times New Roman"/>
                      <w:color w:val="auto"/>
                      <w:lang w:eastAsia="zh-CN"/>
                    </w:rPr>
                    <w:t>勘探</w:t>
                  </w:r>
                  <w:r>
                    <w:rPr>
                      <w:rFonts w:hint="default" w:ascii="Times New Roman" w:hAnsi="Times New Roman" w:eastAsia="宋体" w:cs="Times New Roman"/>
                      <w:color w:val="auto"/>
                      <w:lang w:val="en-US" w:eastAsia="zh-CN"/>
                    </w:rPr>
                    <w:t>评价井钻试工程</w:t>
                  </w:r>
                  <w:r>
                    <w:rPr>
                      <w:rFonts w:hint="default" w:ascii="Times New Roman" w:hAnsi="Times New Roman" w:eastAsia="宋体" w:cs="Times New Roman"/>
                      <w:color w:val="auto"/>
                      <w:lang w:val="zh-CN" w:eastAsia="zh-CN"/>
                    </w:rPr>
                    <w:t>项目，属于鼓励类</w:t>
                  </w:r>
                  <w:r>
                    <w:rPr>
                      <w:rFonts w:hint="default" w:ascii="Times New Roman" w:hAnsi="Times New Roman" w:eastAsia="宋体" w:cs="Times New Roman"/>
                      <w:color w:val="auto"/>
                      <w:lang w:eastAsia="zh-CN"/>
                    </w:rPr>
                    <w:t>项</w:t>
                  </w:r>
                  <w:r>
                    <w:rPr>
                      <w:rFonts w:hint="default" w:ascii="Times New Roman" w:hAnsi="Times New Roman" w:eastAsia="宋体" w:cs="Times New Roman"/>
                      <w:color w:val="auto"/>
                      <w:lang w:val="zh-CN" w:eastAsia="zh-CN"/>
                    </w:rPr>
                    <w:t>目，不在淘汰类工业项目名录中</w:t>
                  </w:r>
                </w:p>
              </w:tc>
              <w:tc>
                <w:tcPr>
                  <w:tcW w:w="333" w:type="pct"/>
                  <w:vAlign w:val="center"/>
                </w:tcPr>
                <w:p w14:paraId="3267A246">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3CFFACE9">
              <w:trPr>
                <w:trHeight w:val="368" w:hRule="atLeast"/>
              </w:trPr>
              <w:tc>
                <w:tcPr>
                  <w:tcW w:w="319" w:type="pct"/>
                  <w:vAlign w:val="center"/>
                </w:tcPr>
                <w:p w14:paraId="5B68CD46">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w:t>
                  </w:r>
                </w:p>
              </w:tc>
              <w:tc>
                <w:tcPr>
                  <w:tcW w:w="2711" w:type="pct"/>
                  <w:vAlign w:val="center"/>
                </w:tcPr>
                <w:p w14:paraId="5E97E4F3">
                  <w:pPr>
                    <w:widowControl w:val="0"/>
                    <w:kinsoku/>
                    <w:spacing w:line="24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rPr>
                    <w:t>推进传统产业集群升级改造。</w:t>
                  </w:r>
                  <w:r>
                    <w:rPr>
                      <w:rFonts w:hint="default" w:ascii="Times New Roman" w:hAnsi="Times New Roman" w:eastAsia="宋体" w:cs="Times New Roman"/>
                      <w:color w:val="auto"/>
                      <w:lang w:val="zh-CN" w:eastAsia="zh-CN"/>
                    </w:rPr>
                    <w:t>推动传统产业集群升级发展，开展产业集群专项治理，依法淘汰关停一批、搬迁入园一批、就地改造一批、做优做强一批，因地制宜建设集中供热中心、集中喷涂中心、活性炭集中再生中心和有机溶剂集中回收处置中心</w:t>
                  </w:r>
                </w:p>
              </w:tc>
              <w:tc>
                <w:tcPr>
                  <w:tcW w:w="1635" w:type="pct"/>
                  <w:vAlign w:val="center"/>
                </w:tcPr>
                <w:p w14:paraId="0437150C">
                  <w:pPr>
                    <w:widowControl w:val="0"/>
                    <w:kinsoku/>
                    <w:spacing w:line="24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本项目为分散式油气勘探作业，不属于传统产业集群。生活区采暖采用电采暖，不涉及大规模集中供热、喷涂或有机溶剂使用环节。</w:t>
                  </w:r>
                </w:p>
              </w:tc>
              <w:tc>
                <w:tcPr>
                  <w:tcW w:w="333" w:type="pct"/>
                  <w:vAlign w:val="center"/>
                </w:tcPr>
                <w:p w14:paraId="502F2DDF">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0A63B806">
              <w:trPr>
                <w:trHeight w:val="368" w:hRule="atLeast"/>
              </w:trPr>
              <w:tc>
                <w:tcPr>
                  <w:tcW w:w="319" w:type="pct"/>
                  <w:vAlign w:val="center"/>
                </w:tcPr>
                <w:p w14:paraId="37994BE0">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4</w:t>
                  </w:r>
                </w:p>
              </w:tc>
              <w:tc>
                <w:tcPr>
                  <w:tcW w:w="2711" w:type="pct"/>
                  <w:vAlign w:val="center"/>
                </w:tcPr>
                <w:p w14:paraId="0F009311">
                  <w:pPr>
                    <w:widowControl w:val="0"/>
                    <w:kinsoku/>
                    <w:spacing w:line="24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rPr>
                    <w:t>大力发展新能源和清洁能源。推进风电光伏等清洁能源基地建设，构建新型电力系统。推进新能源与优势产业联动发展，加大高载能行业和自备电厂清洁能源替代力度。非化石能源消费比重和电能占终端能源消费比重达到相关规划要求。</w:t>
                  </w:r>
                  <w:r>
                    <w:rPr>
                      <w:rFonts w:hint="default" w:ascii="Times New Roman" w:hAnsi="Times New Roman" w:eastAsia="宋体" w:cs="Times New Roman"/>
                      <w:color w:val="auto"/>
                      <w:lang w:val="zh-CN" w:eastAsia="zh-CN"/>
                    </w:rPr>
                    <w:t>持续增加天然气生产供应，优先保障居民生活和清洁取暖、农业散煤治理等需求</w:t>
                  </w:r>
                </w:p>
              </w:tc>
              <w:tc>
                <w:tcPr>
                  <w:tcW w:w="1635" w:type="pct"/>
                  <w:vAlign w:val="center"/>
                </w:tcPr>
                <w:p w14:paraId="2416999E">
                  <w:pPr>
                    <w:widowControl w:val="0"/>
                    <w:kinsoku/>
                    <w:spacing w:line="24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本项目为陆地石油</w:t>
                  </w:r>
                  <w:r>
                    <w:rPr>
                      <w:rFonts w:hint="default" w:ascii="Times New Roman" w:hAnsi="Times New Roman" w:eastAsia="宋体" w:cs="Times New Roman"/>
                      <w:color w:val="auto"/>
                      <w:lang w:eastAsia="zh-CN"/>
                    </w:rPr>
                    <w:t>勘探</w:t>
                  </w:r>
                  <w:r>
                    <w:rPr>
                      <w:rFonts w:hint="default" w:ascii="Times New Roman" w:hAnsi="Times New Roman" w:eastAsia="宋体" w:cs="Times New Roman"/>
                      <w:color w:val="auto"/>
                      <w:lang w:val="en-US" w:eastAsia="zh-CN"/>
                    </w:rPr>
                    <w:t>评价井钻试工程</w:t>
                  </w:r>
                  <w:r>
                    <w:rPr>
                      <w:rFonts w:hint="default" w:ascii="Times New Roman" w:hAnsi="Times New Roman" w:eastAsia="宋体" w:cs="Times New Roman"/>
                      <w:color w:val="auto"/>
                      <w:lang w:val="zh-CN" w:eastAsia="zh-CN"/>
                    </w:rPr>
                    <w:t>项目，属于国家能源项目</w:t>
                  </w:r>
                </w:p>
              </w:tc>
              <w:tc>
                <w:tcPr>
                  <w:tcW w:w="333" w:type="pct"/>
                  <w:vAlign w:val="center"/>
                </w:tcPr>
                <w:p w14:paraId="120FFCD8">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5B11F07D">
              <w:trPr>
                <w:trHeight w:val="376" w:hRule="atLeast"/>
              </w:trPr>
              <w:tc>
                <w:tcPr>
                  <w:tcW w:w="319" w:type="pct"/>
                  <w:vAlign w:val="center"/>
                </w:tcPr>
                <w:p w14:paraId="2E977195">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5</w:t>
                  </w:r>
                </w:p>
              </w:tc>
              <w:tc>
                <w:tcPr>
                  <w:tcW w:w="2711" w:type="pct"/>
                  <w:vAlign w:val="center"/>
                </w:tcPr>
                <w:p w14:paraId="02ED2BD6">
                  <w:pPr>
                    <w:widowControl w:val="0"/>
                    <w:kinsoku/>
                    <w:spacing w:line="24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rPr>
                    <w:t>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合理保障支撑电力稳定供应、电网安全运行、清洁能源大规模并网消纳的煤电项目及其用煤量。</w:t>
                  </w:r>
                  <w:r>
                    <w:rPr>
                      <w:rFonts w:hint="default" w:ascii="Times New Roman" w:hAnsi="Times New Roman" w:eastAsia="宋体" w:cs="Times New Roman"/>
                      <w:color w:val="auto"/>
                      <w:lang w:val="zh-CN" w:eastAsia="zh-CN"/>
                    </w:rPr>
                    <w:t>完善联防联控区骨干电网建设，保障冬季生产用电需求</w:t>
                  </w:r>
                </w:p>
              </w:tc>
              <w:tc>
                <w:tcPr>
                  <w:tcW w:w="1635" w:type="pct"/>
                  <w:vAlign w:val="center"/>
                </w:tcPr>
                <w:p w14:paraId="5FB767E3">
                  <w:pPr>
                    <w:widowControl w:val="0"/>
                    <w:kinsoku/>
                    <w:spacing w:line="24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本项目施工动力主要依靠</w:t>
                  </w:r>
                  <w:r>
                    <w:rPr>
                      <w:rFonts w:hint="default" w:ascii="Times New Roman" w:hAnsi="Times New Roman" w:eastAsia="宋体" w:cs="Times New Roman"/>
                      <w:color w:val="auto"/>
                      <w:lang w:val="en-US" w:eastAsia="zh-CN"/>
                    </w:rPr>
                    <w:t>工业用电</w:t>
                  </w:r>
                  <w:r>
                    <w:rPr>
                      <w:rFonts w:hint="default" w:ascii="Times New Roman" w:hAnsi="Times New Roman" w:eastAsia="宋体" w:cs="Times New Roman"/>
                      <w:color w:val="auto"/>
                      <w:lang w:val="zh-CN" w:eastAsia="zh-CN"/>
                    </w:rPr>
                    <w:t>，柴油发电机仅作为备用电源；施工及试油全过程均不使用煤炭及其制品，不新增煤炭消费量。</w:t>
                  </w:r>
                </w:p>
              </w:tc>
              <w:tc>
                <w:tcPr>
                  <w:tcW w:w="333" w:type="pct"/>
                  <w:vAlign w:val="center"/>
                </w:tcPr>
                <w:p w14:paraId="1A1963AF">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1090C341">
              <w:trPr>
                <w:trHeight w:val="376" w:hRule="atLeast"/>
              </w:trPr>
              <w:tc>
                <w:tcPr>
                  <w:tcW w:w="319" w:type="pct"/>
                  <w:vAlign w:val="center"/>
                </w:tcPr>
                <w:p w14:paraId="5A43C2ED">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6</w:t>
                  </w:r>
                </w:p>
              </w:tc>
              <w:tc>
                <w:tcPr>
                  <w:tcW w:w="2711" w:type="pct"/>
                  <w:vAlign w:val="center"/>
                </w:tcPr>
                <w:p w14:paraId="7499DDEE">
                  <w:pPr>
                    <w:widowControl w:val="0"/>
                    <w:kinsoku/>
                    <w:spacing w:line="240" w:lineRule="atLeast"/>
                    <w:jc w:val="both"/>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持续强化扬尘污染综合管控。施工场地严格落实“六个百分百”要求。扬尘污染防治费用纳入工程造价，3000m</w:t>
                  </w:r>
                  <w:r>
                    <w:rPr>
                      <w:rFonts w:hint="default" w:ascii="Times New Roman" w:hAnsi="Times New Roman" w:eastAsia="宋体" w:cs="Times New Roman"/>
                      <w:color w:val="auto"/>
                      <w:vertAlign w:val="superscript"/>
                      <w:lang w:val="zh-CN"/>
                    </w:rPr>
                    <w:t>2</w:t>
                  </w:r>
                  <w:r>
                    <w:rPr>
                      <w:rFonts w:hint="default" w:ascii="Times New Roman" w:hAnsi="Times New Roman" w:eastAsia="宋体" w:cs="Times New Roman"/>
                      <w:color w:val="auto"/>
                      <w:lang w:val="zh-CN"/>
                    </w:rPr>
                    <w:t>及以上建筑工地安装视频监控并接入当地监管平台。道路、水务等长距离线性工程实行分段施工。城市建成区主次干道机械化清扫率达到80%。加强城市及周边公共裸地、物料堆场等易产尘区域抑尘管理。到2025年，装配式建筑占新建建筑面积比例达到 30%</w:t>
                  </w:r>
                </w:p>
              </w:tc>
              <w:tc>
                <w:tcPr>
                  <w:tcW w:w="1635" w:type="pct"/>
                  <w:vAlign w:val="center"/>
                </w:tcPr>
                <w:p w14:paraId="4DE3D983">
                  <w:pPr>
                    <w:widowControl w:val="0"/>
                    <w:kinsoku/>
                    <w:spacing w:line="240" w:lineRule="atLeast"/>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本项目严格落实“六个百分之百”扬尘防控措施，扬尘治理费用已纳入工程造价。通过洒水抑尘、物料覆盖等措施有效控制扬尘；钻井岩屑采用不落地工艺处理，避免了露天堆放产生的扬尘污染。</w:t>
                  </w:r>
                </w:p>
              </w:tc>
              <w:tc>
                <w:tcPr>
                  <w:tcW w:w="333" w:type="pct"/>
                  <w:vAlign w:val="center"/>
                </w:tcPr>
                <w:p w14:paraId="391C5FB7">
                  <w:pPr>
                    <w:widowControl w:val="0"/>
                    <w:kinsoku/>
                    <w:spacing w:line="24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bl>
          <w:p w14:paraId="1C9F4AF0">
            <w:pPr>
              <w:widowControl w:val="0"/>
              <w:kinsoku/>
              <w:spacing w:line="360" w:lineRule="auto"/>
              <w:jc w:val="both"/>
              <w:rPr>
                <w:rFonts w:hint="default" w:ascii="Times New Roman" w:hAnsi="Times New Roman" w:eastAsia="宋体" w:cs="Times New Roman"/>
                <w:color w:val="auto"/>
                <w:sz w:val="24"/>
                <w:szCs w:val="24"/>
              </w:rPr>
            </w:pPr>
          </w:p>
        </w:tc>
      </w:tr>
    </w:tbl>
    <w:p w14:paraId="01B9D9C8">
      <w:pPr>
        <w:kinsoku/>
        <w:spacing w:line="219" w:lineRule="auto"/>
        <w:rPr>
          <w:rFonts w:ascii="Times New Roman" w:hAnsi="Times New Roman" w:eastAsia="宋体" w:cs="Times New Roman"/>
          <w:color w:val="auto"/>
          <w:sz w:val="24"/>
          <w:szCs w:val="24"/>
        </w:rPr>
      </w:pPr>
    </w:p>
    <w:p w14:paraId="51E483C1">
      <w:pPr>
        <w:kinsoku/>
        <w:rPr>
          <w:rFonts w:ascii="Times New Roman" w:hAnsi="Times New Roman" w:eastAsia="宋体" w:cs="Times New Roman"/>
          <w:b/>
          <w:bCs/>
          <w:color w:val="auto"/>
          <w:spacing w:val="4"/>
          <w:sz w:val="31"/>
          <w:szCs w:val="31"/>
          <w:lang w:eastAsia="zh-CN"/>
        </w:rPr>
      </w:pPr>
      <w:r>
        <w:rPr>
          <w:rFonts w:ascii="Times New Roman" w:hAnsi="Times New Roman" w:eastAsia="宋体" w:cs="Times New Roman"/>
          <w:b/>
          <w:bCs/>
          <w:color w:val="auto"/>
          <w:spacing w:val="4"/>
          <w:sz w:val="31"/>
          <w:szCs w:val="31"/>
          <w:lang w:eastAsia="zh-CN"/>
        </w:rPr>
        <w:br w:type="page"/>
      </w:r>
    </w:p>
    <w:p w14:paraId="469F6280">
      <w:pPr>
        <w:kinsoku/>
        <w:spacing w:before="101" w:line="360" w:lineRule="auto"/>
        <w:jc w:val="center"/>
        <w:outlineLvl w:val="0"/>
        <w:rPr>
          <w:rFonts w:ascii="Times New Roman" w:hAnsi="Times New Roman" w:eastAsia="宋体" w:cs="Times New Roman"/>
          <w:color w:val="auto"/>
          <w:sz w:val="24"/>
          <w:szCs w:val="24"/>
        </w:rPr>
      </w:pPr>
      <w:r>
        <w:rPr>
          <w:rFonts w:ascii="Times New Roman" w:hAnsi="Times New Roman" w:eastAsia="宋体" w:cs="Times New Roman"/>
          <w:b/>
          <w:bCs/>
          <w:color w:val="auto"/>
          <w:spacing w:val="4"/>
          <w:sz w:val="31"/>
          <w:szCs w:val="31"/>
          <w:lang w:eastAsia="zh-CN"/>
        </w:rPr>
        <w:t>二、</w:t>
      </w:r>
      <w:r>
        <w:rPr>
          <w:rFonts w:ascii="Times New Roman" w:hAnsi="Times New Roman" w:eastAsia="宋体" w:cs="Times New Roman"/>
          <w:b/>
          <w:bCs/>
          <w:color w:val="auto"/>
          <w:spacing w:val="4"/>
          <w:sz w:val="31"/>
          <w:szCs w:val="31"/>
        </w:rPr>
        <w:t>建设内容</w:t>
      </w:r>
    </w:p>
    <w:tbl>
      <w:tblPr>
        <w:tblStyle w:val="18"/>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363"/>
      </w:tblGrid>
      <w:tr w14:paraId="301F90AC">
        <w:trPr>
          <w:jc w:val="center"/>
        </w:trPr>
        <w:tc>
          <w:tcPr>
            <w:tcW w:w="704" w:type="dxa"/>
            <w:vAlign w:val="center"/>
          </w:tcPr>
          <w:p w14:paraId="6B929BBE">
            <w:pPr>
              <w:widowControl w:val="0"/>
              <w:kinsoku/>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地理位置</w:t>
            </w:r>
          </w:p>
        </w:tc>
        <w:tc>
          <w:tcPr>
            <w:tcW w:w="8394" w:type="dxa"/>
          </w:tcPr>
          <w:p w14:paraId="726DC0A8">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本项目行政隶属于昌吉回族自治州</w:t>
            </w:r>
            <w:r>
              <w:rPr>
                <w:rFonts w:hint="eastAsia" w:ascii="Times New Roman" w:hAnsi="Times New Roman" w:eastAsia="宋体" w:cs="Times New Roman"/>
                <w:color w:val="auto"/>
                <w:sz w:val="24"/>
                <w:szCs w:val="24"/>
                <w:lang w:val="en-US" w:eastAsia="zh-CN"/>
              </w:rPr>
              <w:t>阜康市，</w:t>
            </w:r>
            <w:r>
              <w:rPr>
                <w:rFonts w:hint="default" w:ascii="Times New Roman" w:hAnsi="Times New Roman" w:eastAsia="宋体" w:cs="Times New Roman"/>
                <w:color w:val="auto"/>
                <w:sz w:val="24"/>
                <w:szCs w:val="24"/>
                <w:lang w:eastAsia="zh-CN"/>
              </w:rPr>
              <w:t>属于新疆准噶尔盆地阜东斜坡区油气勘查，位于准噶尔盆地东部隆起带北三台凸起阜26块</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建设内容为阜2602井、阜2602-1井2口评价井钻试工程。阜2602井井口坐标为</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；阜2602-1井井口坐标为</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两口井位于同一区块内，井位相邻，周边以荒漠灌丛、沟渠及油田勘探活动区域为主。项目区东、南、西、北四侧均以荒漠灌丛地貌为主，局部分布沟渠及既有道路，周边区域属于油田勘探活动区，地表类型主要为灌木林地和沟渠。项目所在区块目前处于勘探评价阶段，本次新钻2口井均为评价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项目井口坐标见表2-1，项目地理位置图见附图2，项目钻试场位置</w:t>
            </w:r>
            <w:r>
              <w:rPr>
                <w:rFonts w:hint="eastAsia" w:ascii="Times New Roman" w:hAnsi="Times New Roman" w:eastAsia="宋体" w:cs="Times New Roman"/>
                <w:color w:val="auto"/>
                <w:sz w:val="24"/>
                <w:szCs w:val="24"/>
                <w:lang w:val="en-US" w:eastAsia="zh-CN"/>
              </w:rPr>
              <w:t>分布</w:t>
            </w:r>
            <w:r>
              <w:rPr>
                <w:rFonts w:hint="default" w:ascii="Times New Roman" w:hAnsi="Times New Roman" w:eastAsia="宋体" w:cs="Times New Roman"/>
                <w:color w:val="auto"/>
                <w:sz w:val="24"/>
                <w:szCs w:val="24"/>
                <w:lang w:eastAsia="zh-CN"/>
              </w:rPr>
              <w:t>图见附图3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p>
          <w:p w14:paraId="6AA43672">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根据现场踏勘、建设单位提供资料及区域开发现状调查，</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为部署在阜26块的</w:t>
            </w:r>
            <w:r>
              <w:rPr>
                <w:rFonts w:hint="default" w:ascii="Times New Roman" w:hAnsi="Times New Roman" w:eastAsia="宋体" w:cs="Times New Roman"/>
                <w:color w:val="auto"/>
                <w:sz w:val="24"/>
                <w:szCs w:val="24"/>
                <w:lang w:val="en-US" w:eastAsia="zh-CN"/>
              </w:rPr>
              <w:t>两</w:t>
            </w:r>
            <w:r>
              <w:rPr>
                <w:rFonts w:hint="default" w:ascii="Times New Roman" w:hAnsi="Times New Roman" w:eastAsia="宋体" w:cs="Times New Roman"/>
                <w:color w:val="auto"/>
                <w:sz w:val="24"/>
                <w:szCs w:val="24"/>
              </w:rPr>
              <w:t>口评价井，钻井目的为扩展评价阜26块石炭系松喀尔苏组b段（C1sb）储层发育状况及含油气性，扩大资源规模。</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所在圈闭为北三台凸起发育的岩性圈闭，C1sb气藏落实圈闭面积5.9km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，闭合幅度320m，高点海拔-2860m，设计估算天然气资源量53.8×10</w:t>
            </w:r>
            <w:r>
              <w:rPr>
                <w:rFonts w:hint="default" w:ascii="Times New Roman" w:hAnsi="Times New Roman" w:eastAsia="宋体" w:cs="Times New Roman"/>
                <w:color w:val="auto"/>
                <w:sz w:val="24"/>
                <w:szCs w:val="24"/>
                <w:vertAlign w:val="superscript"/>
              </w:rPr>
              <w:t>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。根据区域钻探成果及邻井资料，阜26块目前处于勘探评价阶段，区内已有</w:t>
            </w:r>
            <w:r>
              <w:rPr>
                <w:rFonts w:hint="default" w:ascii="Times New Roman" w:hAnsi="Times New Roman" w:eastAsia="宋体" w:cs="Times New Roman"/>
                <w:color w:val="auto"/>
                <w:sz w:val="24"/>
                <w:szCs w:val="24"/>
                <w:lang w:eastAsia="zh-CN"/>
              </w:rPr>
              <w:t>阜侧26井</w:t>
            </w:r>
            <w:r>
              <w:rPr>
                <w:rFonts w:hint="default" w:ascii="Times New Roman" w:hAnsi="Times New Roman" w:eastAsia="宋体" w:cs="Times New Roman"/>
                <w:color w:val="auto"/>
                <w:sz w:val="24"/>
                <w:szCs w:val="24"/>
              </w:rPr>
              <w:t>等邻井钻探和试油成果，可为本项目部署提供地质依据。综合分析，项目所在区域已具备一定油气勘探基础，但尚处于评价阶段，未形成成规模产能开发建设，本项目新钻井的主要任务是进一步落实区块储层发育和含油气性，为后续区块评价及开发决策提供依据。</w:t>
            </w:r>
            <w:r>
              <w:rPr>
                <w:rFonts w:hint="default" w:ascii="Times New Roman" w:hAnsi="Times New Roman" w:eastAsia="宋体" w:cs="Times New Roman"/>
                <w:color w:val="auto"/>
                <w:sz w:val="24"/>
                <w:szCs w:val="24"/>
                <w:lang w:eastAsia="zh-CN"/>
              </w:rPr>
              <w:t>为进一步说明本项目与周边既有井位的空间关系，报告补充了“项目与周边已实施评价井位置关系图”，详见附图</w:t>
            </w:r>
            <w:r>
              <w:rPr>
                <w:rFonts w:hint="eastAsia"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lang w:eastAsia="zh-CN"/>
              </w:rPr>
              <w:t>。由附图可知，本项目井位与阜侧26井、既有道路及相关依托设施空间关系明确，项目不占用既有井场，不涉及自然保护区、生态保护红线及其他依法禁止开发建设区域，选址具有环境可行性。</w:t>
            </w:r>
          </w:p>
          <w:p w14:paraId="7784D7F3">
            <w:pPr>
              <w:widowControl w:val="0"/>
              <w:kinsoku/>
              <w:spacing w:line="5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表2-1 井位坐标及位置一览表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4"/>
              <w:gridCol w:w="2834"/>
              <w:gridCol w:w="2834"/>
              <w:gridCol w:w="1571"/>
            </w:tblGrid>
            <w:tr w14:paraId="2BF0EDFB">
              <w:trPr>
                <w:trHeight w:val="23" w:hRule="atLeast"/>
                <w:jc w:val="center"/>
              </w:trPr>
              <w:tc>
                <w:tcPr>
                  <w:tcW w:w="1037" w:type="pct"/>
                  <w:vMerge w:val="restart"/>
                  <w:vAlign w:val="center"/>
                </w:tcPr>
                <w:p w14:paraId="3E5D8D46">
                  <w:pPr>
                    <w:kinsoku/>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bidi="ar"/>
                    </w:rPr>
                    <w:t>井号</w:t>
                  </w:r>
                </w:p>
              </w:tc>
              <w:tc>
                <w:tcPr>
                  <w:tcW w:w="1551" w:type="pct"/>
                  <w:vAlign w:val="center"/>
                </w:tcPr>
                <w:p w14:paraId="7A6A15DB">
                  <w:pPr>
                    <w:kinsoku/>
                    <w:jc w:val="center"/>
                    <w:textAlignment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井位坐标</w:t>
                  </w:r>
                </w:p>
              </w:tc>
              <w:tc>
                <w:tcPr>
                  <w:tcW w:w="2411" w:type="pct"/>
                  <w:gridSpan w:val="2"/>
                  <w:vAlign w:val="center"/>
                </w:tcPr>
                <w:p w14:paraId="23310DF3">
                  <w:pPr>
                    <w:kinsoku/>
                    <w:jc w:val="center"/>
                    <w:textAlignment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b/>
                      <w:bCs/>
                      <w:color w:val="auto"/>
                      <w:lang w:eastAsia="zh-CN" w:bidi="ar"/>
                    </w:rPr>
                    <w:t>位置</w:t>
                  </w:r>
                </w:p>
              </w:tc>
            </w:tr>
            <w:tr w14:paraId="7572C066">
              <w:trPr>
                <w:trHeight w:val="23" w:hRule="atLeast"/>
                <w:jc w:val="center"/>
              </w:trPr>
              <w:tc>
                <w:tcPr>
                  <w:tcW w:w="1037" w:type="pct"/>
                  <w:vMerge w:val="continue"/>
                  <w:vAlign w:val="center"/>
                </w:tcPr>
                <w:p w14:paraId="54E693B1">
                  <w:pPr>
                    <w:kinsoku/>
                    <w:jc w:val="center"/>
                    <w:rPr>
                      <w:rFonts w:hint="default" w:ascii="Times New Roman" w:hAnsi="Times New Roman" w:eastAsia="宋体" w:cs="Times New Roman"/>
                      <w:b/>
                      <w:bCs/>
                      <w:color w:val="auto"/>
                    </w:rPr>
                  </w:pPr>
                </w:p>
              </w:tc>
              <w:tc>
                <w:tcPr>
                  <w:tcW w:w="1551" w:type="pct"/>
                  <w:vAlign w:val="center"/>
                </w:tcPr>
                <w:p w14:paraId="3DC015A7">
                  <w:pPr>
                    <w:kinsoku/>
                    <w:jc w:val="center"/>
                    <w:textAlignment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经度（E）</w:t>
                  </w:r>
                </w:p>
              </w:tc>
              <w:tc>
                <w:tcPr>
                  <w:tcW w:w="1551" w:type="pct"/>
                  <w:vAlign w:val="center"/>
                </w:tcPr>
                <w:p w14:paraId="0D0B86AE">
                  <w:pPr>
                    <w:kinsoku/>
                    <w:jc w:val="center"/>
                    <w:textAlignment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纬度（N）</w:t>
                  </w:r>
                </w:p>
              </w:tc>
              <w:tc>
                <w:tcPr>
                  <w:tcW w:w="860" w:type="pct"/>
                  <w:vMerge w:val="restart"/>
                  <w:vAlign w:val="center"/>
                </w:tcPr>
                <w:p w14:paraId="2E6D620F">
                  <w:pPr>
                    <w:pStyle w:val="2"/>
                    <w:widowControl w:val="0"/>
                    <w:kinsoku/>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阜康市</w:t>
                  </w:r>
                </w:p>
              </w:tc>
            </w:tr>
            <w:tr w14:paraId="66A28AC0">
              <w:trPr>
                <w:trHeight w:val="23" w:hRule="atLeast"/>
                <w:jc w:val="center"/>
              </w:trPr>
              <w:tc>
                <w:tcPr>
                  <w:tcW w:w="1037" w:type="pct"/>
                  <w:vAlign w:val="center"/>
                </w:tcPr>
                <w:p w14:paraId="4E4BF121">
                  <w:pPr>
                    <w:kinsoku/>
                    <w:jc w:val="center"/>
                    <w:textAlignment w:val="top"/>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bidi="ar"/>
                    </w:rPr>
                    <w:t>阜2602</w:t>
                  </w:r>
                </w:p>
              </w:tc>
              <w:tc>
                <w:tcPr>
                  <w:tcW w:w="1551" w:type="pct"/>
                  <w:vAlign w:val="center"/>
                </w:tcPr>
                <w:p w14:paraId="7ACB2C80">
                  <w:pPr>
                    <w:kinsoku/>
                    <w:jc w:val="center"/>
                    <w:textAlignment w:val="top"/>
                    <w:rPr>
                      <w:rFonts w:hint="default" w:ascii="Times New Roman" w:hAnsi="Times New Roman" w:eastAsia="宋体" w:cs="Times New Roman"/>
                      <w:color w:val="auto"/>
                      <w:lang w:val="en-US" w:eastAsia="zh-CN" w:bidi="ar"/>
                    </w:rPr>
                  </w:pPr>
                  <w:bookmarkStart w:id="49" w:name="_GoBack"/>
                  <w:bookmarkEnd w:id="49"/>
                </w:p>
              </w:tc>
              <w:tc>
                <w:tcPr>
                  <w:tcW w:w="1551" w:type="pct"/>
                  <w:vAlign w:val="center"/>
                </w:tcPr>
                <w:p w14:paraId="6EA223E9">
                  <w:pPr>
                    <w:kinsoku/>
                    <w:jc w:val="center"/>
                    <w:textAlignment w:val="top"/>
                    <w:rPr>
                      <w:rFonts w:hint="default" w:ascii="Times New Roman" w:hAnsi="Times New Roman" w:eastAsia="宋体" w:cs="Times New Roman"/>
                      <w:color w:val="auto"/>
                      <w:lang w:val="en-US" w:eastAsia="zh-CN" w:bidi="ar"/>
                    </w:rPr>
                  </w:pPr>
                </w:p>
              </w:tc>
              <w:tc>
                <w:tcPr>
                  <w:tcW w:w="860" w:type="pct"/>
                  <w:vMerge w:val="continue"/>
                  <w:vAlign w:val="center"/>
                </w:tcPr>
                <w:p w14:paraId="336C8E79">
                  <w:pPr>
                    <w:pStyle w:val="2"/>
                    <w:widowControl w:val="0"/>
                    <w:kinsoku/>
                    <w:ind w:firstLine="0" w:firstLineChars="0"/>
                    <w:jc w:val="center"/>
                    <w:rPr>
                      <w:rFonts w:hint="default" w:ascii="Times New Roman" w:hAnsi="Times New Roman" w:eastAsia="宋体" w:cs="Times New Roman"/>
                      <w:color w:val="auto"/>
                      <w:lang w:val="en-US" w:eastAsia="zh-CN"/>
                    </w:rPr>
                  </w:pPr>
                </w:p>
              </w:tc>
            </w:tr>
            <w:tr w14:paraId="7282985E">
              <w:trPr>
                <w:trHeight w:val="23" w:hRule="atLeast"/>
                <w:jc w:val="center"/>
              </w:trPr>
              <w:tc>
                <w:tcPr>
                  <w:tcW w:w="1037" w:type="pct"/>
                  <w:vAlign w:val="center"/>
                </w:tcPr>
                <w:p w14:paraId="04B1DCF1">
                  <w:pPr>
                    <w:kinsoku/>
                    <w:jc w:val="center"/>
                    <w:textAlignment w:val="top"/>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bidi="ar"/>
                    </w:rPr>
                    <w:t>阜2602-1</w:t>
                  </w:r>
                </w:p>
              </w:tc>
              <w:tc>
                <w:tcPr>
                  <w:tcW w:w="1551" w:type="pct"/>
                  <w:vAlign w:val="center"/>
                </w:tcPr>
                <w:p w14:paraId="24275590">
                  <w:pPr>
                    <w:kinsoku/>
                    <w:jc w:val="center"/>
                    <w:textAlignment w:val="top"/>
                    <w:rPr>
                      <w:rFonts w:hint="default" w:ascii="Times New Roman" w:hAnsi="Times New Roman" w:eastAsia="宋体" w:cs="Times New Roman"/>
                      <w:color w:val="auto"/>
                      <w:lang w:val="en-US" w:eastAsia="zh-CN" w:bidi="ar"/>
                    </w:rPr>
                  </w:pPr>
                </w:p>
              </w:tc>
              <w:tc>
                <w:tcPr>
                  <w:tcW w:w="1551" w:type="pct"/>
                  <w:vAlign w:val="center"/>
                </w:tcPr>
                <w:p w14:paraId="140A2DA9">
                  <w:pPr>
                    <w:kinsoku/>
                    <w:jc w:val="center"/>
                    <w:textAlignment w:val="top"/>
                    <w:rPr>
                      <w:rFonts w:hint="default" w:ascii="Times New Roman" w:hAnsi="Times New Roman" w:eastAsia="宋体" w:cs="Times New Roman"/>
                      <w:color w:val="auto"/>
                      <w:lang w:val="en-US" w:eastAsia="zh-CN" w:bidi="ar"/>
                    </w:rPr>
                  </w:pPr>
                </w:p>
              </w:tc>
              <w:tc>
                <w:tcPr>
                  <w:tcW w:w="860" w:type="pct"/>
                  <w:vMerge w:val="continue"/>
                  <w:vAlign w:val="center"/>
                </w:tcPr>
                <w:p w14:paraId="658676A6">
                  <w:pPr>
                    <w:pStyle w:val="2"/>
                    <w:widowControl w:val="0"/>
                    <w:kinsoku/>
                    <w:ind w:firstLine="0" w:firstLineChars="0"/>
                    <w:jc w:val="center"/>
                    <w:rPr>
                      <w:rFonts w:hint="default" w:ascii="Times New Roman" w:hAnsi="Times New Roman" w:eastAsia="宋体" w:cs="Times New Roman"/>
                      <w:color w:val="auto"/>
                      <w:lang w:eastAsia="zh-CN"/>
                    </w:rPr>
                  </w:pPr>
                </w:p>
              </w:tc>
            </w:tr>
          </w:tbl>
          <w:p w14:paraId="171C34BA">
            <w:pPr>
              <w:pStyle w:val="2"/>
              <w:widowControl w:val="0"/>
              <w:kinsoku/>
              <w:ind w:firstLine="0" w:firstLineChars="0"/>
              <w:jc w:val="both"/>
              <w:rPr>
                <w:rFonts w:hint="default" w:ascii="Times New Roman" w:hAnsi="Times New Roman" w:eastAsia="宋体" w:cs="Times New Roman"/>
                <w:color w:val="auto"/>
              </w:rPr>
            </w:pPr>
          </w:p>
        </w:tc>
      </w:tr>
      <w:tr w14:paraId="68A8675E">
        <w:trPr>
          <w:trHeight w:val="125" w:hRule="atLeast"/>
          <w:jc w:val="center"/>
        </w:trPr>
        <w:tc>
          <w:tcPr>
            <w:tcW w:w="704" w:type="dxa"/>
            <w:vAlign w:val="center"/>
          </w:tcPr>
          <w:p w14:paraId="45FDECCD">
            <w:pPr>
              <w:widowControl w:val="0"/>
              <w:kinsoku/>
              <w:spacing w:line="360" w:lineRule="auto"/>
              <w:jc w:val="center"/>
              <w:rPr>
                <w:rFonts w:hint="default" w:ascii="Times New Roman" w:hAnsi="Times New Roman" w:eastAsia="宋体" w:cs="Times New Roman"/>
                <w:color w:val="auto"/>
                <w:sz w:val="24"/>
                <w:szCs w:val="24"/>
              </w:rPr>
            </w:pPr>
            <w:bookmarkStart w:id="2" w:name="OLE_LINK38"/>
            <w:bookmarkStart w:id="3" w:name="_Hlk136793942"/>
            <w:r>
              <w:rPr>
                <w:rFonts w:hint="default" w:ascii="Times New Roman" w:hAnsi="Times New Roman" w:eastAsia="宋体" w:cs="Times New Roman"/>
                <w:color w:val="auto"/>
                <w:sz w:val="24"/>
                <w:szCs w:val="24"/>
              </w:rPr>
              <w:t>项目组成及规模</w:t>
            </w:r>
            <w:bookmarkEnd w:id="2"/>
          </w:p>
        </w:tc>
        <w:tc>
          <w:tcPr>
            <w:tcW w:w="8394" w:type="dxa"/>
            <w:tcBorders>
              <w:bottom w:val="single" w:color="auto" w:sz="4" w:space="0"/>
            </w:tcBorders>
          </w:tcPr>
          <w:p w14:paraId="397257E7">
            <w:pPr>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1.项目概况</w:t>
            </w:r>
          </w:p>
          <w:p w14:paraId="72A3142E">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项目名称：</w:t>
            </w:r>
            <w:r>
              <w:rPr>
                <w:rFonts w:hint="eastAsia" w:ascii="Times New Roman" w:hAnsi="Times New Roman" w:eastAsia="宋体" w:cs="Times New Roman"/>
                <w:color w:val="auto"/>
                <w:spacing w:val="6"/>
                <w:sz w:val="24"/>
                <w:szCs w:val="24"/>
                <w:lang w:val="en-US" w:eastAsia="zh-CN"/>
              </w:rPr>
              <w:t>准噶尔盆地吉康油田阜2602井、阜2602-1井钻试工程项目</w:t>
            </w:r>
          </w:p>
          <w:p w14:paraId="754A0BB0">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建设单位：中国石油天然气股份有限公司吐哈油田分公司准东采油管理区</w:t>
            </w:r>
          </w:p>
          <w:p w14:paraId="34AF5D31">
            <w:pPr>
              <w:widowControl w:val="0"/>
              <w:kinsoku/>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建设地点：新疆昌吉回族自治州</w:t>
            </w:r>
            <w:r>
              <w:rPr>
                <w:rFonts w:hint="eastAsia" w:ascii="Times New Roman" w:hAnsi="Times New Roman" w:eastAsia="宋体" w:cs="Times New Roman"/>
                <w:color w:val="auto"/>
                <w:sz w:val="24"/>
                <w:szCs w:val="24"/>
                <w:lang w:val="en-US" w:eastAsia="zh-CN"/>
              </w:rPr>
              <w:t>阜康市</w:t>
            </w:r>
          </w:p>
          <w:p w14:paraId="4696FD30">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建设性质：新建</w:t>
            </w:r>
          </w:p>
          <w:p w14:paraId="297BF2DB">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工程投资及环保投资：项目总投资</w:t>
            </w:r>
            <w:r>
              <w:rPr>
                <w:rFonts w:hint="eastAsia" w:ascii="Times New Roman" w:hAnsi="Times New Roman" w:eastAsia="宋体" w:cs="Times New Roman"/>
                <w:color w:val="auto"/>
                <w:sz w:val="24"/>
                <w:szCs w:val="24"/>
                <w:lang w:val="en-US" w:eastAsia="zh-CN"/>
              </w:rPr>
              <w:t>3600</w:t>
            </w:r>
            <w:r>
              <w:rPr>
                <w:rFonts w:hint="default" w:ascii="Times New Roman" w:hAnsi="Times New Roman" w:eastAsia="宋体" w:cs="Times New Roman"/>
                <w:color w:val="auto"/>
                <w:sz w:val="24"/>
                <w:szCs w:val="24"/>
                <w:lang w:eastAsia="zh-CN"/>
              </w:rPr>
              <w:t>万元，其中环保投资</w:t>
            </w:r>
            <w:r>
              <w:rPr>
                <w:rFonts w:hint="default" w:ascii="Times New Roman" w:hAnsi="Times New Roman" w:eastAsia="宋体" w:cs="Times New Roman"/>
                <w:color w:val="auto"/>
                <w:sz w:val="24"/>
                <w:szCs w:val="24"/>
                <w:lang w:val="en-US" w:eastAsia="zh-CN"/>
              </w:rPr>
              <w:t>268</w:t>
            </w:r>
            <w:r>
              <w:rPr>
                <w:rFonts w:hint="default" w:ascii="Times New Roman" w:hAnsi="Times New Roman" w:eastAsia="宋体" w:cs="Times New Roman"/>
                <w:color w:val="auto"/>
                <w:sz w:val="24"/>
                <w:szCs w:val="24"/>
                <w:lang w:eastAsia="zh-CN"/>
              </w:rPr>
              <w:t>万元，占工程总投资的</w:t>
            </w:r>
            <w:r>
              <w:rPr>
                <w:rFonts w:hint="eastAsia" w:ascii="Times New Roman" w:hAnsi="Times New Roman" w:eastAsia="宋体" w:cs="Times New Roman"/>
                <w:color w:val="auto"/>
                <w:sz w:val="24"/>
                <w:szCs w:val="24"/>
                <w:lang w:val="en-US" w:eastAsia="zh-CN"/>
              </w:rPr>
              <w:t>7.44</w:t>
            </w:r>
            <w:r>
              <w:rPr>
                <w:rFonts w:hint="default" w:ascii="Times New Roman" w:hAnsi="Times New Roman" w:eastAsia="宋体" w:cs="Times New Roman"/>
                <w:color w:val="auto"/>
                <w:sz w:val="24"/>
                <w:szCs w:val="24"/>
                <w:lang w:eastAsia="zh-CN"/>
              </w:rPr>
              <w:t>%。</w:t>
            </w:r>
          </w:p>
          <w:p w14:paraId="13207BED">
            <w:pPr>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2.建设内容及规模</w:t>
            </w:r>
          </w:p>
          <w:p w14:paraId="603EE7B2">
            <w:pPr>
              <w:widowControl w:val="0"/>
              <w:kinsoku/>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工程建设内容为新钻2口评价井，完井后进行试油，获取有关技术参数。项目主要建设内容包括钻前工程、钻井工程、试油工程。项目环评仅适用于工程钻试期，钻试结束后即封井或转为开发井。纳入区块产能开发工程中的，须另行组织区块及运营期环境影响评价。</w:t>
            </w:r>
            <w:r>
              <w:rPr>
                <w:rFonts w:hint="default" w:ascii="Times New Roman" w:hAnsi="Times New Roman" w:eastAsia="宋体" w:cs="Times New Roman"/>
                <w:color w:val="auto"/>
                <w:sz w:val="24"/>
                <w:szCs w:val="24"/>
              </w:rPr>
              <w:t>本项目工程组成详见表2-</w:t>
            </w:r>
            <w:r>
              <w:rPr>
                <w:rFonts w:hint="default" w:ascii="Times New Roman" w:hAnsi="Times New Roman" w:eastAsia="宋体" w:cs="Times New Roman"/>
                <w:color w:val="auto"/>
                <w:sz w:val="24"/>
                <w:szCs w:val="24"/>
                <w:lang w:eastAsia="zh-CN"/>
              </w:rPr>
              <w:t>2</w:t>
            </w:r>
            <w:r>
              <w:rPr>
                <w:rFonts w:hint="default" w:ascii="Times New Roman" w:hAnsi="Times New Roman" w:eastAsia="宋体" w:cs="Times New Roman"/>
                <w:color w:val="auto"/>
                <w:sz w:val="24"/>
                <w:szCs w:val="24"/>
              </w:rPr>
              <w:t>。</w:t>
            </w:r>
            <w:bookmarkStart w:id="4" w:name="OLE_LINK39"/>
          </w:p>
          <w:p w14:paraId="684B8522">
            <w:pPr>
              <w:widowControl w:val="0"/>
              <w:kinsoku/>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eastAsia="zh-CN"/>
              </w:rPr>
              <w:t xml:space="preserve">2-2 </w:t>
            </w:r>
            <w:r>
              <w:rPr>
                <w:rFonts w:hint="default" w:ascii="Times New Roman" w:hAnsi="Times New Roman" w:eastAsia="宋体" w:cs="Times New Roman"/>
                <w:b/>
                <w:bCs/>
                <w:color w:val="auto"/>
              </w:rPr>
              <w:t>工程组成一览表</w:t>
            </w:r>
          </w:p>
          <w:bookmarkEnd w:id="4"/>
          <w:tbl>
            <w:tblPr>
              <w:tblStyle w:val="17"/>
              <w:tblW w:w="497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72"/>
              <w:gridCol w:w="690"/>
              <w:gridCol w:w="1466"/>
              <w:gridCol w:w="6275"/>
            </w:tblGrid>
            <w:tr w14:paraId="49C0503F">
              <w:trPr>
                <w:trHeight w:val="90" w:hRule="atLeast"/>
                <w:tblHeader/>
                <w:jc w:val="center"/>
              </w:trPr>
              <w:tc>
                <w:tcPr>
                  <w:tcW w:w="369" w:type="pct"/>
                  <w:tcBorders>
                    <w:top w:val="single" w:color="auto" w:sz="4" w:space="0"/>
                    <w:left w:val="single" w:color="auto" w:sz="0" w:space="0"/>
                    <w:bottom w:val="single" w:color="auto" w:sz="4" w:space="0"/>
                    <w:right w:val="single" w:color="auto" w:sz="4" w:space="0"/>
                  </w:tcBorders>
                  <w:vAlign w:val="center"/>
                </w:tcPr>
                <w:p w14:paraId="343F51A7">
                  <w:pPr>
                    <w:kinsoku/>
                    <w:spacing w:line="300" w:lineRule="exact"/>
                    <w:jc w:val="center"/>
                    <w:rPr>
                      <w:rFonts w:hint="default" w:ascii="Times New Roman" w:hAnsi="Times New Roman" w:eastAsia="宋体" w:cs="Times New Roman"/>
                      <w:b/>
                      <w:bCs/>
                      <w:color w:val="auto"/>
                    </w:rPr>
                  </w:pPr>
                  <w:bookmarkStart w:id="5" w:name="OLE_LINK54"/>
                  <w:bookmarkStart w:id="6" w:name="_Hlk176172371"/>
                  <w:bookmarkStart w:id="7" w:name="_Ref19637151"/>
                  <w:r>
                    <w:rPr>
                      <w:rFonts w:hint="default" w:ascii="Times New Roman" w:hAnsi="Times New Roman" w:eastAsia="宋体" w:cs="Times New Roman"/>
                      <w:b/>
                      <w:bCs/>
                      <w:color w:val="auto"/>
                    </w:rPr>
                    <w:t>工程组成</w:t>
                  </w:r>
                </w:p>
              </w:tc>
              <w:tc>
                <w:tcPr>
                  <w:tcW w:w="4630" w:type="pct"/>
                  <w:gridSpan w:val="3"/>
                  <w:tcBorders>
                    <w:top w:val="single" w:color="auto" w:sz="4" w:space="0"/>
                    <w:left w:val="single" w:color="auto" w:sz="4" w:space="0"/>
                    <w:bottom w:val="single" w:color="auto" w:sz="4" w:space="0"/>
                    <w:right w:val="single" w:color="auto" w:sz="4" w:space="0"/>
                  </w:tcBorders>
                  <w:vAlign w:val="center"/>
                </w:tcPr>
                <w:p w14:paraId="7C2C4782">
                  <w:pPr>
                    <w:kinsoku/>
                    <w:spacing w:line="30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工程内容</w:t>
                  </w:r>
                </w:p>
              </w:tc>
            </w:tr>
            <w:tr w14:paraId="7250A5FC">
              <w:trPr>
                <w:trHeight w:val="90" w:hRule="atLeast"/>
                <w:jc w:val="center"/>
              </w:trPr>
              <w:tc>
                <w:tcPr>
                  <w:tcW w:w="369" w:type="pct"/>
                  <w:vMerge w:val="restart"/>
                  <w:tcBorders>
                    <w:top w:val="single" w:color="auto" w:sz="4" w:space="0"/>
                    <w:left w:val="single" w:color="auto" w:sz="4" w:space="0"/>
                    <w:bottom w:val="single" w:color="auto" w:sz="4" w:space="0"/>
                    <w:right w:val="single" w:color="auto" w:sz="4" w:space="0"/>
                  </w:tcBorders>
                  <w:vAlign w:val="center"/>
                </w:tcPr>
                <w:p w14:paraId="71D34AD7">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主体工程</w:t>
                  </w: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51EAFEA9">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钻前工程</w:t>
                  </w:r>
                </w:p>
              </w:tc>
              <w:tc>
                <w:tcPr>
                  <w:tcW w:w="3445" w:type="pct"/>
                  <w:tcBorders>
                    <w:top w:val="single" w:color="auto" w:sz="4" w:space="0"/>
                    <w:left w:val="single" w:color="auto" w:sz="4" w:space="0"/>
                    <w:bottom w:val="single" w:color="auto" w:sz="4" w:space="0"/>
                    <w:right w:val="single" w:color="auto" w:sz="4" w:space="0"/>
                  </w:tcBorders>
                  <w:vAlign w:val="center"/>
                </w:tcPr>
                <w:p w14:paraId="3F386A3E">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4"/>
                      <w:highlight w:val="none"/>
                      <w:lang w:eastAsia="zh-CN"/>
                    </w:rPr>
                    <w:t>主要包括井场三通一平、井场平整及压实、钻机基础施工、设备基础修建、临时场区功能分区、生活营地建设、给排水及供配电设施布设、临时道路修筑、钻机及配套设备搬迁安装等。</w:t>
                  </w:r>
                </w:p>
              </w:tc>
            </w:tr>
            <w:tr w14:paraId="665DC0AB">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1AFCB01B">
                  <w:pPr>
                    <w:kinsoku/>
                    <w:spacing w:line="300" w:lineRule="exact"/>
                    <w:jc w:val="center"/>
                    <w:rPr>
                      <w:rFonts w:hint="default" w:ascii="Times New Roman" w:hAnsi="Times New Roman" w:eastAsia="宋体" w:cs="Times New Roman"/>
                      <w:color w:val="auto"/>
                      <w:lang w:eastAsia="zh-CN"/>
                    </w:rPr>
                  </w:pPr>
                  <w:bookmarkStart w:id="8" w:name="_Hlk186369386"/>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6AFCC383">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钻井工程</w:t>
                  </w:r>
                </w:p>
              </w:tc>
              <w:tc>
                <w:tcPr>
                  <w:tcW w:w="3445" w:type="pct"/>
                  <w:tcBorders>
                    <w:top w:val="single" w:color="auto" w:sz="4" w:space="0"/>
                    <w:left w:val="single" w:color="auto" w:sz="4" w:space="0"/>
                    <w:bottom w:val="single" w:color="auto" w:sz="4" w:space="0"/>
                    <w:right w:val="single" w:color="auto" w:sz="4" w:space="0"/>
                  </w:tcBorders>
                  <w:vAlign w:val="center"/>
                </w:tcPr>
                <w:p w14:paraId="7DE57245">
                  <w:pPr>
                    <w:kinsoku/>
                    <w:spacing w:line="300" w:lineRule="exact"/>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pacing w:val="4"/>
                      <w:highlight w:val="none"/>
                      <w:lang w:eastAsia="zh-CN"/>
                    </w:rPr>
                    <w:t>新钻评价井</w:t>
                  </w:r>
                  <w:r>
                    <w:rPr>
                      <w:rFonts w:hint="eastAsia" w:ascii="Times New Roman" w:hAnsi="Times New Roman" w:eastAsia="宋体" w:cs="Times New Roman"/>
                      <w:color w:val="auto"/>
                      <w:lang w:val="en-US" w:eastAsia="zh-CN" w:bidi="ar"/>
                    </w:rPr>
                    <w:t>阜2602</w:t>
                  </w:r>
                  <w:r>
                    <w:rPr>
                      <w:rFonts w:hint="default" w:ascii="Times New Roman" w:hAnsi="Times New Roman" w:eastAsia="宋体" w:cs="Times New Roman"/>
                      <w:color w:val="auto"/>
                      <w:spacing w:val="4"/>
                      <w:highlight w:val="none"/>
                      <w:lang w:eastAsia="zh-CN"/>
                    </w:rPr>
                    <w:t>、</w:t>
                  </w:r>
                  <w:r>
                    <w:rPr>
                      <w:rFonts w:hint="eastAsia" w:ascii="Times New Roman" w:hAnsi="Times New Roman" w:eastAsia="宋体" w:cs="Times New Roman"/>
                      <w:color w:val="auto"/>
                      <w:lang w:val="en-US" w:eastAsia="zh-CN" w:bidi="ar"/>
                    </w:rPr>
                    <w:t>阜2602-1</w:t>
                  </w:r>
                  <w:r>
                    <w:rPr>
                      <w:rFonts w:hint="default" w:ascii="Times New Roman" w:hAnsi="Times New Roman" w:eastAsia="宋体" w:cs="Times New Roman"/>
                      <w:color w:val="auto"/>
                      <w:spacing w:val="4"/>
                      <w:highlight w:val="none"/>
                      <w:lang w:eastAsia="zh-CN"/>
                    </w:rPr>
                    <w:t>，井型均为</w:t>
                  </w:r>
                  <w:r>
                    <w:rPr>
                      <w:rFonts w:hint="eastAsia" w:ascii="Times New Roman" w:hAnsi="Times New Roman" w:eastAsia="宋体" w:cs="Times New Roman"/>
                      <w:color w:val="auto"/>
                      <w:spacing w:val="4"/>
                      <w:highlight w:val="none"/>
                      <w:lang w:val="en-US" w:eastAsia="zh-CN"/>
                    </w:rPr>
                    <w:t>定向</w:t>
                  </w:r>
                  <w:r>
                    <w:rPr>
                      <w:rFonts w:hint="default" w:ascii="Times New Roman" w:hAnsi="Times New Roman" w:eastAsia="宋体" w:cs="Times New Roman"/>
                      <w:color w:val="auto"/>
                      <w:spacing w:val="4"/>
                      <w:highlight w:val="none"/>
                      <w:lang w:eastAsia="zh-CN"/>
                    </w:rPr>
                    <w:t>井，</w:t>
                  </w:r>
                  <w:r>
                    <w:rPr>
                      <w:rFonts w:hint="eastAsia" w:ascii="Times New Roman" w:hAnsi="Times New Roman" w:eastAsia="宋体" w:cs="Times New Roman"/>
                      <w:color w:val="auto"/>
                      <w:spacing w:val="4"/>
                      <w:highlight w:val="none"/>
                      <w:lang w:val="en-US" w:eastAsia="zh-CN"/>
                    </w:rPr>
                    <w:t>二</w:t>
                  </w:r>
                  <w:r>
                    <w:rPr>
                      <w:rFonts w:hint="default" w:ascii="Times New Roman" w:hAnsi="Times New Roman" w:eastAsia="宋体" w:cs="Times New Roman"/>
                      <w:color w:val="auto"/>
                      <w:spacing w:val="4"/>
                      <w:highlight w:val="none"/>
                      <w:lang w:eastAsia="zh-CN"/>
                    </w:rPr>
                    <w:t>开井身结构，设计井深</w:t>
                  </w:r>
                  <w:r>
                    <w:rPr>
                      <w:rFonts w:hint="eastAsia" w:ascii="Times New Roman" w:hAnsi="Times New Roman" w:eastAsia="宋体" w:cs="Times New Roman"/>
                      <w:color w:val="auto"/>
                      <w:spacing w:val="4"/>
                      <w:highlight w:val="none"/>
                      <w:lang w:eastAsia="zh-CN"/>
                    </w:rPr>
                    <w:t>：</w:t>
                  </w:r>
                  <w:r>
                    <w:rPr>
                      <w:rFonts w:hint="eastAsia" w:ascii="Times New Roman" w:hAnsi="Times New Roman" w:eastAsia="宋体" w:cs="Times New Roman"/>
                      <w:color w:val="auto"/>
                      <w:spacing w:val="4"/>
                      <w:highlight w:val="none"/>
                      <w:lang w:val="en-US" w:eastAsia="zh-CN"/>
                    </w:rPr>
                    <w:t>垂深均为3807.05m，斜深</w:t>
                  </w:r>
                  <w:r>
                    <w:rPr>
                      <w:rFonts w:hint="default" w:ascii="Times New Roman" w:hAnsi="Times New Roman" w:eastAsia="宋体" w:cs="Times New Roman"/>
                      <w:color w:val="auto"/>
                      <w:spacing w:val="4"/>
                      <w:highlight w:val="none"/>
                      <w:lang w:val="en-US" w:eastAsia="zh-CN"/>
                    </w:rPr>
                    <w:t>均</w:t>
                  </w:r>
                  <w:r>
                    <w:rPr>
                      <w:rFonts w:hint="default" w:ascii="Times New Roman" w:hAnsi="Times New Roman" w:eastAsia="宋体" w:cs="Times New Roman"/>
                      <w:color w:val="auto"/>
                      <w:spacing w:val="4"/>
                      <w:highlight w:val="none"/>
                      <w:lang w:eastAsia="zh-CN"/>
                    </w:rPr>
                    <w:t>为</w:t>
                  </w:r>
                  <w:r>
                    <w:rPr>
                      <w:rFonts w:hint="eastAsia" w:ascii="Times New Roman" w:hAnsi="Times New Roman" w:eastAsia="宋体" w:cs="Times New Roman"/>
                      <w:color w:val="auto"/>
                      <w:spacing w:val="4"/>
                      <w:highlight w:val="none"/>
                      <w:lang w:val="en-US" w:eastAsia="zh-CN"/>
                    </w:rPr>
                    <w:t>3827.83</w:t>
                  </w:r>
                  <w:r>
                    <w:rPr>
                      <w:rFonts w:hint="default" w:ascii="Times New Roman" w:hAnsi="Times New Roman" w:eastAsia="宋体" w:cs="Times New Roman"/>
                      <w:color w:val="auto"/>
                      <w:spacing w:val="4"/>
                      <w:highlight w:val="none"/>
                      <w:lang w:eastAsia="zh-CN"/>
                    </w:rPr>
                    <w:t>m。单井</w:t>
                  </w:r>
                  <w:r>
                    <w:rPr>
                      <w:rFonts w:hint="default" w:ascii="Times New Roman" w:hAnsi="Times New Roman" w:eastAsia="宋体" w:cs="Times New Roman"/>
                      <w:color w:val="auto"/>
                      <w:highlight w:val="none"/>
                      <w:lang w:eastAsia="zh-CN"/>
                    </w:rPr>
                    <w:t>钻井期为90天</w:t>
                  </w:r>
                </w:p>
              </w:tc>
            </w:tr>
            <w:bookmarkEnd w:id="8"/>
            <w:tr w14:paraId="7D077047">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35B546D9">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066BCDCC">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试油工程</w:t>
                  </w:r>
                </w:p>
              </w:tc>
              <w:tc>
                <w:tcPr>
                  <w:tcW w:w="3445" w:type="pct"/>
                  <w:tcBorders>
                    <w:top w:val="single" w:color="auto" w:sz="4" w:space="0"/>
                    <w:left w:val="single" w:color="auto" w:sz="4" w:space="0"/>
                    <w:bottom w:val="single" w:color="auto" w:sz="4" w:space="0"/>
                    <w:right w:val="single" w:color="auto" w:sz="4" w:space="0"/>
                  </w:tcBorders>
                  <w:vAlign w:val="center"/>
                </w:tcPr>
                <w:p w14:paraId="70C2D237">
                  <w:pPr>
                    <w:kinsoku/>
                    <w:spacing w:line="300" w:lineRule="exact"/>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主要包括试油准备、储层改造和试油，对完钻井进行通井、洗井、试压、射孔、诱喷、压裂、求产等工序，并配套洗井液注入泵等试油设备，记录油气产量；试油期为</w:t>
                  </w:r>
                  <w:r>
                    <w:rPr>
                      <w:rFonts w:hint="eastAsia" w:ascii="Times New Roman" w:hAnsi="Times New Roman" w:eastAsia="宋体" w:cs="Times New Roman"/>
                      <w:color w:val="auto"/>
                      <w:highlight w:val="none"/>
                      <w:lang w:val="en-US" w:eastAsia="zh-CN"/>
                    </w:rPr>
                    <w:t>180</w:t>
                  </w:r>
                  <w:r>
                    <w:rPr>
                      <w:rFonts w:hint="default" w:ascii="Times New Roman" w:hAnsi="Times New Roman" w:eastAsia="宋体" w:cs="Times New Roman"/>
                      <w:color w:val="auto"/>
                      <w:highlight w:val="none"/>
                      <w:lang w:eastAsia="zh-CN"/>
                    </w:rPr>
                    <w:t>天</w:t>
                  </w:r>
                </w:p>
              </w:tc>
            </w:tr>
            <w:tr w14:paraId="6C7F713F">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216B4E01">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2C9C39BB">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完井</w:t>
                  </w:r>
                  <w:r>
                    <w:rPr>
                      <w:rFonts w:hint="default" w:ascii="Times New Roman" w:hAnsi="Times New Roman" w:eastAsia="宋体" w:cs="Times New Roman"/>
                      <w:color w:val="auto"/>
                      <w:lang w:eastAsia="zh-CN"/>
                    </w:rPr>
                    <w:t>工程</w:t>
                  </w:r>
                </w:p>
              </w:tc>
              <w:tc>
                <w:tcPr>
                  <w:tcW w:w="3445" w:type="pct"/>
                  <w:tcBorders>
                    <w:top w:val="single" w:color="auto" w:sz="4" w:space="0"/>
                    <w:left w:val="single" w:color="auto" w:sz="4" w:space="0"/>
                    <w:bottom w:val="single" w:color="auto" w:sz="4" w:space="0"/>
                    <w:right w:val="single" w:color="auto" w:sz="4" w:space="0"/>
                  </w:tcBorders>
                  <w:vAlign w:val="center"/>
                </w:tcPr>
                <w:p w14:paraId="005F8BB6">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根据试油结果进行关井或封井作业，最后撤去所有生产设施，清理、平整井场及场地恢复</w:t>
                  </w:r>
                </w:p>
              </w:tc>
            </w:tr>
            <w:tr w14:paraId="482AC382">
              <w:trPr>
                <w:trHeight w:val="90" w:hRule="atLeast"/>
                <w:jc w:val="center"/>
              </w:trPr>
              <w:tc>
                <w:tcPr>
                  <w:tcW w:w="369" w:type="pct"/>
                  <w:vMerge w:val="restart"/>
                  <w:tcBorders>
                    <w:top w:val="single" w:color="auto" w:sz="4" w:space="0"/>
                    <w:left w:val="single" w:color="auto" w:sz="4" w:space="0"/>
                    <w:right w:val="single" w:color="auto" w:sz="4" w:space="0"/>
                  </w:tcBorders>
                  <w:vAlign w:val="center"/>
                </w:tcPr>
                <w:p w14:paraId="70287D90">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辅助工程</w:t>
                  </w: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5C65F951">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放喷设施</w:t>
                  </w:r>
                </w:p>
              </w:tc>
              <w:tc>
                <w:tcPr>
                  <w:tcW w:w="3445" w:type="pct"/>
                  <w:tcBorders>
                    <w:top w:val="single" w:color="auto" w:sz="4" w:space="0"/>
                    <w:left w:val="single" w:color="auto" w:sz="4" w:space="0"/>
                    <w:bottom w:val="single" w:color="auto" w:sz="4" w:space="0"/>
                    <w:right w:val="single" w:color="auto" w:sz="4" w:space="0"/>
                  </w:tcBorders>
                  <w:vAlign w:val="center"/>
                </w:tcPr>
                <w:p w14:paraId="4F1A89F1">
                  <w:pPr>
                    <w:kinsoku/>
                    <w:spacing w:line="300" w:lineRule="exact"/>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钻井左右两侧各设置1条放喷管线，试油井口两侧分别设置放喷、压井管线</w:t>
                  </w:r>
                </w:p>
              </w:tc>
            </w:tr>
            <w:tr w14:paraId="51344478">
              <w:trPr>
                <w:trHeight w:val="90" w:hRule="atLeast"/>
                <w:jc w:val="center"/>
              </w:trPr>
              <w:tc>
                <w:tcPr>
                  <w:tcW w:w="369" w:type="pct"/>
                  <w:vMerge w:val="continue"/>
                  <w:tcBorders>
                    <w:left w:val="single" w:color="auto" w:sz="4" w:space="0"/>
                    <w:right w:val="single" w:color="auto" w:sz="4" w:space="0"/>
                  </w:tcBorders>
                  <w:vAlign w:val="center"/>
                </w:tcPr>
                <w:p w14:paraId="2B9B2DB7">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7B359700">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井控系统</w:t>
                  </w:r>
                </w:p>
              </w:tc>
              <w:tc>
                <w:tcPr>
                  <w:tcW w:w="3445" w:type="pct"/>
                  <w:tcBorders>
                    <w:top w:val="single" w:color="auto" w:sz="4" w:space="0"/>
                    <w:left w:val="single" w:color="auto" w:sz="4" w:space="0"/>
                    <w:bottom w:val="single" w:color="auto" w:sz="4" w:space="0"/>
                    <w:right w:val="single" w:color="auto" w:sz="4" w:space="0"/>
                  </w:tcBorders>
                  <w:vAlign w:val="center"/>
                </w:tcPr>
                <w:p w14:paraId="51EECCD1">
                  <w:pPr>
                    <w:kinsoku/>
                    <w:spacing w:line="300" w:lineRule="exact"/>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钻井、试油井口设置1套井控系统，防止钻井及试油时产生井喷。</w:t>
                  </w:r>
                </w:p>
              </w:tc>
            </w:tr>
            <w:tr w14:paraId="0BBDBD7B">
              <w:trPr>
                <w:trHeight w:val="90" w:hRule="atLeast"/>
                <w:jc w:val="center"/>
              </w:trPr>
              <w:tc>
                <w:tcPr>
                  <w:tcW w:w="369" w:type="pct"/>
                  <w:vMerge w:val="continue"/>
                  <w:tcBorders>
                    <w:left w:val="single" w:color="auto" w:sz="4" w:space="0"/>
                    <w:right w:val="single" w:color="auto" w:sz="4" w:space="0"/>
                  </w:tcBorders>
                  <w:vAlign w:val="center"/>
                </w:tcPr>
                <w:p w14:paraId="5D338190">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1BFE6694">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钻井动力系统</w:t>
                  </w:r>
                </w:p>
              </w:tc>
              <w:tc>
                <w:tcPr>
                  <w:tcW w:w="3445" w:type="pct"/>
                  <w:tcBorders>
                    <w:top w:val="single" w:color="auto" w:sz="4" w:space="0"/>
                    <w:left w:val="single" w:color="auto" w:sz="4" w:space="0"/>
                    <w:bottom w:val="single" w:color="auto" w:sz="4" w:space="0"/>
                    <w:right w:val="single" w:color="auto" w:sz="4" w:space="0"/>
                  </w:tcBorders>
                  <w:vAlign w:val="center"/>
                </w:tcPr>
                <w:p w14:paraId="09B1F983">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本项目施工动力主要依靠</w:t>
                  </w:r>
                  <w:r>
                    <w:rPr>
                      <w:rFonts w:hint="default" w:ascii="Times New Roman" w:hAnsi="Times New Roman" w:eastAsia="宋体" w:cs="Times New Roman"/>
                      <w:color w:val="auto"/>
                      <w:lang w:val="en-US" w:eastAsia="zh-CN"/>
                    </w:rPr>
                    <w:t>工业用电</w:t>
                  </w:r>
                  <w:r>
                    <w:rPr>
                      <w:rFonts w:hint="default" w:ascii="Times New Roman" w:hAnsi="Times New Roman" w:eastAsia="宋体" w:cs="Times New Roman"/>
                      <w:color w:val="auto"/>
                      <w:lang w:eastAsia="zh-CN"/>
                    </w:rPr>
                    <w:t>，柴油发电机仅作为备用电源</w:t>
                  </w:r>
                </w:p>
              </w:tc>
            </w:tr>
            <w:tr w14:paraId="1BA5C797">
              <w:trPr>
                <w:trHeight w:val="90" w:hRule="atLeast"/>
                <w:jc w:val="center"/>
              </w:trPr>
              <w:tc>
                <w:tcPr>
                  <w:tcW w:w="369" w:type="pct"/>
                  <w:vMerge w:val="continue"/>
                  <w:tcBorders>
                    <w:left w:val="single" w:color="auto" w:sz="4" w:space="0"/>
                    <w:right w:val="single" w:color="auto" w:sz="4" w:space="0"/>
                  </w:tcBorders>
                  <w:vAlign w:val="center"/>
                </w:tcPr>
                <w:p w14:paraId="091AD594">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65804397">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不落地系统</w:t>
                  </w:r>
                </w:p>
              </w:tc>
              <w:tc>
                <w:tcPr>
                  <w:tcW w:w="3445" w:type="pct"/>
                  <w:tcBorders>
                    <w:top w:val="single" w:color="auto" w:sz="4" w:space="0"/>
                    <w:left w:val="single" w:color="auto" w:sz="4" w:space="0"/>
                    <w:bottom w:val="single" w:color="auto" w:sz="4" w:space="0"/>
                    <w:right w:val="single" w:color="auto" w:sz="4" w:space="0"/>
                  </w:tcBorders>
                  <w:vAlign w:val="center"/>
                </w:tcPr>
                <w:p w14:paraId="04ADD3DF">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各钻井设置1套钻井液不落地设备</w:t>
                  </w:r>
                </w:p>
              </w:tc>
            </w:tr>
            <w:tr w14:paraId="44D76315">
              <w:trPr>
                <w:trHeight w:val="90" w:hRule="atLeast"/>
                <w:jc w:val="center"/>
              </w:trPr>
              <w:tc>
                <w:tcPr>
                  <w:tcW w:w="369" w:type="pct"/>
                  <w:vMerge w:val="continue"/>
                  <w:tcBorders>
                    <w:left w:val="single" w:color="auto" w:sz="4" w:space="0"/>
                    <w:right w:val="single" w:color="auto" w:sz="4" w:space="0"/>
                  </w:tcBorders>
                  <w:vAlign w:val="center"/>
                </w:tcPr>
                <w:p w14:paraId="41E69A76">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46C079F5">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生活营地</w:t>
                  </w:r>
                </w:p>
              </w:tc>
              <w:tc>
                <w:tcPr>
                  <w:tcW w:w="3445" w:type="pct"/>
                  <w:tcBorders>
                    <w:top w:val="single" w:color="auto" w:sz="4" w:space="0"/>
                    <w:left w:val="single" w:color="auto" w:sz="4" w:space="0"/>
                    <w:bottom w:val="single" w:color="auto" w:sz="4" w:space="0"/>
                    <w:right w:val="single" w:color="auto" w:sz="4" w:space="0"/>
                  </w:tcBorders>
                  <w:vAlign w:val="center"/>
                </w:tcPr>
                <w:p w14:paraId="611384B8">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井场设置1处生活营地，临时占地2475m2，主要布设值班房、宿舍、办公室、食堂等临时生活办公设施；设置1座生活污水防渗收集池。</w:t>
                  </w:r>
                </w:p>
              </w:tc>
            </w:tr>
            <w:tr w14:paraId="258B9261">
              <w:trPr>
                <w:trHeight w:val="90" w:hRule="atLeast"/>
                <w:jc w:val="center"/>
              </w:trPr>
              <w:tc>
                <w:tcPr>
                  <w:tcW w:w="369" w:type="pct"/>
                  <w:vMerge w:val="continue"/>
                  <w:tcBorders>
                    <w:left w:val="single" w:color="auto" w:sz="4" w:space="0"/>
                    <w:right w:val="single" w:color="auto" w:sz="4" w:space="0"/>
                  </w:tcBorders>
                  <w:vAlign w:val="center"/>
                </w:tcPr>
                <w:p w14:paraId="1600E71C">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3BAEE5C7">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油品储存区</w:t>
                  </w:r>
                </w:p>
              </w:tc>
              <w:tc>
                <w:tcPr>
                  <w:tcW w:w="3445" w:type="pct"/>
                  <w:tcBorders>
                    <w:top w:val="single" w:color="auto" w:sz="4" w:space="0"/>
                    <w:left w:val="single" w:color="auto" w:sz="4" w:space="0"/>
                    <w:bottom w:val="single" w:color="auto" w:sz="4" w:space="0"/>
                    <w:right w:val="single" w:color="auto" w:sz="4" w:space="0"/>
                  </w:tcBorders>
                  <w:vAlign w:val="center"/>
                </w:tcPr>
                <w:p w14:paraId="3FB1DD82">
                  <w:pPr>
                    <w:kinsoku/>
                    <w:spacing w:line="300" w:lineRule="exact"/>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钻井井场</w:t>
                  </w:r>
                  <w:r>
                    <w:rPr>
                      <w:rFonts w:hint="default" w:ascii="Times New Roman" w:hAnsi="Times New Roman" w:eastAsia="宋体" w:cs="Times New Roman"/>
                      <w:color w:val="auto"/>
                      <w:highlight w:val="none"/>
                      <w:lang w:eastAsia="zh-CN"/>
                    </w:rPr>
                    <w:t>设置一处油品储存区，油品储存区进行重点防渗</w:t>
                  </w:r>
                </w:p>
              </w:tc>
            </w:tr>
            <w:bookmarkEnd w:id="5"/>
            <w:tr w14:paraId="4C88D3F5">
              <w:trPr>
                <w:trHeight w:val="90" w:hRule="atLeast"/>
                <w:jc w:val="center"/>
              </w:trPr>
              <w:tc>
                <w:tcPr>
                  <w:tcW w:w="369" w:type="pct"/>
                  <w:vMerge w:val="restart"/>
                  <w:tcBorders>
                    <w:top w:val="single" w:color="auto" w:sz="4" w:space="0"/>
                    <w:left w:val="single" w:color="auto" w:sz="4" w:space="0"/>
                    <w:bottom w:val="single" w:color="auto" w:sz="4" w:space="0"/>
                    <w:right w:val="single" w:color="auto" w:sz="4" w:space="0"/>
                  </w:tcBorders>
                  <w:vAlign w:val="center"/>
                </w:tcPr>
                <w:p w14:paraId="767B5805">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公用工程</w:t>
                  </w: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74ECAE46">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供配电</w:t>
                  </w:r>
                </w:p>
              </w:tc>
              <w:tc>
                <w:tcPr>
                  <w:tcW w:w="3445" w:type="pct"/>
                  <w:tcBorders>
                    <w:top w:val="single" w:color="auto" w:sz="4" w:space="0"/>
                    <w:left w:val="single" w:color="auto" w:sz="4" w:space="0"/>
                    <w:bottom w:val="single" w:color="auto" w:sz="4" w:space="0"/>
                    <w:right w:val="single" w:color="auto" w:sz="4" w:space="0"/>
                  </w:tcBorders>
                  <w:vAlign w:val="center"/>
                </w:tcPr>
                <w:p w14:paraId="36E6BA60">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钻井井场钻机、办公等主要依靠工业用电供电，配备柴油发电机作为应急备用</w:t>
                  </w:r>
                </w:p>
              </w:tc>
            </w:tr>
            <w:tr w14:paraId="518B96EE">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38384B1A">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62A5E9E7">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给水</w:t>
                  </w:r>
                </w:p>
              </w:tc>
              <w:tc>
                <w:tcPr>
                  <w:tcW w:w="3445" w:type="pct"/>
                  <w:tcBorders>
                    <w:top w:val="single" w:color="auto" w:sz="4" w:space="0"/>
                    <w:left w:val="single" w:color="auto" w:sz="4" w:space="0"/>
                    <w:bottom w:val="single" w:color="auto" w:sz="4" w:space="0"/>
                    <w:right w:val="single" w:color="auto" w:sz="4" w:space="0"/>
                  </w:tcBorders>
                  <w:vAlign w:val="center"/>
                </w:tcPr>
                <w:p w14:paraId="120B2B5F">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钻井井场</w:t>
                  </w:r>
                  <w:r>
                    <w:rPr>
                      <w:rFonts w:hint="default" w:ascii="Times New Roman" w:hAnsi="Times New Roman" w:eastAsia="宋体" w:cs="Times New Roman"/>
                      <w:color w:val="auto"/>
                      <w:lang w:eastAsia="zh-CN"/>
                    </w:rPr>
                    <w:t>用水从就近村庄拉运至钻试场</w:t>
                  </w:r>
                </w:p>
              </w:tc>
            </w:tr>
            <w:tr w14:paraId="2E87E33C">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732A03DF">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2DE372EE">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供热</w:t>
                  </w:r>
                </w:p>
              </w:tc>
              <w:tc>
                <w:tcPr>
                  <w:tcW w:w="3445" w:type="pct"/>
                  <w:tcBorders>
                    <w:top w:val="single" w:color="auto" w:sz="4" w:space="0"/>
                    <w:left w:val="single" w:color="auto" w:sz="4" w:space="0"/>
                    <w:bottom w:val="single" w:color="auto" w:sz="4" w:space="0"/>
                    <w:right w:val="single" w:color="auto" w:sz="4" w:space="0"/>
                  </w:tcBorders>
                  <w:vAlign w:val="center"/>
                </w:tcPr>
                <w:p w14:paraId="09BCE41D">
                  <w:pPr>
                    <w:kinsoku/>
                    <w:spacing w:line="300" w:lineRule="exact"/>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生活办公区冬季供暖采用电采暖</w:t>
                  </w:r>
                </w:p>
              </w:tc>
            </w:tr>
            <w:tr w14:paraId="2F479304">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2E253F34">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65F66F87">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道路</w:t>
                  </w:r>
                </w:p>
              </w:tc>
              <w:tc>
                <w:tcPr>
                  <w:tcW w:w="3445" w:type="pct"/>
                  <w:tcBorders>
                    <w:top w:val="single" w:color="auto" w:sz="4" w:space="0"/>
                    <w:left w:val="single" w:color="auto" w:sz="4" w:space="0"/>
                    <w:bottom w:val="single" w:color="auto" w:sz="4" w:space="0"/>
                    <w:right w:val="single" w:color="auto" w:sz="4" w:space="0"/>
                  </w:tcBorders>
                  <w:vAlign w:val="center"/>
                </w:tcPr>
                <w:p w14:paraId="3A216C61">
                  <w:pPr>
                    <w:kinsoku/>
                    <w:spacing w:line="300" w:lineRule="exact"/>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eastAsia="zh-CN"/>
                    </w:rPr>
                    <w:t>新建临时道路1260m，路面宽7m，占地面积9353m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lang w:eastAsia="zh-CN"/>
                    </w:rPr>
                    <w:t>；道路采用压实整平后铺垫砂砾石结构形式，满足钻机设备、罐车及物料运输车辆通行要求。</w:t>
                  </w:r>
                </w:p>
              </w:tc>
            </w:tr>
            <w:tr w14:paraId="2C26C79F">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67DFC8C2">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0F259F2F">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消防</w:t>
                  </w:r>
                </w:p>
              </w:tc>
              <w:tc>
                <w:tcPr>
                  <w:tcW w:w="3445" w:type="pct"/>
                  <w:tcBorders>
                    <w:top w:val="single" w:color="auto" w:sz="4" w:space="0"/>
                    <w:left w:val="single" w:color="auto" w:sz="4" w:space="0"/>
                    <w:bottom w:val="single" w:color="auto" w:sz="4" w:space="0"/>
                    <w:right w:val="single" w:color="auto" w:sz="4" w:space="0"/>
                  </w:tcBorders>
                  <w:vAlign w:val="center"/>
                </w:tcPr>
                <w:p w14:paraId="31588659">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钻井井场</w:t>
                  </w:r>
                  <w:r>
                    <w:rPr>
                      <w:rFonts w:hint="default" w:ascii="Times New Roman" w:hAnsi="Times New Roman" w:eastAsia="宋体" w:cs="Times New Roman"/>
                      <w:color w:val="auto"/>
                      <w:lang w:eastAsia="zh-CN"/>
                    </w:rPr>
                    <w:t>按规范配置一定数量的消防器材</w:t>
                  </w:r>
                </w:p>
              </w:tc>
            </w:tr>
            <w:tr w14:paraId="7FD62A8C">
              <w:trPr>
                <w:trHeight w:val="90" w:hRule="atLeast"/>
                <w:jc w:val="center"/>
              </w:trPr>
              <w:tc>
                <w:tcPr>
                  <w:tcW w:w="369" w:type="pct"/>
                  <w:vMerge w:val="restart"/>
                  <w:tcBorders>
                    <w:top w:val="single" w:color="auto" w:sz="4" w:space="0"/>
                    <w:left w:val="single" w:color="auto" w:sz="4" w:space="0"/>
                    <w:right w:val="single" w:color="auto" w:sz="4" w:space="0"/>
                  </w:tcBorders>
                  <w:vAlign w:val="center"/>
                </w:tcPr>
                <w:p w14:paraId="66C4D695">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储运工程</w:t>
                  </w: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2868F855">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钻井、固井材料储存区</w:t>
                  </w:r>
                </w:p>
              </w:tc>
              <w:tc>
                <w:tcPr>
                  <w:tcW w:w="3445" w:type="pct"/>
                  <w:tcBorders>
                    <w:top w:val="single" w:color="auto" w:sz="4" w:space="0"/>
                    <w:left w:val="single" w:color="auto" w:sz="4" w:space="0"/>
                    <w:bottom w:val="single" w:color="auto" w:sz="4" w:space="0"/>
                    <w:right w:val="single" w:color="auto" w:sz="4" w:space="0"/>
                  </w:tcBorders>
                  <w:vAlign w:val="center"/>
                </w:tcPr>
                <w:p w14:paraId="5E0BA56D">
                  <w:pPr>
                    <w:kinsoku/>
                    <w:spacing w:line="300" w:lineRule="exact"/>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钻井井场</w:t>
                  </w:r>
                  <w:r>
                    <w:rPr>
                      <w:rFonts w:hint="default" w:ascii="Times New Roman" w:hAnsi="Times New Roman" w:eastAsia="宋体" w:cs="Times New Roman"/>
                      <w:color w:val="auto"/>
                      <w:highlight w:val="none"/>
                      <w:lang w:eastAsia="zh-CN"/>
                    </w:rPr>
                    <w:t>设置1处材料堆存区，</w:t>
                  </w:r>
                  <w:r>
                    <w:rPr>
                      <w:rFonts w:hint="default" w:ascii="Times New Roman" w:hAnsi="Times New Roman" w:eastAsia="宋体" w:cs="Times New Roman"/>
                      <w:color w:val="auto"/>
                      <w:highlight w:val="none"/>
                      <w:lang w:val="en-US" w:eastAsia="zh-CN"/>
                    </w:rPr>
                    <w:t>冬季</w:t>
                  </w:r>
                  <w:r>
                    <w:rPr>
                      <w:rFonts w:hint="default" w:ascii="Times New Roman" w:hAnsi="Times New Roman" w:eastAsia="宋体" w:cs="Times New Roman"/>
                      <w:color w:val="auto"/>
                      <w:highlight w:val="none"/>
                      <w:lang w:eastAsia="zh-CN"/>
                    </w:rPr>
                    <w:t>修建保温棚，泥浆材料下铺上盖，地面防渗处理</w:t>
                  </w:r>
                </w:p>
              </w:tc>
            </w:tr>
            <w:tr w14:paraId="5849D6D7">
              <w:trPr>
                <w:trHeight w:val="90" w:hRule="atLeast"/>
                <w:jc w:val="center"/>
              </w:trPr>
              <w:tc>
                <w:tcPr>
                  <w:tcW w:w="369" w:type="pct"/>
                  <w:vMerge w:val="continue"/>
                  <w:tcBorders>
                    <w:left w:val="single" w:color="auto" w:sz="4" w:space="0"/>
                    <w:right w:val="single" w:color="auto" w:sz="4" w:space="0"/>
                  </w:tcBorders>
                  <w:vAlign w:val="center"/>
                </w:tcPr>
                <w:p w14:paraId="562B48E6">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55988C20">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危险废物临时贮存间</w:t>
                  </w:r>
                </w:p>
              </w:tc>
              <w:tc>
                <w:tcPr>
                  <w:tcW w:w="3445" w:type="pct"/>
                  <w:tcBorders>
                    <w:top w:val="single" w:color="auto" w:sz="4" w:space="0"/>
                    <w:left w:val="single" w:color="auto" w:sz="4" w:space="0"/>
                    <w:bottom w:val="single" w:color="auto" w:sz="4" w:space="0"/>
                    <w:right w:val="single" w:color="auto" w:sz="4" w:space="0"/>
                  </w:tcBorders>
                  <w:vAlign w:val="center"/>
                </w:tcPr>
                <w:p w14:paraId="58448908">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按照《危险废物贮存污染控制标准》（GB18597-2023）等的相关要求在</w:t>
                  </w:r>
                  <w:r>
                    <w:rPr>
                      <w:rFonts w:hint="default" w:ascii="Times New Roman" w:hAnsi="Times New Roman" w:eastAsia="宋体" w:cs="Times New Roman"/>
                      <w:color w:val="auto"/>
                      <w:lang w:val="en-US" w:eastAsia="zh-CN"/>
                    </w:rPr>
                    <w:t>钻井井场</w:t>
                  </w:r>
                  <w:r>
                    <w:rPr>
                      <w:rFonts w:hint="default" w:ascii="Times New Roman" w:hAnsi="Times New Roman" w:eastAsia="宋体" w:cs="Times New Roman"/>
                      <w:color w:val="auto"/>
                      <w:lang w:eastAsia="zh-CN"/>
                    </w:rPr>
                    <w:t>设置的1座危险废物临时贮存间，位于不落地系统旁，采用防渗处理，防渗性能按重点防渗区执行，应满足等效黏土防渗层Mb≥6.0m，K≤10</w:t>
                  </w:r>
                  <w:r>
                    <w:rPr>
                      <w:rFonts w:hint="default" w:ascii="Times New Roman" w:hAnsi="Times New Roman" w:eastAsia="宋体" w:cs="Times New Roman"/>
                      <w:color w:val="auto"/>
                      <w:vertAlign w:val="superscript"/>
                      <w:lang w:eastAsia="zh-CN"/>
                    </w:rPr>
                    <w:t>-7</w:t>
                  </w:r>
                  <w:r>
                    <w:rPr>
                      <w:rFonts w:hint="default" w:ascii="Times New Roman" w:hAnsi="Times New Roman" w:eastAsia="宋体" w:cs="Times New Roman"/>
                      <w:color w:val="auto"/>
                      <w:lang w:eastAsia="zh-CN"/>
                    </w:rPr>
                    <w:t>cm/s，或2mm厚高密度聚乙烯，或至少2mm厚的其他人工材料（渗透系数≤10</w:t>
                  </w:r>
                  <w:r>
                    <w:rPr>
                      <w:rFonts w:hint="default" w:ascii="Times New Roman" w:hAnsi="Times New Roman" w:eastAsia="宋体" w:cs="Times New Roman"/>
                      <w:color w:val="auto"/>
                      <w:vertAlign w:val="superscript"/>
                      <w:lang w:eastAsia="zh-CN"/>
                    </w:rPr>
                    <w:t>-10</w:t>
                  </w:r>
                  <w:r>
                    <w:rPr>
                      <w:rFonts w:hint="default" w:ascii="Times New Roman" w:hAnsi="Times New Roman" w:eastAsia="宋体" w:cs="Times New Roman"/>
                      <w:color w:val="auto"/>
                      <w:lang w:eastAsia="zh-CN"/>
                    </w:rPr>
                    <w:t>cm/s）。</w:t>
                  </w:r>
                </w:p>
              </w:tc>
            </w:tr>
            <w:tr w14:paraId="2A1599BA">
              <w:trPr>
                <w:trHeight w:val="90" w:hRule="atLeast"/>
                <w:jc w:val="center"/>
              </w:trPr>
              <w:tc>
                <w:tcPr>
                  <w:tcW w:w="369" w:type="pct"/>
                  <w:vMerge w:val="continue"/>
                  <w:tcBorders>
                    <w:left w:val="single" w:color="auto" w:sz="4" w:space="0"/>
                    <w:right w:val="single" w:color="auto" w:sz="4" w:space="0"/>
                  </w:tcBorders>
                  <w:vAlign w:val="center"/>
                </w:tcPr>
                <w:p w14:paraId="23C3D544">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2AD95F68">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油</w:t>
                  </w:r>
                  <w:r>
                    <w:rPr>
                      <w:rFonts w:hint="default" w:ascii="Times New Roman" w:hAnsi="Times New Roman" w:eastAsia="宋体" w:cs="Times New Roman"/>
                      <w:color w:val="auto"/>
                    </w:rPr>
                    <w:t>罐区</w:t>
                  </w:r>
                </w:p>
              </w:tc>
              <w:tc>
                <w:tcPr>
                  <w:tcW w:w="3445" w:type="pct"/>
                  <w:tcBorders>
                    <w:top w:val="single" w:color="auto" w:sz="4" w:space="0"/>
                    <w:left w:val="single" w:color="auto" w:sz="4" w:space="0"/>
                    <w:bottom w:val="single" w:color="auto" w:sz="4" w:space="0"/>
                    <w:right w:val="single" w:color="auto" w:sz="4" w:space="0"/>
                  </w:tcBorders>
                  <w:vAlign w:val="center"/>
                </w:tcPr>
                <w:p w14:paraId="702DDA1E">
                  <w:pPr>
                    <w:kinsoku/>
                    <w:spacing w:line="300" w:lineRule="exact"/>
                    <w:jc w:val="both"/>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试油</w:t>
                  </w:r>
                  <w:r>
                    <w:rPr>
                      <w:rFonts w:hint="default" w:ascii="Times New Roman" w:hAnsi="Times New Roman" w:eastAsia="宋体" w:cs="Times New Roman"/>
                      <w:color w:val="auto"/>
                      <w:lang w:val="en-US" w:eastAsia="zh-CN"/>
                    </w:rPr>
                    <w:t>井场</w:t>
                  </w:r>
                  <w:r>
                    <w:rPr>
                      <w:rFonts w:hint="default" w:ascii="Times New Roman" w:hAnsi="Times New Roman" w:eastAsia="宋体" w:cs="Times New Roman"/>
                      <w:color w:val="auto"/>
                      <w:lang w:eastAsia="zh-CN"/>
                    </w:rPr>
                    <w:t>设置</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个</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lang w:eastAsia="zh-CN"/>
                    </w:rPr>
                    <w:t>0m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原油临时储罐，设置围堰；底部防渗，防渗性能不应低于6.0m厚渗透系数为1.0×10</w:t>
                  </w:r>
                  <w:r>
                    <w:rPr>
                      <w:rFonts w:hint="default" w:ascii="Times New Roman" w:hAnsi="Times New Roman" w:eastAsia="宋体" w:cs="Times New Roman"/>
                      <w:color w:val="auto"/>
                      <w:vertAlign w:val="superscript"/>
                      <w:lang w:eastAsia="zh-CN"/>
                    </w:rPr>
                    <w:t>-7</w:t>
                  </w:r>
                  <w:r>
                    <w:rPr>
                      <w:rFonts w:hint="default" w:ascii="Times New Roman" w:hAnsi="Times New Roman" w:eastAsia="宋体" w:cs="Times New Roman"/>
                      <w:color w:val="auto"/>
                      <w:lang w:eastAsia="zh-CN"/>
                    </w:rPr>
                    <w:t>cm/s的黏土层</w:t>
                  </w:r>
                </w:p>
              </w:tc>
            </w:tr>
            <w:tr w14:paraId="45D13000">
              <w:trPr>
                <w:trHeight w:val="90" w:hRule="atLeast"/>
                <w:jc w:val="center"/>
              </w:trPr>
              <w:tc>
                <w:tcPr>
                  <w:tcW w:w="369" w:type="pct"/>
                  <w:vMerge w:val="continue"/>
                  <w:tcBorders>
                    <w:left w:val="single" w:color="auto" w:sz="4" w:space="0"/>
                    <w:bottom w:val="single" w:color="auto" w:sz="4" w:space="0"/>
                    <w:right w:val="single" w:color="auto" w:sz="4" w:space="0"/>
                  </w:tcBorders>
                  <w:vAlign w:val="center"/>
                </w:tcPr>
                <w:p w14:paraId="19B72C8B">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23349E46">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泥浆储备罐区</w:t>
                  </w:r>
                </w:p>
              </w:tc>
              <w:tc>
                <w:tcPr>
                  <w:tcW w:w="3445" w:type="pct"/>
                  <w:tcBorders>
                    <w:top w:val="single" w:color="auto" w:sz="4" w:space="0"/>
                    <w:left w:val="single" w:color="auto" w:sz="4" w:space="0"/>
                    <w:bottom w:val="single" w:color="auto" w:sz="4" w:space="0"/>
                    <w:right w:val="single" w:color="auto" w:sz="4" w:space="0"/>
                  </w:tcBorders>
                  <w:vAlign w:val="center"/>
                </w:tcPr>
                <w:p w14:paraId="34A8ABBD">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位于泥浆循环系统区域，用于储备压井泥浆。罐区周边设置围堰</w:t>
                  </w:r>
                </w:p>
              </w:tc>
            </w:tr>
            <w:tr w14:paraId="39F6EFD7">
              <w:trPr>
                <w:trHeight w:val="90" w:hRule="atLeast"/>
                <w:jc w:val="center"/>
              </w:trPr>
              <w:tc>
                <w:tcPr>
                  <w:tcW w:w="369" w:type="pct"/>
                  <w:vMerge w:val="restart"/>
                  <w:tcBorders>
                    <w:top w:val="single" w:color="auto" w:sz="4" w:space="0"/>
                    <w:left w:val="single" w:color="auto" w:sz="4" w:space="0"/>
                    <w:bottom w:val="single" w:color="auto" w:sz="4" w:space="0"/>
                    <w:right w:val="single" w:color="auto" w:sz="4" w:space="0"/>
                  </w:tcBorders>
                  <w:vAlign w:val="center"/>
                </w:tcPr>
                <w:p w14:paraId="052B4EA3">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环保工程</w:t>
                  </w:r>
                </w:p>
              </w:tc>
              <w:tc>
                <w:tcPr>
                  <w:tcW w:w="379" w:type="pct"/>
                  <w:vMerge w:val="restart"/>
                  <w:tcBorders>
                    <w:top w:val="single" w:color="auto" w:sz="4" w:space="0"/>
                    <w:left w:val="single" w:color="auto" w:sz="4" w:space="0"/>
                    <w:right w:val="single" w:color="auto" w:sz="4" w:space="0"/>
                  </w:tcBorders>
                  <w:vAlign w:val="center"/>
                </w:tcPr>
                <w:p w14:paraId="69748680">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805" w:type="pct"/>
                  <w:tcBorders>
                    <w:top w:val="single" w:color="auto" w:sz="4" w:space="0"/>
                    <w:left w:val="single" w:color="auto" w:sz="4" w:space="0"/>
                    <w:bottom w:val="single" w:color="auto" w:sz="4" w:space="0"/>
                    <w:right w:val="single" w:color="auto" w:sz="4" w:space="0"/>
                  </w:tcBorders>
                  <w:vAlign w:val="center"/>
                </w:tcPr>
                <w:p w14:paraId="3658BAB0">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伴生气</w:t>
                  </w:r>
                </w:p>
              </w:tc>
              <w:tc>
                <w:tcPr>
                  <w:tcW w:w="3445" w:type="pct"/>
                  <w:tcBorders>
                    <w:top w:val="single" w:color="auto" w:sz="4" w:space="0"/>
                    <w:left w:val="single" w:color="auto" w:sz="4" w:space="0"/>
                    <w:bottom w:val="single" w:color="auto" w:sz="4" w:space="0"/>
                    <w:right w:val="single" w:color="auto" w:sz="4" w:space="0"/>
                  </w:tcBorders>
                  <w:vAlign w:val="center"/>
                </w:tcPr>
                <w:p w14:paraId="04FEB1C8">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伴生气通过排气管线充分燃烧后放空</w:t>
                  </w:r>
                </w:p>
              </w:tc>
            </w:tr>
            <w:tr w14:paraId="4B892915">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515BEF0F">
                  <w:pPr>
                    <w:kinsoku/>
                    <w:spacing w:line="300" w:lineRule="exact"/>
                    <w:jc w:val="center"/>
                    <w:rPr>
                      <w:rFonts w:hint="default" w:ascii="Times New Roman" w:hAnsi="Times New Roman" w:eastAsia="宋体" w:cs="Times New Roman"/>
                      <w:color w:val="auto"/>
                      <w:lang w:eastAsia="zh-CN"/>
                    </w:rPr>
                  </w:pPr>
                </w:p>
              </w:tc>
              <w:tc>
                <w:tcPr>
                  <w:tcW w:w="379" w:type="pct"/>
                  <w:vMerge w:val="continue"/>
                  <w:tcBorders>
                    <w:left w:val="single" w:color="auto" w:sz="4" w:space="0"/>
                    <w:right w:val="single" w:color="auto" w:sz="4" w:space="0"/>
                  </w:tcBorders>
                  <w:vAlign w:val="center"/>
                </w:tcPr>
                <w:p w14:paraId="4EEEF820">
                  <w:pPr>
                    <w:kinsoku/>
                    <w:spacing w:line="300" w:lineRule="exact"/>
                    <w:jc w:val="center"/>
                    <w:rPr>
                      <w:rFonts w:hint="default" w:ascii="Times New Roman" w:hAnsi="Times New Roman" w:eastAsia="宋体" w:cs="Times New Roman"/>
                      <w:color w:val="auto"/>
                      <w:lang w:eastAsia="zh-CN"/>
                    </w:rPr>
                  </w:pPr>
                </w:p>
              </w:tc>
              <w:tc>
                <w:tcPr>
                  <w:tcW w:w="805" w:type="pct"/>
                  <w:tcBorders>
                    <w:top w:val="single" w:color="auto" w:sz="4" w:space="0"/>
                    <w:left w:val="single" w:color="auto" w:sz="4" w:space="0"/>
                    <w:bottom w:val="single" w:color="auto" w:sz="4" w:space="0"/>
                    <w:right w:val="single" w:color="auto" w:sz="4" w:space="0"/>
                  </w:tcBorders>
                  <w:vAlign w:val="center"/>
                </w:tcPr>
                <w:p w14:paraId="40B1D01F">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施工扬尘</w:t>
                  </w:r>
                </w:p>
              </w:tc>
              <w:tc>
                <w:tcPr>
                  <w:tcW w:w="3445" w:type="pct"/>
                  <w:tcBorders>
                    <w:top w:val="single" w:color="auto" w:sz="4" w:space="0"/>
                    <w:left w:val="single" w:color="auto" w:sz="4" w:space="0"/>
                    <w:bottom w:val="single" w:color="auto" w:sz="4" w:space="0"/>
                    <w:right w:val="single" w:color="auto" w:sz="4" w:space="0"/>
                  </w:tcBorders>
                  <w:vAlign w:val="center"/>
                </w:tcPr>
                <w:p w14:paraId="008A0FB4">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对易起尘物料进行遮盖；加强车辆管理等措施；场区洒水抑尘措施</w:t>
                  </w:r>
                </w:p>
              </w:tc>
            </w:tr>
            <w:tr w14:paraId="058A8F62">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67F9E96A">
                  <w:pPr>
                    <w:kinsoku/>
                    <w:spacing w:line="300" w:lineRule="exact"/>
                    <w:jc w:val="center"/>
                    <w:rPr>
                      <w:rFonts w:hint="default" w:ascii="Times New Roman" w:hAnsi="Times New Roman" w:eastAsia="宋体" w:cs="Times New Roman"/>
                      <w:color w:val="auto"/>
                      <w:lang w:eastAsia="zh-CN"/>
                    </w:rPr>
                  </w:pPr>
                </w:p>
              </w:tc>
              <w:tc>
                <w:tcPr>
                  <w:tcW w:w="379" w:type="pct"/>
                  <w:vMerge w:val="continue"/>
                  <w:tcBorders>
                    <w:left w:val="single" w:color="auto" w:sz="4" w:space="0"/>
                    <w:right w:val="single" w:color="auto" w:sz="4" w:space="0"/>
                  </w:tcBorders>
                  <w:vAlign w:val="center"/>
                </w:tcPr>
                <w:p w14:paraId="797C6431">
                  <w:pPr>
                    <w:kinsoku/>
                    <w:spacing w:line="300" w:lineRule="exact"/>
                    <w:jc w:val="center"/>
                    <w:rPr>
                      <w:rFonts w:hint="default" w:ascii="Times New Roman" w:hAnsi="Times New Roman" w:eastAsia="宋体" w:cs="Times New Roman"/>
                      <w:color w:val="auto"/>
                      <w:lang w:eastAsia="zh-CN"/>
                    </w:rPr>
                  </w:pPr>
                </w:p>
              </w:tc>
              <w:tc>
                <w:tcPr>
                  <w:tcW w:w="805" w:type="pct"/>
                  <w:tcBorders>
                    <w:top w:val="single" w:color="auto" w:sz="4" w:space="0"/>
                    <w:left w:val="single" w:color="auto" w:sz="4" w:space="0"/>
                    <w:bottom w:val="single" w:color="auto" w:sz="4" w:space="0"/>
                    <w:right w:val="single" w:color="auto" w:sz="4" w:space="0"/>
                  </w:tcBorders>
                  <w:vAlign w:val="center"/>
                </w:tcPr>
                <w:p w14:paraId="341CA017">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柴油发电</w:t>
                  </w:r>
                </w:p>
                <w:p w14:paraId="49366899">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机废气</w:t>
                  </w:r>
                </w:p>
              </w:tc>
              <w:tc>
                <w:tcPr>
                  <w:tcW w:w="3445" w:type="pct"/>
                  <w:tcBorders>
                    <w:top w:val="single" w:color="auto" w:sz="4" w:space="0"/>
                    <w:left w:val="single" w:color="auto" w:sz="4" w:space="0"/>
                    <w:bottom w:val="single" w:color="auto" w:sz="4" w:space="0"/>
                    <w:right w:val="single" w:color="auto" w:sz="4" w:space="0"/>
                  </w:tcBorders>
                  <w:vAlign w:val="center"/>
                </w:tcPr>
                <w:p w14:paraId="4757920B">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废气产生量较少，属无组织排放</w:t>
                  </w:r>
                </w:p>
              </w:tc>
            </w:tr>
            <w:tr w14:paraId="2EDA0F33">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0AE76294">
                  <w:pPr>
                    <w:kinsoku/>
                    <w:spacing w:line="300" w:lineRule="exact"/>
                    <w:jc w:val="center"/>
                    <w:rPr>
                      <w:rFonts w:hint="default" w:ascii="Times New Roman" w:hAnsi="Times New Roman" w:eastAsia="宋体" w:cs="Times New Roman"/>
                      <w:color w:val="auto"/>
                      <w:lang w:eastAsia="zh-CN"/>
                    </w:rPr>
                  </w:pPr>
                </w:p>
              </w:tc>
              <w:tc>
                <w:tcPr>
                  <w:tcW w:w="379" w:type="pct"/>
                  <w:vMerge w:val="restart"/>
                  <w:tcBorders>
                    <w:top w:val="single" w:color="auto" w:sz="4" w:space="0"/>
                    <w:left w:val="single" w:color="auto" w:sz="4" w:space="0"/>
                    <w:bottom w:val="single" w:color="auto" w:sz="4" w:space="0"/>
                    <w:right w:val="single" w:color="auto" w:sz="4" w:space="0"/>
                  </w:tcBorders>
                  <w:vAlign w:val="center"/>
                </w:tcPr>
                <w:p w14:paraId="5C625FCE">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805" w:type="pct"/>
                  <w:tcBorders>
                    <w:top w:val="single" w:color="auto" w:sz="4" w:space="0"/>
                    <w:left w:val="single" w:color="auto" w:sz="4" w:space="0"/>
                    <w:bottom w:val="single" w:color="auto" w:sz="4" w:space="0"/>
                    <w:right w:val="single" w:color="auto" w:sz="4" w:space="0"/>
                  </w:tcBorders>
                  <w:vAlign w:val="center"/>
                </w:tcPr>
                <w:p w14:paraId="45024BC9">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生活污水</w:t>
                  </w:r>
                </w:p>
              </w:tc>
              <w:tc>
                <w:tcPr>
                  <w:tcW w:w="3445" w:type="pct"/>
                  <w:tcBorders>
                    <w:top w:val="single" w:color="auto" w:sz="4" w:space="0"/>
                    <w:left w:val="single" w:color="auto" w:sz="4" w:space="0"/>
                    <w:bottom w:val="single" w:color="auto" w:sz="4" w:space="0"/>
                    <w:right w:val="single" w:color="auto" w:sz="4" w:space="0"/>
                  </w:tcBorders>
                  <w:vAlign w:val="center"/>
                </w:tcPr>
                <w:p w14:paraId="042231B8">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井场设1个</w:t>
                  </w:r>
                  <w:r>
                    <w:rPr>
                      <w:rFonts w:hint="eastAsia" w:ascii="Times New Roman" w:hAnsi="Times New Roman" w:eastAsia="宋体" w:cs="Times New Roman"/>
                      <w:color w:val="auto"/>
                      <w:lang w:eastAsia="zh-CN"/>
                    </w:rPr>
                    <w:t>防渗收集池</w:t>
                  </w:r>
                  <w:r>
                    <w:rPr>
                      <w:rFonts w:hint="default" w:ascii="Times New Roman" w:hAnsi="Times New Roman" w:eastAsia="宋体" w:cs="Times New Roman"/>
                      <w:color w:val="auto"/>
                      <w:lang w:eastAsia="zh-CN"/>
                    </w:rPr>
                    <w:t>，生活污水排入</w:t>
                  </w:r>
                  <w:r>
                    <w:rPr>
                      <w:rFonts w:hint="eastAsia" w:ascii="Times New Roman" w:hAnsi="Times New Roman" w:eastAsia="宋体" w:cs="Times New Roman"/>
                      <w:color w:val="auto"/>
                      <w:lang w:eastAsia="zh-CN"/>
                    </w:rPr>
                    <w:t>防渗收集池</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防渗收集池</w:t>
                  </w:r>
                  <w:r>
                    <w:rPr>
                      <w:rFonts w:hint="default" w:ascii="Times New Roman" w:hAnsi="Times New Roman" w:eastAsia="宋体" w:cs="Times New Roman"/>
                      <w:color w:val="auto"/>
                      <w:lang w:eastAsia="zh-CN"/>
                    </w:rPr>
                    <w:t>下铺防渗膜，防</w:t>
                  </w:r>
                  <w:r>
                    <w:rPr>
                      <w:rFonts w:hint="default" w:ascii="Times New Roman" w:hAnsi="Times New Roman" w:eastAsia="宋体" w:cs="Times New Roman"/>
                      <w:color w:val="auto"/>
                      <w:highlight w:val="none"/>
                      <w:lang w:eastAsia="zh-CN"/>
                    </w:rPr>
                    <w:t>渗材料为HDPE防渗膜，厚度2mm，渗透系数≤10</w:t>
                  </w:r>
                  <w:r>
                    <w:rPr>
                      <w:rFonts w:hint="default" w:ascii="Times New Roman" w:hAnsi="Times New Roman" w:eastAsia="宋体" w:cs="Times New Roman"/>
                      <w:color w:val="auto"/>
                      <w:highlight w:val="none"/>
                      <w:vertAlign w:val="superscript"/>
                      <w:lang w:eastAsia="zh-CN"/>
                    </w:rPr>
                    <w:t>-7</w:t>
                  </w:r>
                  <w:r>
                    <w:rPr>
                      <w:rFonts w:hint="default" w:ascii="Times New Roman" w:hAnsi="Times New Roman" w:eastAsia="宋体" w:cs="Times New Roman"/>
                      <w:color w:val="auto"/>
                      <w:highlight w:val="none"/>
                      <w:lang w:eastAsia="zh-CN"/>
                    </w:rPr>
                    <w:t>cm/s，拉运至</w:t>
                  </w:r>
                  <w:r>
                    <w:rPr>
                      <w:rFonts w:hint="eastAsia" w:ascii="Times New Roman" w:hAnsi="Times New Roman" w:eastAsia="宋体" w:cs="Times New Roman"/>
                      <w:color w:val="auto"/>
                      <w:highlight w:val="none"/>
                      <w:lang w:val="en-US" w:eastAsia="zh-CN"/>
                    </w:rPr>
                    <w:t>吉木萨尔县</w:t>
                  </w:r>
                  <w:r>
                    <w:rPr>
                      <w:rFonts w:hint="default" w:ascii="Times New Roman" w:hAnsi="Times New Roman" w:eastAsia="宋体" w:cs="Times New Roman"/>
                      <w:color w:val="auto"/>
                      <w:highlight w:val="none"/>
                      <w:lang w:eastAsia="zh-CN"/>
                    </w:rPr>
                    <w:t>市政污水处理厂进行处理，确</w:t>
                  </w:r>
                  <w:r>
                    <w:rPr>
                      <w:rFonts w:hint="default" w:ascii="Times New Roman" w:hAnsi="Times New Roman" w:eastAsia="宋体" w:cs="Times New Roman"/>
                      <w:color w:val="auto"/>
                      <w:lang w:eastAsia="zh-CN"/>
                    </w:rPr>
                    <w:t>保生活污水不外排</w:t>
                  </w:r>
                </w:p>
              </w:tc>
            </w:tr>
            <w:tr w14:paraId="25C363B8">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7E85E992">
                  <w:pPr>
                    <w:kinsoku/>
                    <w:spacing w:line="300" w:lineRule="exact"/>
                    <w:jc w:val="center"/>
                    <w:rPr>
                      <w:rFonts w:hint="default" w:ascii="Times New Roman" w:hAnsi="Times New Roman" w:eastAsia="宋体" w:cs="Times New Roman"/>
                      <w:color w:val="auto"/>
                      <w:lang w:eastAsia="zh-CN"/>
                    </w:rPr>
                  </w:pPr>
                </w:p>
              </w:tc>
              <w:tc>
                <w:tcPr>
                  <w:tcW w:w="379" w:type="pct"/>
                  <w:vMerge w:val="continue"/>
                  <w:tcBorders>
                    <w:top w:val="single" w:color="auto" w:sz="4" w:space="0"/>
                    <w:left w:val="single" w:color="auto" w:sz="4" w:space="0"/>
                    <w:bottom w:val="single" w:color="auto" w:sz="4" w:space="0"/>
                    <w:right w:val="single" w:color="auto" w:sz="4" w:space="0"/>
                  </w:tcBorders>
                  <w:vAlign w:val="center"/>
                </w:tcPr>
                <w:p w14:paraId="725E8244">
                  <w:pPr>
                    <w:kinsoku/>
                    <w:spacing w:line="300" w:lineRule="exact"/>
                    <w:jc w:val="center"/>
                    <w:rPr>
                      <w:rFonts w:hint="default" w:ascii="Times New Roman" w:hAnsi="Times New Roman" w:eastAsia="宋体" w:cs="Times New Roman"/>
                      <w:color w:val="auto"/>
                      <w:lang w:eastAsia="zh-CN"/>
                    </w:rPr>
                  </w:pPr>
                </w:p>
              </w:tc>
              <w:tc>
                <w:tcPr>
                  <w:tcW w:w="805" w:type="pct"/>
                  <w:tcBorders>
                    <w:top w:val="single" w:color="auto" w:sz="4" w:space="0"/>
                    <w:left w:val="single" w:color="auto" w:sz="4" w:space="0"/>
                    <w:bottom w:val="single" w:color="auto" w:sz="4" w:space="0"/>
                    <w:right w:val="single" w:color="auto" w:sz="4" w:space="0"/>
                  </w:tcBorders>
                  <w:vAlign w:val="center"/>
                </w:tcPr>
                <w:p w14:paraId="2EB87133">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洗井废水和压裂返排液</w:t>
                  </w:r>
                </w:p>
              </w:tc>
              <w:tc>
                <w:tcPr>
                  <w:tcW w:w="3445" w:type="pct"/>
                  <w:tcBorders>
                    <w:top w:val="single" w:color="auto" w:sz="4" w:space="0"/>
                    <w:left w:val="single" w:color="auto" w:sz="4" w:space="0"/>
                    <w:bottom w:val="single" w:color="auto" w:sz="4" w:space="0"/>
                    <w:right w:val="single" w:color="auto" w:sz="4" w:space="0"/>
                  </w:tcBorders>
                  <w:vAlign w:val="center"/>
                </w:tcPr>
                <w:p w14:paraId="74DB8D29">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项目井下作业废水采取带罐作业，井下作业废水全部回收，拉运到</w:t>
                  </w:r>
                  <w:r>
                    <w:rPr>
                      <w:rFonts w:hint="eastAsia" w:ascii="Times New Roman" w:hAnsi="Times New Roman" w:eastAsia="宋体" w:cs="Times New Roman"/>
                      <w:color w:val="auto"/>
                      <w:lang w:val="en-US" w:eastAsia="zh-CN"/>
                    </w:rPr>
                    <w:t>吉28脱水站</w:t>
                  </w:r>
                  <w:r>
                    <w:rPr>
                      <w:rFonts w:hint="default" w:ascii="Times New Roman" w:hAnsi="Times New Roman" w:eastAsia="宋体" w:cs="Times New Roman"/>
                      <w:color w:val="auto"/>
                      <w:lang w:eastAsia="zh-CN"/>
                    </w:rPr>
                    <w:t>并处理达标后，全部回注油藏</w:t>
                  </w:r>
                </w:p>
              </w:tc>
            </w:tr>
            <w:tr w14:paraId="5D89B6DE">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53D54D34">
                  <w:pPr>
                    <w:kinsoku/>
                    <w:spacing w:line="300" w:lineRule="exact"/>
                    <w:jc w:val="center"/>
                    <w:rPr>
                      <w:rFonts w:hint="default" w:ascii="Times New Roman" w:hAnsi="Times New Roman" w:eastAsia="宋体" w:cs="Times New Roman"/>
                      <w:color w:val="auto"/>
                      <w:lang w:eastAsia="zh-CN"/>
                    </w:rPr>
                  </w:pPr>
                </w:p>
              </w:tc>
              <w:tc>
                <w:tcPr>
                  <w:tcW w:w="379" w:type="pct"/>
                  <w:tcBorders>
                    <w:top w:val="single" w:color="auto" w:sz="4" w:space="0"/>
                    <w:left w:val="single" w:color="auto" w:sz="4" w:space="0"/>
                    <w:bottom w:val="single" w:color="auto" w:sz="4" w:space="0"/>
                    <w:right w:val="single" w:color="auto" w:sz="4" w:space="0"/>
                  </w:tcBorders>
                  <w:vAlign w:val="center"/>
                </w:tcPr>
                <w:p w14:paraId="38FFA90B">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805" w:type="pct"/>
                  <w:tcBorders>
                    <w:top w:val="single" w:color="auto" w:sz="4" w:space="0"/>
                    <w:left w:val="single" w:color="auto" w:sz="4" w:space="0"/>
                    <w:bottom w:val="single" w:color="auto" w:sz="4" w:space="0"/>
                    <w:right w:val="single" w:color="auto" w:sz="4" w:space="0"/>
                  </w:tcBorders>
                  <w:vAlign w:val="center"/>
                </w:tcPr>
                <w:p w14:paraId="4304ED14">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钻试设备运行噪声</w:t>
                  </w:r>
                </w:p>
              </w:tc>
              <w:tc>
                <w:tcPr>
                  <w:tcW w:w="3445" w:type="pct"/>
                  <w:tcBorders>
                    <w:top w:val="single" w:color="auto" w:sz="4" w:space="0"/>
                    <w:left w:val="single" w:color="auto" w:sz="4" w:space="0"/>
                    <w:bottom w:val="single" w:color="auto" w:sz="4" w:space="0"/>
                    <w:right w:val="single" w:color="auto" w:sz="4" w:space="0"/>
                  </w:tcBorders>
                  <w:vAlign w:val="center"/>
                </w:tcPr>
                <w:p w14:paraId="2F07E931">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减振、隔声降噪措施，加强设备维护</w:t>
                  </w:r>
                </w:p>
              </w:tc>
            </w:tr>
            <w:tr w14:paraId="4DB14A94">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07395A17">
                  <w:pPr>
                    <w:kinsoku/>
                    <w:spacing w:line="300" w:lineRule="exact"/>
                    <w:jc w:val="center"/>
                    <w:rPr>
                      <w:rFonts w:hint="default" w:ascii="Times New Roman" w:hAnsi="Times New Roman" w:eastAsia="宋体" w:cs="Times New Roman"/>
                      <w:color w:val="auto"/>
                      <w:lang w:eastAsia="zh-CN"/>
                    </w:rPr>
                  </w:pPr>
                </w:p>
              </w:tc>
              <w:tc>
                <w:tcPr>
                  <w:tcW w:w="379" w:type="pct"/>
                  <w:vMerge w:val="restart"/>
                  <w:tcBorders>
                    <w:top w:val="single" w:color="auto" w:sz="4" w:space="0"/>
                    <w:left w:val="single" w:color="auto" w:sz="4" w:space="0"/>
                    <w:bottom w:val="single" w:color="auto" w:sz="4" w:space="0"/>
                    <w:right w:val="single" w:color="auto" w:sz="4" w:space="0"/>
                  </w:tcBorders>
                  <w:vAlign w:val="center"/>
                </w:tcPr>
                <w:p w14:paraId="3E41C600">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p>
              </w:tc>
              <w:tc>
                <w:tcPr>
                  <w:tcW w:w="805" w:type="pct"/>
                  <w:tcBorders>
                    <w:top w:val="single" w:color="auto" w:sz="4" w:space="0"/>
                    <w:left w:val="single" w:color="auto" w:sz="4" w:space="0"/>
                    <w:bottom w:val="single" w:color="auto" w:sz="4" w:space="0"/>
                    <w:right w:val="single" w:color="auto" w:sz="4" w:space="0"/>
                  </w:tcBorders>
                  <w:vAlign w:val="center"/>
                </w:tcPr>
                <w:p w14:paraId="7C55B6D4">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落地油</w:t>
                  </w:r>
                </w:p>
              </w:tc>
              <w:tc>
                <w:tcPr>
                  <w:tcW w:w="3445" w:type="pct"/>
                  <w:tcBorders>
                    <w:top w:val="single" w:color="auto" w:sz="4" w:space="0"/>
                    <w:left w:val="single" w:color="auto" w:sz="4" w:space="0"/>
                    <w:bottom w:val="single" w:color="auto" w:sz="4" w:space="0"/>
                    <w:right w:val="single" w:color="auto" w:sz="4" w:space="0"/>
                  </w:tcBorders>
                  <w:vAlign w:val="center"/>
                </w:tcPr>
                <w:p w14:paraId="7F53D221">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本项目井下作业时带罐作业，落地油100%回收</w:t>
                  </w:r>
                </w:p>
              </w:tc>
            </w:tr>
            <w:tr w14:paraId="2045AFC7">
              <w:trPr>
                <w:trHeight w:val="112"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2586DCB8">
                  <w:pPr>
                    <w:kinsoku/>
                    <w:spacing w:line="300" w:lineRule="exact"/>
                    <w:jc w:val="center"/>
                    <w:rPr>
                      <w:rFonts w:hint="default" w:ascii="Times New Roman" w:hAnsi="Times New Roman" w:eastAsia="宋体" w:cs="Times New Roman"/>
                      <w:color w:val="auto"/>
                      <w:lang w:eastAsia="zh-CN"/>
                    </w:rPr>
                  </w:pPr>
                </w:p>
              </w:tc>
              <w:tc>
                <w:tcPr>
                  <w:tcW w:w="379" w:type="pct"/>
                  <w:vMerge w:val="continue"/>
                  <w:tcBorders>
                    <w:left w:val="single" w:color="auto" w:sz="4" w:space="0"/>
                    <w:right w:val="single" w:color="auto" w:sz="4" w:space="0"/>
                  </w:tcBorders>
                  <w:vAlign w:val="center"/>
                </w:tcPr>
                <w:p w14:paraId="41CE473A">
                  <w:pPr>
                    <w:kinsoku/>
                    <w:spacing w:line="300" w:lineRule="exact"/>
                    <w:jc w:val="center"/>
                    <w:rPr>
                      <w:rFonts w:hint="default" w:ascii="Times New Roman" w:hAnsi="Times New Roman" w:eastAsia="宋体" w:cs="Times New Roman"/>
                      <w:color w:val="auto"/>
                      <w:lang w:eastAsia="zh-CN"/>
                    </w:rPr>
                  </w:pPr>
                </w:p>
              </w:tc>
              <w:tc>
                <w:tcPr>
                  <w:tcW w:w="805" w:type="pct"/>
                  <w:tcBorders>
                    <w:top w:val="single" w:color="auto" w:sz="4" w:space="0"/>
                    <w:left w:val="single" w:color="auto" w:sz="4" w:space="0"/>
                    <w:right w:val="single" w:color="auto" w:sz="4" w:space="0"/>
                  </w:tcBorders>
                  <w:vAlign w:val="center"/>
                </w:tcPr>
                <w:p w14:paraId="218F4162">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钻井岩屑</w:t>
                  </w:r>
                </w:p>
              </w:tc>
              <w:tc>
                <w:tcPr>
                  <w:tcW w:w="3445" w:type="pct"/>
                  <w:tcBorders>
                    <w:top w:val="single" w:color="auto" w:sz="4" w:space="0"/>
                    <w:left w:val="single" w:color="auto" w:sz="4" w:space="0"/>
                    <w:bottom w:val="single" w:color="auto" w:sz="4" w:space="0"/>
                    <w:right w:val="single" w:color="auto" w:sz="4" w:space="0"/>
                  </w:tcBorders>
                  <w:vAlign w:val="center"/>
                </w:tcPr>
                <w:p w14:paraId="0FCC00C1">
                  <w:pPr>
                    <w:kinsoku/>
                    <w:spacing w:line="300" w:lineRule="exact"/>
                    <w:jc w:val="both"/>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bidi="ar"/>
                    </w:rPr>
                    <w:t>阜2602</w:t>
                  </w:r>
                  <w:r>
                    <w:rPr>
                      <w:rFonts w:hint="default" w:ascii="Times New Roman" w:hAnsi="Times New Roman" w:eastAsia="宋体" w:cs="Times New Roman"/>
                      <w:color w:val="auto"/>
                      <w:spacing w:val="4"/>
                      <w:highlight w:val="none"/>
                      <w:lang w:eastAsia="zh-CN"/>
                    </w:rPr>
                    <w:t>、</w:t>
                  </w:r>
                  <w:r>
                    <w:rPr>
                      <w:rFonts w:hint="eastAsia" w:ascii="Times New Roman" w:hAnsi="Times New Roman" w:eastAsia="宋体" w:cs="Times New Roman"/>
                      <w:color w:val="auto"/>
                      <w:lang w:val="en-US" w:eastAsia="zh-CN" w:bidi="ar"/>
                    </w:rPr>
                    <w:t>阜2602-1井</w:t>
                  </w:r>
                  <w:r>
                    <w:rPr>
                      <w:rFonts w:hint="default" w:ascii="Times New Roman" w:hAnsi="Times New Roman" w:eastAsia="宋体" w:cs="Times New Roman"/>
                      <w:color w:val="auto"/>
                      <w:lang w:eastAsia="zh-CN"/>
                    </w:rPr>
                    <w:t>钻井过程中，</w:t>
                  </w:r>
                  <w:r>
                    <w:rPr>
                      <w:rFonts w:hint="eastAsia" w:ascii="Times New Roman" w:hAnsi="Times New Roman" w:eastAsia="宋体" w:cs="Times New Roman"/>
                      <w:color w:val="auto"/>
                      <w:lang w:val="en-US" w:eastAsia="zh-CN"/>
                    </w:rPr>
                    <w:t>一开段</w:t>
                  </w:r>
                  <w:r>
                    <w:rPr>
                      <w:rFonts w:hint="default" w:ascii="Times New Roman" w:hAnsi="Times New Roman" w:eastAsia="宋体" w:cs="Times New Roman"/>
                      <w:color w:val="auto"/>
                      <w:lang w:eastAsia="zh-CN"/>
                    </w:rPr>
                    <w:t>采用水基钻井液，</w:t>
                  </w:r>
                  <w:r>
                    <w:rPr>
                      <w:rFonts w:hint="eastAsia" w:ascii="Times New Roman" w:hAnsi="Times New Roman" w:eastAsia="宋体" w:cs="Times New Roman"/>
                      <w:color w:val="auto"/>
                      <w:lang w:val="en-US" w:eastAsia="zh-CN"/>
                    </w:rPr>
                    <w:t>二开段采用油基钻井液；钻井过程中</w:t>
                  </w:r>
                  <w:r>
                    <w:rPr>
                      <w:rFonts w:hint="default" w:ascii="Times New Roman" w:hAnsi="Times New Roman" w:eastAsia="宋体" w:cs="Times New Roman"/>
                      <w:color w:val="auto"/>
                      <w:lang w:eastAsia="zh-CN"/>
                    </w:rPr>
                    <w:t>产生的水基钻井岩屑不属于危险废物，经“泥浆不落地”系统处理，委托有资质的第三方环保处理单位集中</w:t>
                  </w:r>
                  <w:r>
                    <w:rPr>
                      <w:rFonts w:hint="default" w:ascii="Times New Roman" w:hAnsi="Times New Roman" w:eastAsia="宋体" w:cs="Times New Roman"/>
                      <w:color w:val="auto"/>
                      <w:lang w:val="en-US" w:eastAsia="zh-CN"/>
                    </w:rPr>
                    <w:t>处置</w:t>
                  </w:r>
                  <w:r>
                    <w:rPr>
                      <w:rFonts w:hint="default" w:ascii="Times New Roman" w:hAnsi="Times New Roman" w:eastAsia="宋体" w:cs="Times New Roman"/>
                      <w:color w:val="auto"/>
                      <w:lang w:eastAsia="zh-CN"/>
                    </w:rPr>
                    <w:t>，固相检测达到《油气田钻井固体废物综合利用污染控制要求》（DB 65/T3997-2017）相关标准限值后综合利用；产生的油基钻井岩屑属于危险废物，须严格分类收集，委托有危废处置资质的单位进行</w:t>
                  </w:r>
                  <w:r>
                    <w:rPr>
                      <w:rFonts w:hint="eastAsia" w:ascii="Times New Roman" w:hAnsi="Times New Roman" w:eastAsia="宋体" w:cs="Times New Roman"/>
                      <w:color w:val="auto"/>
                      <w:lang w:val="en-US" w:eastAsia="zh-CN"/>
                    </w:rPr>
                    <w:t>安全</w:t>
                  </w:r>
                  <w:r>
                    <w:rPr>
                      <w:rFonts w:hint="default" w:ascii="Times New Roman" w:hAnsi="Times New Roman" w:eastAsia="宋体" w:cs="Times New Roman"/>
                      <w:color w:val="auto"/>
                      <w:lang w:eastAsia="zh-CN"/>
                    </w:rPr>
                    <w:t>处置</w:t>
                  </w:r>
                </w:p>
              </w:tc>
            </w:tr>
            <w:tr w14:paraId="44EE0B97">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2C751998">
                  <w:pPr>
                    <w:kinsoku/>
                    <w:spacing w:line="300" w:lineRule="exact"/>
                    <w:jc w:val="center"/>
                    <w:rPr>
                      <w:rFonts w:hint="default" w:ascii="Times New Roman" w:hAnsi="Times New Roman" w:eastAsia="宋体" w:cs="Times New Roman"/>
                      <w:color w:val="auto"/>
                      <w:lang w:eastAsia="zh-CN"/>
                    </w:rPr>
                  </w:pPr>
                </w:p>
              </w:tc>
              <w:tc>
                <w:tcPr>
                  <w:tcW w:w="379" w:type="pct"/>
                  <w:vMerge w:val="continue"/>
                  <w:tcBorders>
                    <w:top w:val="single" w:color="auto" w:sz="4" w:space="0"/>
                    <w:left w:val="single" w:color="auto" w:sz="4" w:space="0"/>
                    <w:bottom w:val="single" w:color="auto" w:sz="4" w:space="0"/>
                    <w:right w:val="single" w:color="auto" w:sz="4" w:space="0"/>
                  </w:tcBorders>
                  <w:vAlign w:val="center"/>
                </w:tcPr>
                <w:p w14:paraId="2363ADD1">
                  <w:pPr>
                    <w:kinsoku/>
                    <w:spacing w:line="300" w:lineRule="exact"/>
                    <w:jc w:val="center"/>
                    <w:rPr>
                      <w:rFonts w:hint="default" w:ascii="Times New Roman" w:hAnsi="Times New Roman" w:eastAsia="宋体" w:cs="Times New Roman"/>
                      <w:color w:val="auto"/>
                      <w:lang w:eastAsia="zh-CN"/>
                    </w:rPr>
                  </w:pPr>
                </w:p>
              </w:tc>
              <w:tc>
                <w:tcPr>
                  <w:tcW w:w="805" w:type="pct"/>
                  <w:tcBorders>
                    <w:top w:val="single" w:color="auto" w:sz="4" w:space="0"/>
                    <w:left w:val="single" w:color="auto" w:sz="4" w:space="0"/>
                    <w:bottom w:val="single" w:color="auto" w:sz="4" w:space="0"/>
                    <w:right w:val="single" w:color="auto" w:sz="4" w:space="0"/>
                  </w:tcBorders>
                  <w:vAlign w:val="center"/>
                </w:tcPr>
                <w:p w14:paraId="420FFD59">
                  <w:pPr>
                    <w:widowControl w:val="0"/>
                    <w:kinsoku/>
                    <w:spacing w:line="24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废防渗材料、</w:t>
                  </w:r>
                  <w:r>
                    <w:rPr>
                      <w:rFonts w:hint="eastAsia" w:ascii="Times New Roman" w:hAnsi="Times New Roman" w:eastAsia="宋体" w:cs="Times New Roman"/>
                      <w:color w:val="auto"/>
                      <w:lang w:val="en-US" w:eastAsia="zh-CN"/>
                    </w:rPr>
                    <w:t>机械设备废油、废油桶</w:t>
                  </w:r>
                </w:p>
              </w:tc>
              <w:tc>
                <w:tcPr>
                  <w:tcW w:w="3445" w:type="pct"/>
                  <w:tcBorders>
                    <w:top w:val="single" w:color="auto" w:sz="4" w:space="0"/>
                    <w:left w:val="single" w:color="auto" w:sz="4" w:space="0"/>
                    <w:bottom w:val="single" w:color="auto" w:sz="4" w:space="0"/>
                    <w:right w:val="single" w:color="auto" w:sz="4" w:space="0"/>
                  </w:tcBorders>
                  <w:vAlign w:val="center"/>
                </w:tcPr>
                <w:p w14:paraId="7A7711AD">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施工过程中产生的沾油废防渗材料、设备检修与维护过程中产生的</w:t>
                  </w:r>
                  <w:r>
                    <w:rPr>
                      <w:rFonts w:hint="eastAsia" w:ascii="Times New Roman" w:hAnsi="Times New Roman" w:eastAsia="宋体" w:cs="Times New Roman"/>
                      <w:color w:val="auto"/>
                      <w:lang w:val="en-US" w:eastAsia="zh-CN"/>
                    </w:rPr>
                    <w:t>机械设备废油</w:t>
                  </w:r>
                  <w:r>
                    <w:rPr>
                      <w:rFonts w:hint="default" w:ascii="Times New Roman" w:hAnsi="Times New Roman" w:eastAsia="宋体" w:cs="Times New Roman"/>
                      <w:color w:val="auto"/>
                      <w:lang w:eastAsia="zh-CN"/>
                    </w:rPr>
                    <w:t>及废油桶均属于危险废物，沾油废防渗材料、废</w:t>
                  </w:r>
                  <w:r>
                    <w:rPr>
                      <w:rFonts w:hint="eastAsia" w:ascii="Times New Roman" w:hAnsi="Times New Roman" w:eastAsia="宋体" w:cs="Times New Roman"/>
                      <w:color w:val="auto"/>
                      <w:lang w:val="en-US" w:eastAsia="zh-CN"/>
                    </w:rPr>
                    <w:t>矿物</w:t>
                  </w:r>
                  <w:r>
                    <w:rPr>
                      <w:rFonts w:hint="default" w:ascii="Times New Roman" w:hAnsi="Times New Roman" w:eastAsia="宋体" w:cs="Times New Roman"/>
                      <w:color w:val="auto"/>
                      <w:lang w:eastAsia="zh-CN"/>
                    </w:rPr>
                    <w:t>油和废油桶分区暂存在井场设置的危险废物贮存库，定期由具有相应危险废物处置资质的单位进行接收、转运和处置</w:t>
                  </w:r>
                </w:p>
              </w:tc>
            </w:tr>
            <w:tr w14:paraId="5F77B09D">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7B3F6F80">
                  <w:pPr>
                    <w:kinsoku/>
                    <w:spacing w:line="300" w:lineRule="exact"/>
                    <w:jc w:val="center"/>
                    <w:rPr>
                      <w:rFonts w:hint="default" w:ascii="Times New Roman" w:hAnsi="Times New Roman" w:eastAsia="宋体" w:cs="Times New Roman"/>
                      <w:color w:val="auto"/>
                      <w:lang w:eastAsia="zh-CN"/>
                    </w:rPr>
                  </w:pPr>
                </w:p>
              </w:tc>
              <w:tc>
                <w:tcPr>
                  <w:tcW w:w="379" w:type="pct"/>
                  <w:vMerge w:val="continue"/>
                  <w:tcBorders>
                    <w:top w:val="single" w:color="auto" w:sz="4" w:space="0"/>
                    <w:left w:val="single" w:color="auto" w:sz="4" w:space="0"/>
                    <w:bottom w:val="single" w:color="auto" w:sz="4" w:space="0"/>
                    <w:right w:val="single" w:color="auto" w:sz="4" w:space="0"/>
                  </w:tcBorders>
                  <w:vAlign w:val="center"/>
                </w:tcPr>
                <w:p w14:paraId="4BA584ED">
                  <w:pPr>
                    <w:kinsoku/>
                    <w:spacing w:line="300" w:lineRule="exact"/>
                    <w:jc w:val="center"/>
                    <w:rPr>
                      <w:rFonts w:hint="default" w:ascii="Times New Roman" w:hAnsi="Times New Roman" w:eastAsia="宋体" w:cs="Times New Roman"/>
                      <w:color w:val="auto"/>
                      <w:lang w:eastAsia="zh-CN"/>
                    </w:rPr>
                  </w:pPr>
                </w:p>
              </w:tc>
              <w:tc>
                <w:tcPr>
                  <w:tcW w:w="805" w:type="pct"/>
                  <w:tcBorders>
                    <w:top w:val="single" w:color="auto" w:sz="4" w:space="0"/>
                    <w:left w:val="single" w:color="auto" w:sz="4" w:space="0"/>
                    <w:bottom w:val="single" w:color="auto" w:sz="4" w:space="0"/>
                    <w:right w:val="single" w:color="auto" w:sz="4" w:space="0"/>
                  </w:tcBorders>
                  <w:vAlign w:val="center"/>
                </w:tcPr>
                <w:p w14:paraId="27E942A7">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3445" w:type="pct"/>
                  <w:tcBorders>
                    <w:top w:val="single" w:color="auto" w:sz="4" w:space="0"/>
                    <w:left w:val="single" w:color="auto" w:sz="4" w:space="0"/>
                    <w:bottom w:val="single" w:color="auto" w:sz="4" w:space="0"/>
                    <w:right w:val="single" w:color="auto" w:sz="4" w:space="0"/>
                  </w:tcBorders>
                  <w:vAlign w:val="center"/>
                </w:tcPr>
                <w:p w14:paraId="3AAED03E">
                  <w:pPr>
                    <w:kinsoku/>
                    <w:spacing w:line="300" w:lineRule="exact"/>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井场和生活营地均设有垃圾箱暂存生活垃圾，集中收集后委托第三方拉运至</w:t>
                  </w:r>
                  <w:r>
                    <w:rPr>
                      <w:rFonts w:hint="eastAsia" w:ascii="Times New Roman" w:hAnsi="Times New Roman" w:eastAsia="宋体" w:cs="Times New Roman"/>
                      <w:color w:val="auto"/>
                      <w:sz w:val="21"/>
                      <w:szCs w:val="21"/>
                      <w:highlight w:val="none"/>
                      <w:lang w:val="en-US" w:eastAsia="zh-CN"/>
                    </w:rPr>
                    <w:t>吉木萨尔县</w:t>
                  </w:r>
                  <w:r>
                    <w:rPr>
                      <w:rFonts w:hint="default" w:ascii="Times New Roman" w:hAnsi="Times New Roman" w:eastAsia="宋体" w:cs="Times New Roman"/>
                      <w:color w:val="auto"/>
                      <w:sz w:val="21"/>
                      <w:szCs w:val="21"/>
                      <w:highlight w:val="none"/>
                    </w:rPr>
                    <w:t>生活垃圾填埋场处理</w:t>
                  </w:r>
                </w:p>
              </w:tc>
            </w:tr>
            <w:tr w14:paraId="6155E92C">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0DBF6BED">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039C245D">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生态措施</w:t>
                  </w:r>
                </w:p>
              </w:tc>
              <w:tc>
                <w:tcPr>
                  <w:tcW w:w="3445" w:type="pct"/>
                  <w:tcBorders>
                    <w:top w:val="single" w:color="auto" w:sz="4" w:space="0"/>
                    <w:left w:val="single" w:color="auto" w:sz="4" w:space="0"/>
                    <w:bottom w:val="single" w:color="auto" w:sz="4" w:space="0"/>
                    <w:right w:val="single" w:color="auto" w:sz="4" w:space="0"/>
                  </w:tcBorders>
                  <w:vAlign w:val="center"/>
                </w:tcPr>
                <w:p w14:paraId="182BBF48">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施工结束后及时对临时占地进行清理、平整，植被自然恢复</w:t>
                  </w:r>
                </w:p>
              </w:tc>
            </w:tr>
            <w:tr w14:paraId="2DB1C906">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37DF29C8">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0752AD9C">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S监测</w:t>
                  </w:r>
                </w:p>
              </w:tc>
              <w:tc>
                <w:tcPr>
                  <w:tcW w:w="3445" w:type="pct"/>
                  <w:tcBorders>
                    <w:top w:val="single" w:color="auto" w:sz="4" w:space="0"/>
                    <w:left w:val="single" w:color="auto" w:sz="4" w:space="0"/>
                    <w:bottom w:val="single" w:color="auto" w:sz="4" w:space="0"/>
                    <w:right w:val="single" w:color="auto" w:sz="4" w:space="0"/>
                  </w:tcBorders>
                  <w:vAlign w:val="center"/>
                </w:tcPr>
                <w:p w14:paraId="09DAE5E2">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井场按规范设置H</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S监测仪</w:t>
                  </w:r>
                </w:p>
              </w:tc>
            </w:tr>
            <w:tr w14:paraId="2A460F43">
              <w:trPr>
                <w:trHeight w:val="90" w:hRule="atLeast"/>
                <w:jc w:val="center"/>
              </w:trPr>
              <w:tc>
                <w:tcPr>
                  <w:tcW w:w="369" w:type="pct"/>
                  <w:vMerge w:val="continue"/>
                  <w:tcBorders>
                    <w:top w:val="single" w:color="auto" w:sz="4" w:space="0"/>
                    <w:left w:val="single" w:color="auto" w:sz="4" w:space="0"/>
                    <w:bottom w:val="single" w:color="auto" w:sz="4" w:space="0"/>
                    <w:right w:val="single" w:color="auto" w:sz="4" w:space="0"/>
                  </w:tcBorders>
                  <w:vAlign w:val="center"/>
                </w:tcPr>
                <w:p w14:paraId="1879AE51">
                  <w:pPr>
                    <w:kinsoku/>
                    <w:spacing w:line="300" w:lineRule="exact"/>
                    <w:jc w:val="center"/>
                    <w:rPr>
                      <w:rFonts w:hint="default" w:ascii="Times New Roman" w:hAnsi="Times New Roman" w:eastAsia="宋体" w:cs="Times New Roman"/>
                      <w:color w:val="auto"/>
                      <w:lang w:eastAsia="zh-CN"/>
                    </w:rPr>
                  </w:pPr>
                </w:p>
              </w:tc>
              <w:tc>
                <w:tcPr>
                  <w:tcW w:w="1184" w:type="pct"/>
                  <w:gridSpan w:val="2"/>
                  <w:tcBorders>
                    <w:top w:val="single" w:color="auto" w:sz="4" w:space="0"/>
                    <w:left w:val="single" w:color="auto" w:sz="4" w:space="0"/>
                    <w:bottom w:val="single" w:color="auto" w:sz="4" w:space="0"/>
                    <w:right w:val="single" w:color="auto" w:sz="4" w:space="0"/>
                  </w:tcBorders>
                  <w:vAlign w:val="center"/>
                </w:tcPr>
                <w:p w14:paraId="0F2129AD">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w:t>
                  </w:r>
                </w:p>
              </w:tc>
              <w:tc>
                <w:tcPr>
                  <w:tcW w:w="3445" w:type="pct"/>
                  <w:tcBorders>
                    <w:top w:val="single" w:color="auto" w:sz="4" w:space="0"/>
                    <w:left w:val="single" w:color="auto" w:sz="4" w:space="0"/>
                    <w:bottom w:val="single" w:color="auto" w:sz="4" w:space="0"/>
                    <w:right w:val="single" w:color="auto" w:sz="4" w:space="0"/>
                  </w:tcBorders>
                  <w:vAlign w:val="center"/>
                </w:tcPr>
                <w:p w14:paraId="064899EF">
                  <w:pPr>
                    <w:kinsoku/>
                    <w:spacing w:line="30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安装井控装置；防止井喷；柴油罐、原油储罐等储罐底部铺设防渗材料或设置围堰，防止泄漏；硫化氢监测；对事故状态下，放喷液进行有效收集，防止污染周围地下水和土壤</w:t>
                  </w:r>
                </w:p>
              </w:tc>
            </w:tr>
            <w:tr w14:paraId="67AC3643">
              <w:trPr>
                <w:trHeight w:val="90" w:hRule="atLeast"/>
                <w:jc w:val="center"/>
              </w:trPr>
              <w:tc>
                <w:tcPr>
                  <w:tcW w:w="369" w:type="pct"/>
                  <w:tcBorders>
                    <w:left w:val="single" w:color="auto" w:sz="4" w:space="0"/>
                    <w:right w:val="single" w:color="auto" w:sz="4" w:space="0"/>
                  </w:tcBorders>
                  <w:vAlign w:val="center"/>
                </w:tcPr>
                <w:p w14:paraId="5CC441F9">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依托工程</w:t>
                  </w:r>
                </w:p>
              </w:tc>
              <w:tc>
                <w:tcPr>
                  <w:tcW w:w="1184" w:type="pct"/>
                  <w:gridSpan w:val="2"/>
                  <w:tcBorders>
                    <w:top w:val="single" w:color="auto" w:sz="4" w:space="0"/>
                    <w:left w:val="single" w:color="auto" w:sz="4" w:space="0"/>
                    <w:right w:val="single" w:color="auto" w:sz="4" w:space="0"/>
                  </w:tcBorders>
                  <w:vAlign w:val="center"/>
                </w:tcPr>
                <w:p w14:paraId="7023D5FB">
                  <w:pPr>
                    <w:pStyle w:val="23"/>
                    <w:kinsoku/>
                    <w:spacing w:before="65" w:line="228"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pacing w:val="6"/>
                      <w:sz w:val="21"/>
                      <w:szCs w:val="21"/>
                      <w:lang w:val="en-US" w:eastAsia="zh-CN"/>
                    </w:rPr>
                    <w:t>吉28脱水站</w:t>
                  </w:r>
                </w:p>
              </w:tc>
              <w:tc>
                <w:tcPr>
                  <w:tcW w:w="3445" w:type="pct"/>
                  <w:tcBorders>
                    <w:top w:val="single" w:color="auto" w:sz="4" w:space="0"/>
                    <w:left w:val="single" w:color="auto" w:sz="4" w:space="0"/>
                    <w:bottom w:val="single" w:color="auto" w:sz="4" w:space="0"/>
                    <w:right w:val="single" w:color="auto" w:sz="4" w:space="0"/>
                  </w:tcBorders>
                  <w:vAlign w:val="center"/>
                </w:tcPr>
                <w:p w14:paraId="29D4E6EF">
                  <w:pPr>
                    <w:pStyle w:val="23"/>
                    <w:kinsoku/>
                    <w:spacing w:before="33" w:line="228" w:lineRule="auto"/>
                    <w:ind w:left="126"/>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lang w:eastAsia="zh-CN"/>
                    </w:rPr>
                    <w:t>本项目试油期带罐作业，井下作业废水拉运到</w:t>
                  </w:r>
                  <w:r>
                    <w:rPr>
                      <w:rFonts w:hint="eastAsia" w:ascii="Times New Roman" w:hAnsi="Times New Roman" w:cs="Times New Roman"/>
                      <w:color w:val="auto"/>
                      <w:spacing w:val="6"/>
                      <w:sz w:val="21"/>
                      <w:szCs w:val="21"/>
                      <w:highlight w:val="none"/>
                      <w:lang w:val="en-US" w:eastAsia="zh-CN"/>
                    </w:rPr>
                    <w:t>吉28脱水站</w:t>
                  </w:r>
                  <w:r>
                    <w:rPr>
                      <w:rFonts w:hint="default" w:ascii="Times New Roman" w:hAnsi="Times New Roman" w:eastAsia="宋体" w:cs="Times New Roman"/>
                      <w:color w:val="auto"/>
                      <w:spacing w:val="6"/>
                      <w:sz w:val="21"/>
                      <w:szCs w:val="21"/>
                      <w:highlight w:val="none"/>
                      <w:lang w:eastAsia="zh-CN"/>
                    </w:rPr>
                    <w:t>并处理达标后，全部回注油藏。</w:t>
                  </w:r>
                  <w:r>
                    <w:rPr>
                      <w:rFonts w:hint="default" w:ascii="Times New Roman" w:hAnsi="Times New Roman" w:eastAsia="宋体" w:cs="Times New Roman"/>
                      <w:color w:val="auto"/>
                      <w:spacing w:val="5"/>
                      <w:sz w:val="21"/>
                      <w:szCs w:val="21"/>
                      <w:highlight w:val="none"/>
                      <w:lang w:eastAsia="zh-CN"/>
                    </w:rPr>
                    <w:t>试油期原油入</w:t>
                  </w:r>
                  <w:r>
                    <w:rPr>
                      <w:rFonts w:hint="default" w:ascii="Times New Roman" w:hAnsi="Times New Roman" w:eastAsia="宋体" w:cs="Times New Roman"/>
                      <w:color w:val="auto"/>
                      <w:spacing w:val="8"/>
                      <w:sz w:val="21"/>
                      <w:szCs w:val="21"/>
                      <w:highlight w:val="none"/>
                      <w:lang w:eastAsia="zh-CN"/>
                    </w:rPr>
                    <w:t>罐，拉运至</w:t>
                  </w:r>
                  <w:r>
                    <w:rPr>
                      <w:rFonts w:hint="eastAsia" w:ascii="Times New Roman" w:hAnsi="Times New Roman" w:cs="Times New Roman"/>
                      <w:color w:val="auto"/>
                      <w:spacing w:val="8"/>
                      <w:sz w:val="21"/>
                      <w:szCs w:val="21"/>
                      <w:highlight w:val="none"/>
                      <w:lang w:val="en-US" w:eastAsia="zh-CN"/>
                    </w:rPr>
                    <w:t>吉28脱水站</w:t>
                  </w:r>
                  <w:r>
                    <w:rPr>
                      <w:rFonts w:hint="default" w:ascii="Times New Roman" w:hAnsi="Times New Roman" w:eastAsia="宋体" w:cs="Times New Roman"/>
                      <w:color w:val="auto"/>
                      <w:spacing w:val="8"/>
                      <w:sz w:val="21"/>
                      <w:szCs w:val="21"/>
                      <w:highlight w:val="none"/>
                      <w:lang w:eastAsia="zh-CN"/>
                    </w:rPr>
                    <w:t>进行处理</w:t>
                  </w:r>
                </w:p>
              </w:tc>
            </w:tr>
            <w:bookmarkEnd w:id="6"/>
            <w:bookmarkEnd w:id="7"/>
          </w:tbl>
          <w:p w14:paraId="49C40CBF">
            <w:pPr>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3.钻前工程</w:t>
            </w:r>
          </w:p>
          <w:p w14:paraId="0129E5A4">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钻前工程包括井场平整、生活营地搭建等。主要工程占地详见表2-3。</w:t>
            </w:r>
          </w:p>
          <w:p w14:paraId="3F5B676C">
            <w:pPr>
              <w:widowControl w:val="0"/>
              <w:kinsoku/>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表2-3 主要工程占地情况一览表</w:t>
            </w:r>
          </w:p>
          <w:tbl>
            <w:tblPr>
              <w:tblStyle w:val="17"/>
              <w:tblW w:w="8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868"/>
              <w:gridCol w:w="1159"/>
              <w:gridCol w:w="915"/>
              <w:gridCol w:w="1185"/>
              <w:gridCol w:w="922"/>
              <w:gridCol w:w="973"/>
              <w:gridCol w:w="1183"/>
            </w:tblGrid>
            <w:tr w14:paraId="28A9797C">
              <w:trPr>
                <w:trHeight w:val="23" w:hRule="atLeast"/>
                <w:jc w:val="center"/>
              </w:trPr>
              <w:tc>
                <w:tcPr>
                  <w:tcW w:w="886" w:type="pct"/>
                  <w:vMerge w:val="restart"/>
                  <w:vAlign w:val="center"/>
                </w:tcPr>
                <w:p w14:paraId="309B5F78">
                  <w:pPr>
                    <w:kinsoku/>
                    <w:jc w:val="center"/>
                    <w:textAlignment w:val="top"/>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bidi="ar"/>
                    </w:rPr>
                    <w:t>钻井名称</w:t>
                  </w:r>
                </w:p>
              </w:tc>
              <w:tc>
                <w:tcPr>
                  <w:tcW w:w="4113" w:type="pct"/>
                  <w:gridSpan w:val="7"/>
                  <w:noWrap/>
                  <w:vAlign w:val="center"/>
                </w:tcPr>
                <w:p w14:paraId="49D5C313">
                  <w:pPr>
                    <w:kinsoku/>
                    <w:jc w:val="center"/>
                    <w:textAlignment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占地类型</w:t>
                  </w:r>
                </w:p>
              </w:tc>
            </w:tr>
            <w:tr w14:paraId="20E4AE5D">
              <w:trPr>
                <w:trHeight w:val="23" w:hRule="atLeast"/>
                <w:jc w:val="center"/>
              </w:trPr>
              <w:tc>
                <w:tcPr>
                  <w:tcW w:w="886" w:type="pct"/>
                  <w:vMerge w:val="continue"/>
                  <w:vAlign w:val="center"/>
                </w:tcPr>
                <w:p w14:paraId="08A64BC3">
                  <w:pPr>
                    <w:kinsoku/>
                    <w:jc w:val="center"/>
                    <w:textAlignment w:val="top"/>
                    <w:rPr>
                      <w:rFonts w:hint="default" w:ascii="Times New Roman" w:hAnsi="Times New Roman" w:eastAsia="宋体" w:cs="Times New Roman"/>
                      <w:b/>
                      <w:bCs/>
                      <w:color w:val="auto"/>
                      <w:lang w:eastAsia="zh-CN"/>
                    </w:rPr>
                  </w:pPr>
                </w:p>
              </w:tc>
              <w:tc>
                <w:tcPr>
                  <w:tcW w:w="499" w:type="pct"/>
                  <w:noWrap/>
                  <w:vAlign w:val="center"/>
                </w:tcPr>
                <w:p w14:paraId="6EB536C7">
                  <w:pPr>
                    <w:kinsoku/>
                    <w:jc w:val="center"/>
                    <w:textAlignment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bidi="ar"/>
                    </w:rPr>
                    <w:t>井场</w:t>
                  </w:r>
                </w:p>
              </w:tc>
              <w:tc>
                <w:tcPr>
                  <w:tcW w:w="695" w:type="pct"/>
                  <w:noWrap/>
                  <w:vAlign w:val="center"/>
                </w:tcPr>
                <w:p w14:paraId="39036050">
                  <w:pPr>
                    <w:kinsoku/>
                    <w:jc w:val="center"/>
                    <w:textAlignment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bidi="ar"/>
                    </w:rPr>
                    <w:t>放喷管线</w:t>
                  </w:r>
                </w:p>
              </w:tc>
              <w:tc>
                <w:tcPr>
                  <w:tcW w:w="555" w:type="pct"/>
                  <w:noWrap/>
                  <w:vAlign w:val="center"/>
                </w:tcPr>
                <w:p w14:paraId="5192A5D1">
                  <w:pPr>
                    <w:kinsoku/>
                    <w:jc w:val="center"/>
                    <w:textAlignment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bidi="ar"/>
                    </w:rPr>
                    <w:t>堆土区</w:t>
                  </w:r>
                </w:p>
              </w:tc>
              <w:tc>
                <w:tcPr>
                  <w:tcW w:w="710" w:type="pct"/>
                  <w:noWrap/>
                  <w:vAlign w:val="center"/>
                </w:tcPr>
                <w:p w14:paraId="01F02B15">
                  <w:pPr>
                    <w:kinsoku/>
                    <w:jc w:val="center"/>
                    <w:textAlignment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生活营地</w:t>
                  </w:r>
                </w:p>
              </w:tc>
              <w:tc>
                <w:tcPr>
                  <w:tcW w:w="559" w:type="pct"/>
                  <w:noWrap/>
                  <w:vAlign w:val="center"/>
                </w:tcPr>
                <w:p w14:paraId="315CD7E2">
                  <w:pPr>
                    <w:kinsoku/>
                    <w:jc w:val="center"/>
                    <w:textAlignment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道路</w:t>
                  </w:r>
                </w:p>
              </w:tc>
              <w:tc>
                <w:tcPr>
                  <w:tcW w:w="668" w:type="dxa"/>
                  <w:noWrap/>
                  <w:vAlign w:val="center"/>
                </w:tcPr>
                <w:p w14:paraId="29774B6D">
                  <w:pPr>
                    <w:kinsoku/>
                    <w:jc w:val="center"/>
                    <w:textAlignment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合计</w:t>
                  </w:r>
                </w:p>
              </w:tc>
              <w:tc>
                <w:tcPr>
                  <w:tcW w:w="709" w:type="pct"/>
                  <w:noWrap/>
                  <w:vAlign w:val="center"/>
                </w:tcPr>
                <w:p w14:paraId="5A7B3141">
                  <w:pPr>
                    <w:kinsoku/>
                    <w:jc w:val="center"/>
                    <w:textAlignment w:val="center"/>
                    <w:rPr>
                      <w:rFonts w:hint="default" w:ascii="Times New Roman" w:hAnsi="Times New Roman" w:eastAsia="宋体" w:cs="Times New Roman"/>
                      <w:b/>
                      <w:bCs/>
                      <w:color w:val="auto"/>
                      <w:lang w:eastAsia="zh-CN"/>
                    </w:rPr>
                  </w:pPr>
                </w:p>
              </w:tc>
            </w:tr>
            <w:tr w14:paraId="2D74A1C9">
              <w:trPr>
                <w:trHeight w:val="23" w:hRule="atLeast"/>
                <w:jc w:val="center"/>
              </w:trPr>
              <w:tc>
                <w:tcPr>
                  <w:tcW w:w="886" w:type="pct"/>
                  <w:vAlign w:val="center"/>
                </w:tcPr>
                <w:p w14:paraId="0001D7EB">
                  <w:pPr>
                    <w:kinsoku/>
                    <w:jc w:val="center"/>
                    <w:textAlignment w:val="top"/>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bidi="ar"/>
                    </w:rPr>
                    <w:t>阜2602</w:t>
                  </w:r>
                </w:p>
              </w:tc>
              <w:tc>
                <w:tcPr>
                  <w:tcW w:w="499" w:type="pct"/>
                  <w:vMerge w:val="restart"/>
                  <w:noWrap/>
                  <w:vAlign w:val="center"/>
                </w:tcPr>
                <w:p w14:paraId="61C4F356">
                  <w:pPr>
                    <w:kinsoku/>
                    <w:jc w:val="center"/>
                    <w:textAlignment w:val="center"/>
                    <w:rPr>
                      <w:rFonts w:hint="default"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9350</w:t>
                  </w:r>
                  <w:r>
                    <w:rPr>
                      <w:rFonts w:hint="default" w:ascii="Times New Roman" w:hAnsi="Times New Roman" w:eastAsia="宋体" w:cs="Times New Roman"/>
                      <w:color w:val="auto"/>
                      <w:lang w:val="en-US" w:eastAsia="zh-CN" w:bidi="ar"/>
                    </w:rPr>
                    <w:t>m</w:t>
                  </w:r>
                  <w:r>
                    <w:rPr>
                      <w:rFonts w:hint="default" w:ascii="Times New Roman" w:hAnsi="Times New Roman" w:eastAsia="宋体" w:cs="Times New Roman"/>
                      <w:color w:val="auto"/>
                      <w:vertAlign w:val="superscript"/>
                      <w:lang w:val="en-US" w:eastAsia="zh-CN" w:bidi="ar"/>
                    </w:rPr>
                    <w:t>2</w:t>
                  </w:r>
                </w:p>
              </w:tc>
              <w:tc>
                <w:tcPr>
                  <w:tcW w:w="695" w:type="pct"/>
                  <w:vMerge w:val="restart"/>
                  <w:noWrap/>
                  <w:vAlign w:val="center"/>
                </w:tcPr>
                <w:p w14:paraId="5BB82773">
                  <w:pPr>
                    <w:kinsoku/>
                    <w:jc w:val="center"/>
                    <w:textAlignment w:val="center"/>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1</w:t>
                  </w:r>
                  <w:r>
                    <w:rPr>
                      <w:rFonts w:hint="eastAsia" w:ascii="Times New Roman" w:hAnsi="Times New Roman" w:eastAsia="宋体" w:cs="Times New Roman"/>
                      <w:color w:val="auto"/>
                      <w:lang w:val="en-US" w:eastAsia="zh-CN" w:bidi="ar"/>
                    </w:rPr>
                    <w:t>50</w:t>
                  </w:r>
                  <w:r>
                    <w:rPr>
                      <w:rFonts w:hint="default" w:ascii="Times New Roman" w:hAnsi="Times New Roman" w:eastAsia="宋体" w:cs="Times New Roman"/>
                      <w:color w:val="auto"/>
                      <w:lang w:val="en-US" w:eastAsia="zh-CN" w:bidi="ar"/>
                    </w:rPr>
                    <w:t>m</w:t>
                  </w:r>
                  <w:r>
                    <w:rPr>
                      <w:rFonts w:hint="default" w:ascii="Times New Roman" w:hAnsi="Times New Roman" w:eastAsia="宋体" w:cs="Times New Roman"/>
                      <w:color w:val="auto"/>
                      <w:vertAlign w:val="superscript"/>
                      <w:lang w:val="en-US" w:eastAsia="zh-CN" w:bidi="ar"/>
                    </w:rPr>
                    <w:t>2</w:t>
                  </w:r>
                </w:p>
              </w:tc>
              <w:tc>
                <w:tcPr>
                  <w:tcW w:w="555" w:type="pct"/>
                  <w:vMerge w:val="restart"/>
                  <w:noWrap/>
                  <w:vAlign w:val="center"/>
                </w:tcPr>
                <w:p w14:paraId="42CE3C1F">
                  <w:pPr>
                    <w:kinsoku/>
                    <w:jc w:val="center"/>
                    <w:textAlignment w:val="center"/>
                    <w:rPr>
                      <w:rFonts w:hint="default"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2550</w:t>
                  </w:r>
                  <w:r>
                    <w:rPr>
                      <w:rFonts w:hint="default" w:ascii="Times New Roman" w:hAnsi="Times New Roman" w:eastAsia="宋体" w:cs="Times New Roman"/>
                      <w:color w:val="auto"/>
                      <w:lang w:val="en-US" w:eastAsia="zh-CN" w:bidi="ar"/>
                    </w:rPr>
                    <w:t>m</w:t>
                  </w:r>
                  <w:r>
                    <w:rPr>
                      <w:rFonts w:hint="default" w:ascii="Times New Roman" w:hAnsi="Times New Roman" w:eastAsia="宋体" w:cs="Times New Roman"/>
                      <w:color w:val="auto"/>
                      <w:vertAlign w:val="superscript"/>
                      <w:lang w:val="en-US" w:eastAsia="zh-CN" w:bidi="ar"/>
                    </w:rPr>
                    <w:t>2</w:t>
                  </w:r>
                </w:p>
              </w:tc>
              <w:tc>
                <w:tcPr>
                  <w:tcW w:w="710" w:type="pct"/>
                  <w:vMerge w:val="restart"/>
                  <w:noWrap/>
                  <w:vAlign w:val="center"/>
                </w:tcPr>
                <w:p w14:paraId="7CE546D4">
                  <w:pPr>
                    <w:kinsoku/>
                    <w:jc w:val="center"/>
                    <w:textAlignment w:val="center"/>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24</w:t>
                  </w:r>
                  <w:r>
                    <w:rPr>
                      <w:rFonts w:hint="eastAsia" w:ascii="Times New Roman" w:hAnsi="Times New Roman" w:eastAsia="宋体" w:cs="Times New Roman"/>
                      <w:color w:val="auto"/>
                      <w:lang w:val="en-US" w:eastAsia="zh-CN" w:bidi="ar"/>
                    </w:rPr>
                    <w:t>75</w:t>
                  </w:r>
                  <w:r>
                    <w:rPr>
                      <w:rFonts w:hint="default" w:ascii="Times New Roman" w:hAnsi="Times New Roman" w:eastAsia="宋体" w:cs="Times New Roman"/>
                      <w:color w:val="auto"/>
                      <w:lang w:val="en-US" w:eastAsia="zh-CN" w:bidi="ar"/>
                    </w:rPr>
                    <w:t>m</w:t>
                  </w:r>
                  <w:r>
                    <w:rPr>
                      <w:rFonts w:hint="default" w:ascii="Times New Roman" w:hAnsi="Times New Roman" w:eastAsia="宋体" w:cs="Times New Roman"/>
                      <w:color w:val="auto"/>
                      <w:vertAlign w:val="superscript"/>
                      <w:lang w:val="en-US" w:eastAsia="zh-CN" w:bidi="ar"/>
                    </w:rPr>
                    <w:t>2</w:t>
                  </w:r>
                </w:p>
              </w:tc>
              <w:tc>
                <w:tcPr>
                  <w:tcW w:w="559" w:type="pct"/>
                  <w:vMerge w:val="restart"/>
                  <w:noWrap/>
                  <w:vAlign w:val="center"/>
                </w:tcPr>
                <w:p w14:paraId="2B072299">
                  <w:pPr>
                    <w:kinsoku/>
                    <w:jc w:val="center"/>
                    <w:textAlignment w:val="center"/>
                    <w:rPr>
                      <w:rFonts w:hint="default"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9353</w:t>
                  </w:r>
                  <w:r>
                    <w:rPr>
                      <w:rFonts w:hint="default" w:ascii="Times New Roman" w:hAnsi="Times New Roman" w:eastAsia="宋体" w:cs="Times New Roman"/>
                      <w:color w:val="auto"/>
                      <w:lang w:val="en-US" w:eastAsia="zh-CN" w:bidi="ar"/>
                    </w:rPr>
                    <w:t>m</w:t>
                  </w:r>
                  <w:r>
                    <w:rPr>
                      <w:rFonts w:hint="default" w:ascii="Times New Roman" w:hAnsi="Times New Roman" w:eastAsia="宋体" w:cs="Times New Roman"/>
                      <w:color w:val="auto"/>
                      <w:vertAlign w:val="superscript"/>
                      <w:lang w:val="en-US" w:eastAsia="zh-CN" w:bidi="ar"/>
                    </w:rPr>
                    <w:t>2</w:t>
                  </w:r>
                </w:p>
              </w:tc>
              <w:tc>
                <w:tcPr>
                  <w:tcW w:w="668" w:type="dxa"/>
                  <w:vMerge w:val="restart"/>
                  <w:noWrap/>
                  <w:vAlign w:val="center"/>
                </w:tcPr>
                <w:p w14:paraId="1E1DC338">
                  <w:pPr>
                    <w:kinsoku/>
                    <w:jc w:val="center"/>
                    <w:textAlignment w:val="center"/>
                    <w:rPr>
                      <w:rFonts w:hint="default"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23878</w:t>
                  </w:r>
                  <w:r>
                    <w:rPr>
                      <w:rFonts w:hint="default" w:ascii="Times New Roman" w:hAnsi="Times New Roman" w:eastAsia="宋体" w:cs="Times New Roman"/>
                      <w:color w:val="auto"/>
                      <w:lang w:val="en-US" w:eastAsia="zh-CN" w:bidi="ar"/>
                    </w:rPr>
                    <w:t>m</w:t>
                  </w:r>
                  <w:r>
                    <w:rPr>
                      <w:rFonts w:hint="default" w:ascii="Times New Roman" w:hAnsi="Times New Roman" w:eastAsia="宋体" w:cs="Times New Roman"/>
                      <w:color w:val="auto"/>
                      <w:vertAlign w:val="superscript"/>
                      <w:lang w:val="en-US" w:eastAsia="zh-CN" w:bidi="ar"/>
                    </w:rPr>
                    <w:t>2</w:t>
                  </w:r>
                </w:p>
              </w:tc>
              <w:tc>
                <w:tcPr>
                  <w:tcW w:w="709" w:type="pct"/>
                  <w:vMerge w:val="restart"/>
                  <w:noWrap/>
                  <w:vAlign w:val="center"/>
                </w:tcPr>
                <w:p w14:paraId="46BA6311">
                  <w:pPr>
                    <w:kinsoku/>
                    <w:jc w:val="center"/>
                    <w:textAlignment w:val="center"/>
                    <w:rPr>
                      <w:rFonts w:hint="default"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灌木林地</w:t>
                  </w:r>
                  <w:r>
                    <w:rPr>
                      <w:rFonts w:hint="eastAsia" w:ascii="Times New Roman" w:hAnsi="Times New Roman" w:eastAsia="宋体" w:cs="Times New Roman"/>
                      <w:color w:val="auto"/>
                      <w:lang w:val="en-US" w:eastAsia="zh-CN" w:bidi="ar"/>
                    </w:rPr>
                    <w:br w:type="textWrapping"/>
                  </w:r>
                  <w:r>
                    <w:rPr>
                      <w:rFonts w:hint="eastAsia" w:ascii="Times New Roman" w:hAnsi="Times New Roman" w:eastAsia="宋体" w:cs="Times New Roman"/>
                      <w:color w:val="auto"/>
                      <w:lang w:val="en-US" w:eastAsia="zh-CN" w:bidi="ar"/>
                    </w:rPr>
                    <w:t>沟渠</w:t>
                  </w:r>
                </w:p>
              </w:tc>
            </w:tr>
            <w:tr w14:paraId="602614F4">
              <w:trPr>
                <w:trHeight w:val="23" w:hRule="atLeast"/>
                <w:jc w:val="center"/>
              </w:trPr>
              <w:tc>
                <w:tcPr>
                  <w:tcW w:w="886" w:type="pct"/>
                  <w:vAlign w:val="center"/>
                </w:tcPr>
                <w:p w14:paraId="6E6F76E8">
                  <w:pPr>
                    <w:kinsoku/>
                    <w:jc w:val="center"/>
                    <w:textAlignment w:val="top"/>
                    <w:rPr>
                      <w:rFonts w:hint="default" w:ascii="Times New Roman" w:hAnsi="Times New Roman" w:eastAsia="宋体" w:cs="Times New Roman"/>
                      <w:color w:val="auto"/>
                      <w:lang w:eastAsia="zh-CN" w:bidi="ar"/>
                    </w:rPr>
                  </w:pPr>
                  <w:r>
                    <w:rPr>
                      <w:rFonts w:hint="eastAsia" w:ascii="Times New Roman" w:hAnsi="Times New Roman" w:eastAsia="宋体" w:cs="Times New Roman"/>
                      <w:color w:val="auto"/>
                      <w:lang w:val="en-US" w:eastAsia="zh-CN" w:bidi="ar"/>
                    </w:rPr>
                    <w:t>阜2602-1</w:t>
                  </w:r>
                </w:p>
              </w:tc>
              <w:tc>
                <w:tcPr>
                  <w:tcW w:w="499" w:type="pct"/>
                  <w:vMerge w:val="continue"/>
                  <w:noWrap/>
                  <w:vAlign w:val="center"/>
                </w:tcPr>
                <w:p w14:paraId="453188C8">
                  <w:pPr>
                    <w:kinsoku/>
                    <w:jc w:val="center"/>
                    <w:textAlignment w:val="center"/>
                    <w:rPr>
                      <w:rFonts w:hint="default" w:ascii="Times New Roman" w:hAnsi="Times New Roman" w:eastAsia="宋体" w:cs="Times New Roman"/>
                      <w:color w:val="auto"/>
                      <w:lang w:eastAsia="zh-CN" w:bidi="ar"/>
                    </w:rPr>
                  </w:pPr>
                </w:p>
              </w:tc>
              <w:tc>
                <w:tcPr>
                  <w:tcW w:w="695" w:type="pct"/>
                  <w:vMerge w:val="continue"/>
                  <w:noWrap/>
                  <w:vAlign w:val="center"/>
                </w:tcPr>
                <w:p w14:paraId="18594D15">
                  <w:pPr>
                    <w:kinsoku/>
                    <w:jc w:val="center"/>
                    <w:textAlignment w:val="center"/>
                    <w:rPr>
                      <w:rFonts w:hint="default" w:ascii="Times New Roman" w:hAnsi="Times New Roman" w:eastAsia="宋体" w:cs="Times New Roman"/>
                      <w:color w:val="auto"/>
                      <w:lang w:eastAsia="zh-CN" w:bidi="ar"/>
                    </w:rPr>
                  </w:pPr>
                </w:p>
              </w:tc>
              <w:tc>
                <w:tcPr>
                  <w:tcW w:w="555" w:type="pct"/>
                  <w:vMerge w:val="continue"/>
                  <w:noWrap/>
                  <w:vAlign w:val="center"/>
                </w:tcPr>
                <w:p w14:paraId="34EECBBD">
                  <w:pPr>
                    <w:kinsoku/>
                    <w:jc w:val="center"/>
                    <w:textAlignment w:val="center"/>
                    <w:rPr>
                      <w:rFonts w:hint="default" w:ascii="Times New Roman" w:hAnsi="Times New Roman" w:eastAsia="宋体" w:cs="Times New Roman"/>
                      <w:color w:val="auto"/>
                      <w:lang w:eastAsia="zh-CN" w:bidi="ar"/>
                    </w:rPr>
                  </w:pPr>
                </w:p>
              </w:tc>
              <w:tc>
                <w:tcPr>
                  <w:tcW w:w="710" w:type="pct"/>
                  <w:vMerge w:val="continue"/>
                  <w:noWrap/>
                  <w:vAlign w:val="center"/>
                </w:tcPr>
                <w:p w14:paraId="480AD279">
                  <w:pPr>
                    <w:kinsoku/>
                    <w:jc w:val="center"/>
                    <w:textAlignment w:val="center"/>
                    <w:rPr>
                      <w:rFonts w:hint="default" w:ascii="Times New Roman" w:hAnsi="Times New Roman" w:eastAsia="宋体" w:cs="Times New Roman"/>
                      <w:color w:val="auto"/>
                      <w:lang w:eastAsia="zh-CN" w:bidi="ar"/>
                    </w:rPr>
                  </w:pPr>
                </w:p>
              </w:tc>
              <w:tc>
                <w:tcPr>
                  <w:tcW w:w="559" w:type="pct"/>
                  <w:vMerge w:val="continue"/>
                  <w:noWrap/>
                  <w:vAlign w:val="center"/>
                </w:tcPr>
                <w:p w14:paraId="4AE6CCE4">
                  <w:pPr>
                    <w:kinsoku/>
                    <w:jc w:val="center"/>
                    <w:textAlignment w:val="center"/>
                    <w:rPr>
                      <w:rFonts w:hint="default" w:ascii="Times New Roman" w:hAnsi="Times New Roman" w:eastAsia="宋体" w:cs="Times New Roman"/>
                      <w:color w:val="auto"/>
                      <w:lang w:eastAsia="zh-CN" w:bidi="ar"/>
                    </w:rPr>
                  </w:pPr>
                </w:p>
              </w:tc>
              <w:tc>
                <w:tcPr>
                  <w:tcW w:w="384" w:type="pct"/>
                  <w:vMerge w:val="continue"/>
                  <w:noWrap/>
                  <w:vAlign w:val="center"/>
                </w:tcPr>
                <w:p w14:paraId="2311EB51">
                  <w:pPr>
                    <w:kinsoku/>
                    <w:jc w:val="center"/>
                    <w:textAlignment w:val="center"/>
                    <w:rPr>
                      <w:rFonts w:hint="default" w:ascii="Times New Roman" w:hAnsi="Times New Roman" w:eastAsia="宋体" w:cs="Times New Roman"/>
                      <w:color w:val="auto"/>
                      <w:lang w:eastAsia="zh-CN" w:bidi="ar"/>
                    </w:rPr>
                  </w:pPr>
                </w:p>
              </w:tc>
              <w:tc>
                <w:tcPr>
                  <w:tcW w:w="709" w:type="pct"/>
                  <w:vMerge w:val="continue"/>
                  <w:noWrap/>
                  <w:vAlign w:val="center"/>
                </w:tcPr>
                <w:p w14:paraId="3D9DF3EA">
                  <w:pPr>
                    <w:kinsoku/>
                    <w:jc w:val="center"/>
                    <w:textAlignment w:val="center"/>
                    <w:rPr>
                      <w:rFonts w:hint="default" w:ascii="Times New Roman" w:hAnsi="Times New Roman" w:eastAsia="宋体" w:cs="Times New Roman"/>
                      <w:color w:val="auto"/>
                      <w:lang w:eastAsia="zh-CN" w:bidi="ar"/>
                    </w:rPr>
                  </w:pPr>
                </w:p>
              </w:tc>
            </w:tr>
          </w:tbl>
          <w:p w14:paraId="2BE0CF9D">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上述临时占地类型</w:t>
            </w:r>
            <w:r>
              <w:rPr>
                <w:rFonts w:hint="eastAsia" w:ascii="Times New Roman" w:hAnsi="Times New Roman" w:eastAsia="宋体" w:cs="Times New Roman"/>
                <w:color w:val="auto"/>
                <w:sz w:val="24"/>
                <w:szCs w:val="24"/>
                <w:lang w:val="en-US" w:eastAsia="zh-CN"/>
              </w:rPr>
              <w:t>主要</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灌木林地和沟渠</w:t>
            </w:r>
            <w:r>
              <w:rPr>
                <w:rFonts w:hint="default" w:ascii="Times New Roman" w:hAnsi="Times New Roman" w:eastAsia="宋体" w:cs="Times New Roman"/>
                <w:color w:val="auto"/>
                <w:sz w:val="24"/>
                <w:szCs w:val="24"/>
                <w:lang w:eastAsia="zh-CN"/>
              </w:rPr>
              <w:t>，单井临时占地征用</w:t>
            </w:r>
            <w:r>
              <w:rPr>
                <w:rFonts w:hint="default" w:ascii="Times New Roman" w:hAnsi="Times New Roman" w:eastAsia="宋体" w:cs="Times New Roman"/>
                <w:color w:val="auto"/>
                <w:sz w:val="24"/>
                <w:szCs w:val="24"/>
                <w:highlight w:val="none"/>
                <w:lang w:eastAsia="zh-CN"/>
              </w:rPr>
              <w:t>时间约为390天。探</w:t>
            </w:r>
            <w:r>
              <w:rPr>
                <w:rFonts w:hint="eastAsia" w:ascii="Times New Roman" w:hAnsi="Times New Roman" w:eastAsia="宋体" w:cs="Times New Roman"/>
                <w:color w:val="auto"/>
                <w:sz w:val="24"/>
                <w:szCs w:val="24"/>
                <w:highlight w:val="none"/>
                <w:lang w:val="en-US" w:eastAsia="zh-CN"/>
              </w:rPr>
              <w:t>评</w:t>
            </w:r>
            <w:r>
              <w:rPr>
                <w:rFonts w:hint="default" w:ascii="Times New Roman" w:hAnsi="Times New Roman" w:eastAsia="宋体" w:cs="Times New Roman"/>
                <w:color w:val="auto"/>
                <w:sz w:val="24"/>
                <w:szCs w:val="24"/>
                <w:highlight w:val="none"/>
                <w:lang w:eastAsia="zh-CN"/>
              </w:rPr>
              <w:t>井钻试结束后根据试采结果确定后续是否进行开发，若无利用价值则永久</w:t>
            </w:r>
            <w:r>
              <w:rPr>
                <w:rFonts w:hint="default" w:ascii="Times New Roman" w:hAnsi="Times New Roman" w:eastAsia="宋体" w:cs="Times New Roman"/>
                <w:color w:val="auto"/>
                <w:sz w:val="24"/>
                <w:szCs w:val="24"/>
                <w:lang w:eastAsia="zh-CN"/>
              </w:rPr>
              <w:t>封井，恢复地貌，若适宜开采，可转为生产井，则不进行封井，在井口安装采油树，并尽快开展产能开发建设环境影响评价工作，编制相应的环境影响评价文件，办理相应永久占地手续。</w:t>
            </w:r>
          </w:p>
          <w:p w14:paraId="6A8995BF">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4.钻井工程</w:t>
            </w:r>
          </w:p>
          <w:p w14:paraId="3B42A6D0">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4.1钻井基本参数</w:t>
            </w:r>
          </w:p>
          <w:p w14:paraId="07065F05">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本次拟钻井主要技术参数见表2-4。</w:t>
            </w:r>
          </w:p>
          <w:p w14:paraId="1A77F40C">
            <w:pPr>
              <w:widowControl w:val="0"/>
              <w:kinsoku/>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表2-4 钻井基本参数</w:t>
            </w:r>
          </w:p>
          <w:tbl>
            <w:tblPr>
              <w:tblStyle w:val="17"/>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218"/>
              <w:gridCol w:w="1009"/>
              <w:gridCol w:w="1009"/>
              <w:gridCol w:w="1265"/>
              <w:gridCol w:w="1304"/>
              <w:gridCol w:w="1307"/>
              <w:gridCol w:w="1266"/>
            </w:tblGrid>
            <w:tr w14:paraId="32C09244">
              <w:trPr>
                <w:trHeight w:val="199" w:hRule="atLeast"/>
                <w:jc w:val="center"/>
              </w:trPr>
              <w:tc>
                <w:tcPr>
                  <w:tcW w:w="415" w:type="pct"/>
                  <w:vMerge w:val="restart"/>
                  <w:vAlign w:val="center"/>
                </w:tcPr>
                <w:p w14:paraId="06DA30CD">
                  <w:pPr>
                    <w:kinsoku/>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序号</w:t>
                  </w:r>
                </w:p>
              </w:tc>
              <w:tc>
                <w:tcPr>
                  <w:tcW w:w="666" w:type="pct"/>
                  <w:vMerge w:val="restart"/>
                  <w:vAlign w:val="center"/>
                </w:tcPr>
                <w:p w14:paraId="7B8EE40A">
                  <w:pPr>
                    <w:kinsoku/>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bidi="ar"/>
                    </w:rPr>
                    <w:t>井号</w:t>
                  </w:r>
                </w:p>
              </w:tc>
              <w:tc>
                <w:tcPr>
                  <w:tcW w:w="552" w:type="pct"/>
                  <w:vMerge w:val="restart"/>
                  <w:vAlign w:val="center"/>
                </w:tcPr>
                <w:p w14:paraId="33CF3CFC">
                  <w:pPr>
                    <w:kinsoku/>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井别</w:t>
                  </w:r>
                </w:p>
              </w:tc>
              <w:tc>
                <w:tcPr>
                  <w:tcW w:w="552" w:type="pct"/>
                  <w:vMerge w:val="restart"/>
                  <w:vAlign w:val="center"/>
                </w:tcPr>
                <w:p w14:paraId="30635202">
                  <w:pPr>
                    <w:kinsoku/>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井型</w:t>
                  </w:r>
                </w:p>
              </w:tc>
              <w:tc>
                <w:tcPr>
                  <w:tcW w:w="692" w:type="pct"/>
                  <w:vMerge w:val="restart"/>
                  <w:vAlign w:val="center"/>
                </w:tcPr>
                <w:p w14:paraId="6D4DF4FC">
                  <w:pPr>
                    <w:kinsoku/>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井深结构</w:t>
                  </w:r>
                </w:p>
              </w:tc>
              <w:tc>
                <w:tcPr>
                  <w:tcW w:w="1428" w:type="pct"/>
                  <w:gridSpan w:val="2"/>
                  <w:vAlign w:val="center"/>
                </w:tcPr>
                <w:p w14:paraId="62BC54B7">
                  <w:pPr>
                    <w:kinsoku/>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设计井深</w:t>
                  </w:r>
                </w:p>
              </w:tc>
              <w:tc>
                <w:tcPr>
                  <w:tcW w:w="692" w:type="pct"/>
                  <w:vMerge w:val="restart"/>
                  <w:vAlign w:val="center"/>
                </w:tcPr>
                <w:p w14:paraId="6E0AE358">
                  <w:pPr>
                    <w:kinsoku/>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钻井周期</w:t>
                  </w:r>
                </w:p>
              </w:tc>
            </w:tr>
            <w:tr w14:paraId="659994A8">
              <w:trPr>
                <w:trHeight w:val="199" w:hRule="atLeast"/>
                <w:jc w:val="center"/>
              </w:trPr>
              <w:tc>
                <w:tcPr>
                  <w:tcW w:w="415" w:type="pct"/>
                  <w:vMerge w:val="continue"/>
                  <w:vAlign w:val="center"/>
                </w:tcPr>
                <w:p w14:paraId="14E30584">
                  <w:pPr>
                    <w:kinsoku/>
                    <w:jc w:val="center"/>
                    <w:rPr>
                      <w:rFonts w:hint="default" w:ascii="Times New Roman" w:hAnsi="Times New Roman" w:eastAsia="宋体" w:cs="Times New Roman"/>
                      <w:b/>
                      <w:bCs/>
                      <w:color w:val="auto"/>
                      <w:highlight w:val="none"/>
                      <w:lang w:eastAsia="zh-CN"/>
                    </w:rPr>
                  </w:pPr>
                </w:p>
              </w:tc>
              <w:tc>
                <w:tcPr>
                  <w:tcW w:w="666" w:type="pct"/>
                  <w:vMerge w:val="continue"/>
                  <w:vAlign w:val="center"/>
                </w:tcPr>
                <w:p w14:paraId="12B7EC6C">
                  <w:pPr>
                    <w:kinsoku/>
                    <w:jc w:val="center"/>
                    <w:textAlignment w:val="center"/>
                    <w:rPr>
                      <w:rFonts w:hint="default" w:ascii="Times New Roman" w:hAnsi="Times New Roman" w:eastAsia="宋体" w:cs="Times New Roman"/>
                      <w:b/>
                      <w:bCs/>
                      <w:color w:val="auto"/>
                      <w:highlight w:val="none"/>
                      <w:lang w:eastAsia="zh-CN" w:bidi="ar"/>
                    </w:rPr>
                  </w:pPr>
                </w:p>
              </w:tc>
              <w:tc>
                <w:tcPr>
                  <w:tcW w:w="552" w:type="pct"/>
                  <w:vMerge w:val="continue"/>
                  <w:vAlign w:val="center"/>
                </w:tcPr>
                <w:p w14:paraId="67403CFF">
                  <w:pPr>
                    <w:kinsoku/>
                    <w:jc w:val="center"/>
                    <w:rPr>
                      <w:rFonts w:hint="default" w:ascii="Times New Roman" w:hAnsi="Times New Roman" w:eastAsia="宋体" w:cs="Times New Roman"/>
                      <w:b/>
                      <w:bCs/>
                      <w:color w:val="auto"/>
                      <w:highlight w:val="none"/>
                      <w:lang w:eastAsia="zh-CN"/>
                    </w:rPr>
                  </w:pPr>
                </w:p>
              </w:tc>
              <w:tc>
                <w:tcPr>
                  <w:tcW w:w="552" w:type="pct"/>
                  <w:vMerge w:val="continue"/>
                  <w:vAlign w:val="center"/>
                </w:tcPr>
                <w:p w14:paraId="4DA7E106">
                  <w:pPr>
                    <w:kinsoku/>
                    <w:jc w:val="center"/>
                    <w:rPr>
                      <w:rFonts w:hint="default" w:ascii="Times New Roman" w:hAnsi="Times New Roman" w:eastAsia="宋体" w:cs="Times New Roman"/>
                      <w:b/>
                      <w:bCs/>
                      <w:color w:val="auto"/>
                      <w:highlight w:val="none"/>
                      <w:lang w:eastAsia="zh-CN"/>
                    </w:rPr>
                  </w:pPr>
                </w:p>
              </w:tc>
              <w:tc>
                <w:tcPr>
                  <w:tcW w:w="692" w:type="pct"/>
                  <w:vMerge w:val="continue"/>
                  <w:vAlign w:val="center"/>
                </w:tcPr>
                <w:p w14:paraId="3AB888D8">
                  <w:pPr>
                    <w:kinsoku/>
                    <w:jc w:val="center"/>
                    <w:rPr>
                      <w:rFonts w:hint="default" w:ascii="Times New Roman" w:hAnsi="Times New Roman" w:eastAsia="宋体" w:cs="Times New Roman"/>
                      <w:b/>
                      <w:bCs/>
                      <w:color w:val="auto"/>
                      <w:highlight w:val="none"/>
                      <w:lang w:eastAsia="zh-CN"/>
                    </w:rPr>
                  </w:pPr>
                </w:p>
              </w:tc>
              <w:tc>
                <w:tcPr>
                  <w:tcW w:w="713" w:type="pct"/>
                  <w:vAlign w:val="center"/>
                </w:tcPr>
                <w:p w14:paraId="013156F3">
                  <w:pPr>
                    <w:kinsoku/>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垂深</w:t>
                  </w:r>
                </w:p>
              </w:tc>
              <w:tc>
                <w:tcPr>
                  <w:tcW w:w="715" w:type="pct"/>
                  <w:vAlign w:val="center"/>
                </w:tcPr>
                <w:p w14:paraId="6AEB0C8E">
                  <w:pPr>
                    <w:kinsoku/>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斜深</w:t>
                  </w:r>
                </w:p>
              </w:tc>
              <w:tc>
                <w:tcPr>
                  <w:tcW w:w="692" w:type="pct"/>
                  <w:vMerge w:val="continue"/>
                  <w:vAlign w:val="center"/>
                </w:tcPr>
                <w:p w14:paraId="4444D4E7">
                  <w:pPr>
                    <w:kinsoku/>
                    <w:jc w:val="center"/>
                    <w:rPr>
                      <w:rFonts w:hint="default" w:ascii="Times New Roman" w:hAnsi="Times New Roman" w:eastAsia="宋体" w:cs="Times New Roman"/>
                      <w:b/>
                      <w:bCs/>
                      <w:color w:val="auto"/>
                      <w:highlight w:val="none"/>
                      <w:lang w:eastAsia="zh-CN"/>
                    </w:rPr>
                  </w:pPr>
                </w:p>
              </w:tc>
            </w:tr>
            <w:tr w14:paraId="3994FF8B">
              <w:trPr>
                <w:trHeight w:val="199" w:hRule="atLeast"/>
                <w:jc w:val="center"/>
              </w:trPr>
              <w:tc>
                <w:tcPr>
                  <w:tcW w:w="415" w:type="pct"/>
                  <w:vAlign w:val="center"/>
                </w:tcPr>
                <w:p w14:paraId="20B818BE">
                  <w:pPr>
                    <w:kinsoku/>
                    <w:jc w:val="center"/>
                    <w:textAlignment w:val="top"/>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1</w:t>
                  </w:r>
                </w:p>
              </w:tc>
              <w:tc>
                <w:tcPr>
                  <w:tcW w:w="666" w:type="pct"/>
                  <w:vAlign w:val="center"/>
                </w:tcPr>
                <w:p w14:paraId="5199E2ED">
                  <w:pPr>
                    <w:kinsoku/>
                    <w:jc w:val="center"/>
                    <w:textAlignment w:val="top"/>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lang w:val="en-US" w:eastAsia="zh-CN" w:bidi="ar"/>
                    </w:rPr>
                    <w:t>阜2602</w:t>
                  </w:r>
                </w:p>
              </w:tc>
              <w:tc>
                <w:tcPr>
                  <w:tcW w:w="552" w:type="pct"/>
                  <w:vAlign w:val="center"/>
                </w:tcPr>
                <w:p w14:paraId="17A376E4">
                  <w:pPr>
                    <w:kinsoku/>
                    <w:jc w:val="center"/>
                    <w:textAlignment w:val="top"/>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评价井</w:t>
                  </w:r>
                </w:p>
              </w:tc>
              <w:tc>
                <w:tcPr>
                  <w:tcW w:w="552" w:type="pct"/>
                  <w:vAlign w:val="center"/>
                </w:tcPr>
                <w:p w14:paraId="7514C5AB">
                  <w:pPr>
                    <w:kinsoku/>
                    <w:jc w:val="center"/>
                    <w:textAlignment w:val="top"/>
                    <w:rPr>
                      <w:rFonts w:hint="default"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highlight w:val="none"/>
                      <w:lang w:val="en-US" w:eastAsia="zh-CN" w:bidi="ar"/>
                    </w:rPr>
                    <w:t>定向井</w:t>
                  </w:r>
                </w:p>
              </w:tc>
              <w:tc>
                <w:tcPr>
                  <w:tcW w:w="692" w:type="pct"/>
                  <w:vAlign w:val="center"/>
                </w:tcPr>
                <w:p w14:paraId="38F01DD8">
                  <w:pPr>
                    <w:kinsoku/>
                    <w:jc w:val="center"/>
                    <w:textAlignment w:val="top"/>
                    <w:rPr>
                      <w:rFonts w:hint="default"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highlight w:val="none"/>
                      <w:lang w:val="en-US" w:eastAsia="zh-CN" w:bidi="ar"/>
                    </w:rPr>
                    <w:t>二</w:t>
                  </w:r>
                  <w:r>
                    <w:rPr>
                      <w:rFonts w:hint="default" w:ascii="Times New Roman" w:hAnsi="Times New Roman" w:eastAsia="宋体" w:cs="Times New Roman"/>
                      <w:color w:val="auto"/>
                      <w:highlight w:val="none"/>
                      <w:lang w:eastAsia="zh-CN" w:bidi="ar"/>
                    </w:rPr>
                    <w:t>开</w:t>
                  </w:r>
                </w:p>
              </w:tc>
              <w:tc>
                <w:tcPr>
                  <w:tcW w:w="713" w:type="pct"/>
                  <w:vMerge w:val="restart"/>
                  <w:vAlign w:val="center"/>
                </w:tcPr>
                <w:p w14:paraId="769B24AD">
                  <w:pPr>
                    <w:kinsoku/>
                    <w:jc w:val="center"/>
                    <w:textAlignment w:val="top"/>
                    <w:rPr>
                      <w:rFonts w:hint="default"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spacing w:val="4"/>
                      <w:highlight w:val="none"/>
                      <w:lang w:val="en-US" w:eastAsia="zh-CN"/>
                    </w:rPr>
                    <w:t>3807.50</w:t>
                  </w:r>
                  <w:r>
                    <w:rPr>
                      <w:rFonts w:hint="default" w:ascii="Times New Roman" w:hAnsi="Times New Roman" w:eastAsia="宋体" w:cs="Times New Roman"/>
                      <w:color w:val="auto"/>
                      <w:spacing w:val="4"/>
                      <w:highlight w:val="none"/>
                      <w:lang w:eastAsia="zh-CN"/>
                    </w:rPr>
                    <w:t>m</w:t>
                  </w:r>
                </w:p>
              </w:tc>
              <w:tc>
                <w:tcPr>
                  <w:tcW w:w="715" w:type="pct"/>
                  <w:vMerge w:val="restart"/>
                  <w:vAlign w:val="center"/>
                </w:tcPr>
                <w:p w14:paraId="7E1B62CA">
                  <w:pPr>
                    <w:kinsoku/>
                    <w:jc w:val="center"/>
                    <w:textAlignment w:val="top"/>
                    <w:rPr>
                      <w:rFonts w:hint="default"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3827.83m</w:t>
                  </w:r>
                </w:p>
              </w:tc>
              <w:tc>
                <w:tcPr>
                  <w:tcW w:w="692" w:type="pct"/>
                  <w:vAlign w:val="center"/>
                </w:tcPr>
                <w:p w14:paraId="4B41E257">
                  <w:pPr>
                    <w:kinsoku/>
                    <w:jc w:val="center"/>
                    <w:textAlignment w:val="top"/>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90d</w:t>
                  </w:r>
                </w:p>
              </w:tc>
            </w:tr>
            <w:tr w14:paraId="72ADCBA9">
              <w:trPr>
                <w:trHeight w:val="206" w:hRule="atLeast"/>
                <w:jc w:val="center"/>
              </w:trPr>
              <w:tc>
                <w:tcPr>
                  <w:tcW w:w="415" w:type="pct"/>
                  <w:vAlign w:val="center"/>
                </w:tcPr>
                <w:p w14:paraId="241C4C78">
                  <w:pPr>
                    <w:kinsoku/>
                    <w:jc w:val="center"/>
                    <w:textAlignment w:val="top"/>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2</w:t>
                  </w:r>
                </w:p>
              </w:tc>
              <w:tc>
                <w:tcPr>
                  <w:tcW w:w="666" w:type="pct"/>
                  <w:vAlign w:val="center"/>
                </w:tcPr>
                <w:p w14:paraId="6CAE4A51">
                  <w:pPr>
                    <w:kinsoku/>
                    <w:jc w:val="center"/>
                    <w:textAlignment w:val="top"/>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lang w:val="en-US" w:eastAsia="zh-CN" w:bidi="ar"/>
                    </w:rPr>
                    <w:t>阜2602-1</w:t>
                  </w:r>
                </w:p>
              </w:tc>
              <w:tc>
                <w:tcPr>
                  <w:tcW w:w="552" w:type="pct"/>
                  <w:vAlign w:val="center"/>
                </w:tcPr>
                <w:p w14:paraId="75660480">
                  <w:pPr>
                    <w:kinsoku/>
                    <w:jc w:val="center"/>
                    <w:textAlignment w:val="top"/>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评价井</w:t>
                  </w:r>
                </w:p>
              </w:tc>
              <w:tc>
                <w:tcPr>
                  <w:tcW w:w="552" w:type="pct"/>
                  <w:vAlign w:val="center"/>
                </w:tcPr>
                <w:p w14:paraId="65C7A519">
                  <w:pPr>
                    <w:kinsoku/>
                    <w:jc w:val="center"/>
                    <w:textAlignment w:val="top"/>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水平井</w:t>
                  </w:r>
                </w:p>
              </w:tc>
              <w:tc>
                <w:tcPr>
                  <w:tcW w:w="692" w:type="pct"/>
                  <w:vAlign w:val="center"/>
                </w:tcPr>
                <w:p w14:paraId="3715A100">
                  <w:pPr>
                    <w:kinsoku/>
                    <w:jc w:val="center"/>
                    <w:textAlignment w:val="top"/>
                    <w:rPr>
                      <w:rFonts w:hint="default"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highlight w:val="none"/>
                      <w:lang w:val="en-US" w:eastAsia="zh-CN" w:bidi="ar"/>
                    </w:rPr>
                    <w:t>二</w:t>
                  </w:r>
                  <w:r>
                    <w:rPr>
                      <w:rFonts w:hint="default" w:ascii="Times New Roman" w:hAnsi="Times New Roman" w:eastAsia="宋体" w:cs="Times New Roman"/>
                      <w:color w:val="auto"/>
                      <w:highlight w:val="none"/>
                      <w:lang w:eastAsia="zh-CN" w:bidi="ar"/>
                    </w:rPr>
                    <w:t>开</w:t>
                  </w:r>
                </w:p>
              </w:tc>
              <w:tc>
                <w:tcPr>
                  <w:tcW w:w="713" w:type="pct"/>
                  <w:vMerge w:val="continue"/>
                  <w:vAlign w:val="center"/>
                </w:tcPr>
                <w:p w14:paraId="53CE4C93">
                  <w:pPr>
                    <w:kinsoku/>
                    <w:jc w:val="center"/>
                    <w:textAlignment w:val="top"/>
                    <w:rPr>
                      <w:rFonts w:hint="default" w:ascii="Times New Roman" w:hAnsi="Times New Roman" w:eastAsia="宋体" w:cs="Times New Roman"/>
                      <w:color w:val="auto"/>
                      <w:highlight w:val="none"/>
                      <w:lang w:eastAsia="zh-CN" w:bidi="ar"/>
                    </w:rPr>
                  </w:pPr>
                </w:p>
              </w:tc>
              <w:tc>
                <w:tcPr>
                  <w:tcW w:w="715" w:type="pct"/>
                  <w:vMerge w:val="continue"/>
                  <w:vAlign w:val="center"/>
                </w:tcPr>
                <w:p w14:paraId="734D7D11">
                  <w:pPr>
                    <w:kinsoku/>
                    <w:jc w:val="center"/>
                    <w:textAlignment w:val="top"/>
                    <w:rPr>
                      <w:rFonts w:hint="default" w:ascii="Times New Roman" w:hAnsi="Times New Roman" w:eastAsia="宋体" w:cs="Times New Roman"/>
                      <w:color w:val="auto"/>
                      <w:highlight w:val="none"/>
                      <w:lang w:eastAsia="zh-CN" w:bidi="ar"/>
                    </w:rPr>
                  </w:pPr>
                </w:p>
              </w:tc>
              <w:tc>
                <w:tcPr>
                  <w:tcW w:w="692" w:type="pct"/>
                  <w:vAlign w:val="center"/>
                </w:tcPr>
                <w:p w14:paraId="2C5C797F">
                  <w:pPr>
                    <w:kinsoku/>
                    <w:jc w:val="center"/>
                    <w:textAlignment w:val="top"/>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90d</w:t>
                  </w:r>
                </w:p>
              </w:tc>
            </w:tr>
          </w:tbl>
          <w:p w14:paraId="106AFA06">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4.2井身结构</w:t>
            </w:r>
          </w:p>
          <w:p w14:paraId="730673BF">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本次拟钻井采用</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eastAsia="zh-CN"/>
              </w:rPr>
              <w:t>开井身结构，井身结构数据见表2-5，井身结构设计说明见表2-6，井身结构图见图2-1。</w:t>
            </w:r>
          </w:p>
          <w:p w14:paraId="59934FBC">
            <w:pPr>
              <w:pStyle w:val="23"/>
              <w:widowControl w:val="0"/>
              <w:kinsoku/>
              <w:spacing w:before="161" w:line="224"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pacing w:val="5"/>
                <w:sz w:val="21"/>
                <w:szCs w:val="21"/>
                <w:lang w:eastAsia="zh-CN"/>
              </w:rPr>
              <w:t>表2-5 井身结构设计数据表</w:t>
            </w:r>
          </w:p>
          <w:tbl>
            <w:tblPr>
              <w:tblStyle w:val="17"/>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2"/>
              <w:gridCol w:w="726"/>
              <w:gridCol w:w="1414"/>
              <w:gridCol w:w="2036"/>
              <w:gridCol w:w="2115"/>
              <w:gridCol w:w="2116"/>
            </w:tblGrid>
            <w:tr w14:paraId="0A776192">
              <w:trPr>
                <w:trHeight w:val="440" w:hRule="atLeast"/>
                <w:jc w:val="center"/>
              </w:trPr>
              <w:tc>
                <w:tcPr>
                  <w:tcW w:w="390" w:type="pct"/>
                  <w:vAlign w:val="center"/>
                </w:tcPr>
                <w:p w14:paraId="0366C820">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开钻</w:t>
                  </w:r>
                </w:p>
                <w:p w14:paraId="19182B86">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次序</w:t>
                  </w:r>
                </w:p>
              </w:tc>
              <w:tc>
                <w:tcPr>
                  <w:tcW w:w="398" w:type="pct"/>
                  <w:vAlign w:val="center"/>
                </w:tcPr>
                <w:p w14:paraId="4F4A7A7C">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井深</w:t>
                  </w:r>
                </w:p>
                <w:p w14:paraId="7749D9D5">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(m)</w:t>
                  </w:r>
                </w:p>
              </w:tc>
              <w:tc>
                <w:tcPr>
                  <w:tcW w:w="775" w:type="pct"/>
                  <w:vAlign w:val="center"/>
                </w:tcPr>
                <w:p w14:paraId="6736CB12">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钻头尺寸</w:t>
                  </w:r>
                </w:p>
                <w:p w14:paraId="3C1953C5">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(mm)</w:t>
                  </w:r>
                </w:p>
              </w:tc>
              <w:tc>
                <w:tcPr>
                  <w:tcW w:w="1116" w:type="pct"/>
                  <w:vAlign w:val="center"/>
                </w:tcPr>
                <w:p w14:paraId="32AF8B6D">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套管尺寸</w:t>
                  </w:r>
                </w:p>
                <w:p w14:paraId="1384ACCB">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(mm)</w:t>
                  </w:r>
                </w:p>
              </w:tc>
              <w:tc>
                <w:tcPr>
                  <w:tcW w:w="1159" w:type="pct"/>
                  <w:vAlign w:val="center"/>
                </w:tcPr>
                <w:p w14:paraId="63E59334">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套管下入层位</w:t>
                  </w:r>
                </w:p>
              </w:tc>
              <w:tc>
                <w:tcPr>
                  <w:tcW w:w="1159" w:type="pct"/>
                  <w:vAlign w:val="center"/>
                </w:tcPr>
                <w:p w14:paraId="794D1937">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套管下入深度</w:t>
                  </w:r>
                </w:p>
                <w:p w14:paraId="1DCD3F54">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(m)</w:t>
                  </w:r>
                </w:p>
              </w:tc>
            </w:tr>
            <w:tr w14:paraId="73DAAB14">
              <w:trPr>
                <w:trHeight w:val="224" w:hRule="atLeast"/>
                <w:jc w:val="center"/>
              </w:trPr>
              <w:tc>
                <w:tcPr>
                  <w:tcW w:w="390" w:type="pct"/>
                  <w:vAlign w:val="center"/>
                </w:tcPr>
                <w:p w14:paraId="20E6D0B1">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rPr>
                    <w:t>导眼</w:t>
                  </w:r>
                </w:p>
              </w:tc>
              <w:tc>
                <w:tcPr>
                  <w:tcW w:w="398" w:type="pct"/>
                  <w:vAlign w:val="center"/>
                </w:tcPr>
                <w:p w14:paraId="51E0E80C">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rPr>
                    <w:t>30</w:t>
                  </w:r>
                </w:p>
              </w:tc>
              <w:tc>
                <w:tcPr>
                  <w:tcW w:w="775" w:type="pct"/>
                  <w:vAlign w:val="center"/>
                </w:tcPr>
                <w:p w14:paraId="3C32F4B8">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Φ660</w:t>
                  </w:r>
                </w:p>
              </w:tc>
              <w:tc>
                <w:tcPr>
                  <w:tcW w:w="1116" w:type="pct"/>
                  <w:vAlign w:val="center"/>
                </w:tcPr>
                <w:p w14:paraId="09E300F4">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Φ508</w:t>
                  </w:r>
                </w:p>
              </w:tc>
              <w:tc>
                <w:tcPr>
                  <w:tcW w:w="1159" w:type="pct"/>
                  <w:vAlign w:val="center"/>
                </w:tcPr>
                <w:p w14:paraId="64A83667">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Q</w:t>
                  </w:r>
                </w:p>
              </w:tc>
              <w:tc>
                <w:tcPr>
                  <w:tcW w:w="1159" w:type="pct"/>
                  <w:vAlign w:val="center"/>
                </w:tcPr>
                <w:p w14:paraId="243BFC3D">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r>
            <w:tr w14:paraId="731224A0">
              <w:trPr>
                <w:trHeight w:val="224" w:hRule="atLeast"/>
                <w:jc w:val="center"/>
              </w:trPr>
              <w:tc>
                <w:tcPr>
                  <w:tcW w:w="390" w:type="pct"/>
                  <w:vAlign w:val="center"/>
                </w:tcPr>
                <w:p w14:paraId="26E208AA">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rPr>
                    <w:t>一开</w:t>
                  </w:r>
                </w:p>
              </w:tc>
              <w:tc>
                <w:tcPr>
                  <w:tcW w:w="398" w:type="pct"/>
                  <w:vAlign w:val="center"/>
                </w:tcPr>
                <w:p w14:paraId="487338E6">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rPr>
                    <w:t>1000</w:t>
                  </w:r>
                </w:p>
              </w:tc>
              <w:tc>
                <w:tcPr>
                  <w:tcW w:w="775" w:type="pct"/>
                  <w:vAlign w:val="center"/>
                </w:tcPr>
                <w:p w14:paraId="075AB2EA">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Φ375</w:t>
                  </w:r>
                </w:p>
              </w:tc>
              <w:tc>
                <w:tcPr>
                  <w:tcW w:w="1116" w:type="pct"/>
                  <w:vAlign w:val="center"/>
                </w:tcPr>
                <w:p w14:paraId="3D8E68F0">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Φ273</w:t>
                  </w:r>
                </w:p>
              </w:tc>
              <w:tc>
                <w:tcPr>
                  <w:tcW w:w="1159" w:type="pct"/>
                  <w:vAlign w:val="center"/>
                </w:tcPr>
                <w:p w14:paraId="1B5CA64B">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N</w:t>
                  </w:r>
                </w:p>
              </w:tc>
              <w:tc>
                <w:tcPr>
                  <w:tcW w:w="1159" w:type="pct"/>
                  <w:vAlign w:val="center"/>
                </w:tcPr>
                <w:p w14:paraId="4C643C53">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1000</w:t>
                  </w:r>
                </w:p>
              </w:tc>
            </w:tr>
            <w:tr w14:paraId="6DA3E502">
              <w:trPr>
                <w:trHeight w:val="200" w:hRule="atLeast"/>
                <w:jc w:val="center"/>
              </w:trPr>
              <w:tc>
                <w:tcPr>
                  <w:tcW w:w="390" w:type="pct"/>
                  <w:vMerge w:val="restart"/>
                  <w:vAlign w:val="center"/>
                </w:tcPr>
                <w:p w14:paraId="1A13F6BA">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rPr>
                    <w:t>二开</w:t>
                  </w:r>
                </w:p>
              </w:tc>
              <w:tc>
                <w:tcPr>
                  <w:tcW w:w="398" w:type="pct"/>
                  <w:vAlign w:val="center"/>
                </w:tcPr>
                <w:p w14:paraId="0AED06EE">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3016</w:t>
                  </w:r>
                </w:p>
              </w:tc>
              <w:tc>
                <w:tcPr>
                  <w:tcW w:w="775" w:type="pct"/>
                  <w:vAlign w:val="center"/>
                </w:tcPr>
                <w:p w14:paraId="422F8545">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Φ</w:t>
                  </w:r>
                  <w:r>
                    <w:rPr>
                      <w:rFonts w:hint="eastAsia" w:ascii="Times New Roman" w:hAnsi="Times New Roman" w:eastAsia="宋体" w:cs="Times New Roman"/>
                      <w:b w:val="0"/>
                      <w:bCs w:val="0"/>
                      <w:color w:val="auto"/>
                      <w:sz w:val="21"/>
                      <w:szCs w:val="21"/>
                      <w:lang w:val="en-US" w:eastAsia="zh-CN"/>
                    </w:rPr>
                    <w:t>241</w:t>
                  </w:r>
                </w:p>
              </w:tc>
              <w:tc>
                <w:tcPr>
                  <w:tcW w:w="1116" w:type="pct"/>
                  <w:vMerge w:val="restart"/>
                  <w:vAlign w:val="center"/>
                </w:tcPr>
                <w:p w14:paraId="3418735F">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Φ</w:t>
                  </w:r>
                  <w:r>
                    <w:rPr>
                      <w:rFonts w:hint="eastAsia" w:eastAsia="宋体" w:cs="Times New Roman"/>
                      <w:b w:val="0"/>
                      <w:bCs w:val="0"/>
                      <w:color w:val="auto"/>
                      <w:sz w:val="21"/>
                      <w:szCs w:val="21"/>
                      <w:lang w:val="en-US" w:eastAsia="zh-CN"/>
                    </w:rPr>
                    <w:t>139.7</w:t>
                  </w:r>
                </w:p>
              </w:tc>
              <w:tc>
                <w:tcPr>
                  <w:tcW w:w="1159" w:type="pct"/>
                  <w:vMerge w:val="restart"/>
                  <w:vAlign w:val="center"/>
                </w:tcPr>
                <w:p w14:paraId="290ECC0B">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rPr>
                    <w:t>C</w:t>
                  </w:r>
                  <w:r>
                    <w:rPr>
                      <w:rFonts w:hint="default" w:ascii="Times New Roman" w:hAnsi="Times New Roman" w:eastAsia="宋体" w:cs="Times New Roman"/>
                      <w:b w:val="0"/>
                      <w:bCs w:val="0"/>
                      <w:color w:val="auto"/>
                      <w:vertAlign w:val="subscript"/>
                    </w:rPr>
                    <w:t>1</w:t>
                  </w:r>
                  <w:r>
                    <w:rPr>
                      <w:rFonts w:hint="default" w:ascii="Times New Roman" w:hAnsi="Times New Roman" w:eastAsia="宋体" w:cs="Times New Roman"/>
                      <w:b w:val="0"/>
                      <w:bCs w:val="0"/>
                      <w:color w:val="auto"/>
                    </w:rPr>
                    <w:t>sb</w:t>
                  </w:r>
                </w:p>
              </w:tc>
              <w:tc>
                <w:tcPr>
                  <w:tcW w:w="1159" w:type="pct"/>
                  <w:vMerge w:val="restart"/>
                  <w:vAlign w:val="center"/>
                </w:tcPr>
                <w:p w14:paraId="37B6953E">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3827.83</w:t>
                  </w:r>
                </w:p>
              </w:tc>
            </w:tr>
            <w:tr w14:paraId="0E39EA72">
              <w:trPr>
                <w:trHeight w:val="207" w:hRule="atLeast"/>
                <w:jc w:val="center"/>
              </w:trPr>
              <w:tc>
                <w:tcPr>
                  <w:tcW w:w="390" w:type="pct"/>
                  <w:vMerge w:val="continue"/>
                  <w:vAlign w:val="center"/>
                </w:tcPr>
                <w:p w14:paraId="140BC983">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p>
              </w:tc>
              <w:tc>
                <w:tcPr>
                  <w:tcW w:w="398" w:type="pct"/>
                  <w:vAlign w:val="center"/>
                </w:tcPr>
                <w:p w14:paraId="1CC36726">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3827.83</w:t>
                  </w:r>
                </w:p>
              </w:tc>
              <w:tc>
                <w:tcPr>
                  <w:tcW w:w="775" w:type="pct"/>
                  <w:vAlign w:val="center"/>
                </w:tcPr>
                <w:p w14:paraId="46D0647A">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Φ2</w:t>
                  </w:r>
                  <w:r>
                    <w:rPr>
                      <w:rFonts w:hint="eastAsia" w:ascii="Times New Roman" w:hAnsi="Times New Roman" w:eastAsia="宋体" w:cs="Times New Roman"/>
                      <w:b w:val="0"/>
                      <w:bCs w:val="0"/>
                      <w:color w:val="auto"/>
                      <w:sz w:val="21"/>
                      <w:szCs w:val="21"/>
                      <w:lang w:val="en-US" w:eastAsia="zh-CN"/>
                    </w:rPr>
                    <w:t>16</w:t>
                  </w:r>
                </w:p>
              </w:tc>
              <w:tc>
                <w:tcPr>
                  <w:tcW w:w="1116" w:type="pct"/>
                  <w:vMerge w:val="continue"/>
                  <w:vAlign w:val="center"/>
                </w:tcPr>
                <w:p w14:paraId="6CDEFB7E">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rPr>
                  </w:pPr>
                </w:p>
              </w:tc>
              <w:tc>
                <w:tcPr>
                  <w:tcW w:w="1159" w:type="pct"/>
                  <w:vMerge w:val="continue"/>
                  <w:vAlign w:val="center"/>
                </w:tcPr>
                <w:p w14:paraId="6B8EA388">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p>
              </w:tc>
              <w:tc>
                <w:tcPr>
                  <w:tcW w:w="1159" w:type="pct"/>
                  <w:vMerge w:val="continue"/>
                  <w:vAlign w:val="center"/>
                </w:tcPr>
                <w:p w14:paraId="5F43C097">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sz w:val="21"/>
                      <w:szCs w:val="21"/>
                      <w:lang w:val="en-US" w:eastAsia="zh-CN"/>
                    </w:rPr>
                  </w:pPr>
                </w:p>
              </w:tc>
            </w:tr>
          </w:tbl>
          <w:p w14:paraId="529BE603">
            <w:pPr>
              <w:pStyle w:val="23"/>
              <w:widowControl w:val="0"/>
              <w:kinsoku/>
              <w:spacing w:before="161" w:line="224"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pacing w:val="5"/>
                <w:sz w:val="21"/>
                <w:szCs w:val="21"/>
                <w:lang w:eastAsia="zh-CN"/>
              </w:rPr>
              <w:t>表2-6 井身结构设计说明表</w:t>
            </w:r>
          </w:p>
          <w:tbl>
            <w:tblPr>
              <w:tblStyle w:val="17"/>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493"/>
              <w:gridCol w:w="6842"/>
            </w:tblGrid>
            <w:tr w14:paraId="620C5471">
              <w:trPr>
                <w:trHeight w:val="379" w:hRule="atLeast"/>
                <w:jc w:val="center"/>
              </w:trPr>
              <w:tc>
                <w:tcPr>
                  <w:tcW w:w="421" w:type="pct"/>
                  <w:vAlign w:val="center"/>
                </w:tcPr>
                <w:p w14:paraId="41D3E199">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开钻次序</w:t>
                  </w:r>
                </w:p>
              </w:tc>
              <w:tc>
                <w:tcPr>
                  <w:tcW w:w="820" w:type="pct"/>
                  <w:vAlign w:val="center"/>
                </w:tcPr>
                <w:p w14:paraId="7882829F">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套管尺寸(mm)</w:t>
                  </w:r>
                </w:p>
              </w:tc>
              <w:tc>
                <w:tcPr>
                  <w:tcW w:w="3757" w:type="pct"/>
                  <w:vAlign w:val="center"/>
                </w:tcPr>
                <w:p w14:paraId="41D9F803">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设计说明</w:t>
                  </w:r>
                </w:p>
              </w:tc>
            </w:tr>
            <w:tr w14:paraId="5B9561D2">
              <w:trPr>
                <w:trHeight w:val="379" w:hRule="atLeast"/>
                <w:jc w:val="center"/>
              </w:trPr>
              <w:tc>
                <w:tcPr>
                  <w:tcW w:w="421" w:type="pct"/>
                  <w:vAlign w:val="center"/>
                </w:tcPr>
                <w:p w14:paraId="0E106C96">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导眼</w:t>
                  </w:r>
                </w:p>
              </w:tc>
              <w:tc>
                <w:tcPr>
                  <w:tcW w:w="820" w:type="pct"/>
                  <w:vAlign w:val="center"/>
                </w:tcPr>
                <w:p w14:paraId="272281CC">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Φ508</w:t>
                  </w:r>
                </w:p>
              </w:tc>
              <w:tc>
                <w:tcPr>
                  <w:tcW w:w="3757" w:type="pct"/>
                  <w:vAlign w:val="center"/>
                </w:tcPr>
                <w:p w14:paraId="71DA37A3">
                  <w:pPr>
                    <w:pStyle w:val="26"/>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auto"/>
                      <w:lang w:val="en-US"/>
                    </w:rPr>
                  </w:pPr>
                  <w:r>
                    <w:rPr>
                      <w:rFonts w:hint="default" w:ascii="Times New Roman" w:hAnsi="Times New Roman" w:eastAsia="宋体" w:cs="Times New Roman"/>
                      <w:b w:val="0"/>
                      <w:bCs w:val="0"/>
                      <w:color w:val="auto"/>
                    </w:rPr>
                    <w:t>用Φ660mm钻头打导眼</w:t>
                  </w:r>
                  <w:r>
                    <w:rPr>
                      <w:rFonts w:hint="eastAsia" w:ascii="Times New Roman" w:hAnsi="Times New Roman" w:eastAsia="宋体" w:cs="Times New Roman"/>
                      <w:b w:val="0"/>
                      <w:bCs w:val="0"/>
                      <w:color w:val="auto"/>
                    </w:rPr>
                    <w:t>3</w:t>
                  </w:r>
                  <w:r>
                    <w:rPr>
                      <w:rFonts w:hint="default" w:ascii="Times New Roman" w:hAnsi="Times New Roman" w:eastAsia="宋体" w:cs="Times New Roman"/>
                      <w:b w:val="0"/>
                      <w:bCs w:val="0"/>
                      <w:color w:val="auto"/>
                    </w:rPr>
                    <w:t>0m，下入Φ508mm的导管固井，水泥返至地面。</w:t>
                  </w:r>
                </w:p>
              </w:tc>
            </w:tr>
            <w:tr w14:paraId="26900BAB">
              <w:trPr>
                <w:trHeight w:val="566" w:hRule="atLeast"/>
                <w:jc w:val="center"/>
              </w:trPr>
              <w:tc>
                <w:tcPr>
                  <w:tcW w:w="421" w:type="pct"/>
                  <w:vAlign w:val="center"/>
                </w:tcPr>
                <w:p w14:paraId="0CD6AE01">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一开</w:t>
                  </w:r>
                </w:p>
              </w:tc>
              <w:tc>
                <w:tcPr>
                  <w:tcW w:w="820" w:type="pct"/>
                  <w:vAlign w:val="center"/>
                </w:tcPr>
                <w:p w14:paraId="22DE0161">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Φ273</w:t>
                  </w:r>
                </w:p>
              </w:tc>
              <w:tc>
                <w:tcPr>
                  <w:tcW w:w="3757" w:type="pct"/>
                  <w:vAlign w:val="center"/>
                </w:tcPr>
                <w:p w14:paraId="5C6C6C16">
                  <w:pPr>
                    <w:pStyle w:val="26"/>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用Φ375mm钻头一开，钻穿砾石层至少20m，钻至井深</w:t>
                  </w:r>
                  <w:r>
                    <w:rPr>
                      <w:rFonts w:hint="eastAsia" w:ascii="Times New Roman" w:hAnsi="Times New Roman" w:eastAsia="宋体" w:cs="Times New Roman"/>
                      <w:b w:val="0"/>
                      <w:bCs w:val="0"/>
                      <w:color w:val="auto"/>
                    </w:rPr>
                    <w:t>1000</w:t>
                  </w:r>
                  <w:r>
                    <w:rPr>
                      <w:rFonts w:hint="default" w:ascii="Times New Roman" w:hAnsi="Times New Roman" w:eastAsia="宋体" w:cs="Times New Roman"/>
                      <w:b w:val="0"/>
                      <w:bCs w:val="0"/>
                      <w:color w:val="auto"/>
                    </w:rPr>
                    <w:t>m左右，下入Φ273mm表层套管，水泥返至地面。</w:t>
                  </w:r>
                </w:p>
                <w:p w14:paraId="2F34792C">
                  <w:pPr>
                    <w:pStyle w:val="26"/>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auto"/>
                      <w:lang w:val="en-US"/>
                    </w:rPr>
                  </w:pPr>
                  <w:r>
                    <w:rPr>
                      <w:rFonts w:hint="eastAsia" w:ascii="Times New Roman" w:hAnsi="Times New Roman" w:eastAsia="宋体" w:cs="Times New Roman"/>
                      <w:b w:val="0"/>
                      <w:bCs w:val="0"/>
                      <w:color w:val="auto"/>
                    </w:rPr>
                    <w:t>表套下深原则：封隔表层承压能力薄弱地层。</w:t>
                  </w:r>
                </w:p>
              </w:tc>
            </w:tr>
            <w:tr w14:paraId="540F2D6B">
              <w:trPr>
                <w:trHeight w:val="569" w:hRule="atLeast"/>
                <w:jc w:val="center"/>
              </w:trPr>
              <w:tc>
                <w:tcPr>
                  <w:tcW w:w="421" w:type="pct"/>
                  <w:vAlign w:val="center"/>
                </w:tcPr>
                <w:p w14:paraId="7F1C6001">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二开</w:t>
                  </w:r>
                </w:p>
              </w:tc>
              <w:tc>
                <w:tcPr>
                  <w:tcW w:w="820" w:type="pct"/>
                  <w:vAlign w:val="center"/>
                </w:tcPr>
                <w:p w14:paraId="7E9C121A">
                  <w:pPr>
                    <w:pStyle w:val="26"/>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Φ1</w:t>
                  </w:r>
                  <w:r>
                    <w:rPr>
                      <w:rFonts w:hint="eastAsia" w:eastAsia="宋体" w:cs="Times New Roman"/>
                      <w:b w:val="0"/>
                      <w:bCs w:val="0"/>
                      <w:color w:val="auto"/>
                      <w:lang w:val="en-US" w:eastAsia="zh-CN"/>
                    </w:rPr>
                    <w:t>39</w:t>
                  </w:r>
                  <w:r>
                    <w:rPr>
                      <w:rFonts w:hint="default" w:ascii="Times New Roman" w:hAnsi="Times New Roman" w:eastAsia="宋体" w:cs="Times New Roman"/>
                      <w:b w:val="0"/>
                      <w:bCs w:val="0"/>
                      <w:color w:val="auto"/>
                    </w:rPr>
                    <w:t>.7</w:t>
                  </w:r>
                </w:p>
              </w:tc>
              <w:tc>
                <w:tcPr>
                  <w:tcW w:w="3757" w:type="pct"/>
                  <w:vAlign w:val="center"/>
                </w:tcPr>
                <w:p w14:paraId="747426DF">
                  <w:pPr>
                    <w:pStyle w:val="26"/>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用Ф241mm钻头二开，钻至井深</w:t>
                  </w:r>
                  <w:r>
                    <w:rPr>
                      <w:rFonts w:hint="eastAsia" w:ascii="Times New Roman" w:hAnsi="Times New Roman" w:eastAsia="宋体" w:cs="Times New Roman"/>
                      <w:b w:val="0"/>
                      <w:bCs w:val="0"/>
                      <w:color w:val="auto"/>
                    </w:rPr>
                    <w:t>2700m造斜</w:t>
                  </w:r>
                  <w:r>
                    <w:rPr>
                      <w:rFonts w:hint="default" w:ascii="Times New Roman" w:hAnsi="Times New Roman" w:eastAsia="宋体" w:cs="Times New Roman"/>
                      <w:b w:val="0"/>
                      <w:bCs w:val="0"/>
                      <w:color w:val="auto"/>
                    </w:rPr>
                    <w:t>，</w:t>
                  </w:r>
                  <w:r>
                    <w:rPr>
                      <w:rFonts w:hint="eastAsia" w:ascii="Times New Roman" w:hAnsi="Times New Roman" w:eastAsia="宋体" w:cs="Times New Roman"/>
                      <w:b w:val="0"/>
                      <w:bCs w:val="0"/>
                      <w:color w:val="auto"/>
                    </w:rPr>
                    <w:t>按设计轨迹钻至</w:t>
                  </w:r>
                  <w:r>
                    <w:rPr>
                      <w:rFonts w:hint="default" w:ascii="Times New Roman" w:hAnsi="Times New Roman" w:eastAsia="宋体" w:cs="Times New Roman"/>
                      <w:b w:val="0"/>
                      <w:bCs w:val="0"/>
                      <w:color w:val="auto"/>
                    </w:rPr>
                    <w:t>井深</w:t>
                  </w:r>
                  <w:r>
                    <w:rPr>
                      <w:rFonts w:hint="eastAsia" w:ascii="Times New Roman" w:hAnsi="Times New Roman" w:eastAsia="宋体" w:cs="Times New Roman"/>
                      <w:b w:val="0"/>
                      <w:bCs w:val="0"/>
                      <w:color w:val="auto"/>
                    </w:rPr>
                    <w:t>3016m（钻穿T1s进入T1j组40m），换</w:t>
                  </w:r>
                  <w:r>
                    <w:rPr>
                      <w:rFonts w:hint="default" w:ascii="Times New Roman" w:hAnsi="Times New Roman" w:eastAsia="宋体" w:cs="Times New Roman"/>
                      <w:b w:val="0"/>
                      <w:bCs w:val="0"/>
                      <w:color w:val="auto"/>
                    </w:rPr>
                    <w:t>Ф</w:t>
                  </w:r>
                  <w:r>
                    <w:rPr>
                      <w:rFonts w:hint="eastAsia" w:ascii="Times New Roman" w:hAnsi="Times New Roman" w:eastAsia="宋体" w:cs="Times New Roman"/>
                      <w:b w:val="0"/>
                      <w:bCs w:val="0"/>
                      <w:color w:val="auto"/>
                    </w:rPr>
                    <w:t>216mm钻头继续按设计轨迹钻至井深3827.83m完钻</w:t>
                  </w:r>
                  <w:r>
                    <w:rPr>
                      <w:rFonts w:hint="default" w:ascii="Times New Roman" w:hAnsi="Times New Roman" w:eastAsia="宋体" w:cs="Times New Roman"/>
                      <w:b w:val="0"/>
                      <w:bCs w:val="0"/>
                      <w:color w:val="auto"/>
                    </w:rPr>
                    <w:t>，下入Φ139.7mm油层套管</w:t>
                  </w:r>
                  <w:r>
                    <w:rPr>
                      <w:rFonts w:hint="eastAsia" w:ascii="Times New Roman" w:hAnsi="Times New Roman" w:eastAsia="宋体" w:cs="Times New Roman"/>
                      <w:b w:val="0"/>
                      <w:bCs w:val="0"/>
                      <w:color w:val="auto"/>
                    </w:rPr>
                    <w:t>，</w:t>
                  </w:r>
                  <w:r>
                    <w:rPr>
                      <w:rFonts w:hint="default" w:ascii="Times New Roman" w:hAnsi="Times New Roman" w:eastAsia="宋体" w:cs="Times New Roman"/>
                      <w:b w:val="0"/>
                      <w:bCs w:val="0"/>
                      <w:color w:val="auto"/>
                    </w:rPr>
                    <w:t>采用</w:t>
                  </w:r>
                  <w:r>
                    <w:rPr>
                      <w:rFonts w:hint="eastAsia" w:ascii="Times New Roman" w:hAnsi="Times New Roman" w:eastAsia="宋体" w:cs="Times New Roman"/>
                      <w:b w:val="0"/>
                      <w:bCs w:val="0"/>
                      <w:color w:val="auto"/>
                    </w:rPr>
                    <w:t>抗盐+抗盐增韧复合</w:t>
                  </w:r>
                  <w:r>
                    <w:rPr>
                      <w:rFonts w:hint="default" w:ascii="Times New Roman" w:hAnsi="Times New Roman" w:eastAsia="宋体" w:cs="Times New Roman"/>
                      <w:b w:val="0"/>
                      <w:bCs w:val="0"/>
                      <w:color w:val="auto"/>
                    </w:rPr>
                    <w:t>水泥浆体系固井</w:t>
                  </w:r>
                  <w:r>
                    <w:rPr>
                      <w:rFonts w:hint="eastAsia" w:ascii="Times New Roman" w:hAnsi="Times New Roman" w:eastAsia="宋体" w:cs="Times New Roman"/>
                      <w:b w:val="0"/>
                      <w:bCs w:val="0"/>
                      <w:color w:val="auto"/>
                    </w:rPr>
                    <w:t>。抗盐</w:t>
                  </w:r>
                  <w:r>
                    <w:rPr>
                      <w:rFonts w:hint="default" w:ascii="Times New Roman" w:hAnsi="Times New Roman" w:eastAsia="宋体" w:cs="Times New Roman"/>
                      <w:b w:val="0"/>
                      <w:bCs w:val="0"/>
                      <w:color w:val="auto"/>
                    </w:rPr>
                    <w:t>水泥返至</w:t>
                  </w:r>
                  <w:r>
                    <w:rPr>
                      <w:rFonts w:hint="eastAsia" w:ascii="Times New Roman" w:hAnsi="Times New Roman" w:eastAsia="宋体" w:cs="Times New Roman"/>
                      <w:b w:val="0"/>
                      <w:bCs w:val="0"/>
                      <w:color w:val="auto"/>
                    </w:rPr>
                    <w:t>地面</w:t>
                  </w:r>
                  <w:r>
                    <w:rPr>
                      <w:rFonts w:hint="default" w:ascii="Times New Roman" w:hAnsi="Times New Roman" w:eastAsia="宋体" w:cs="Times New Roman"/>
                      <w:b w:val="0"/>
                      <w:bCs w:val="0"/>
                      <w:color w:val="auto"/>
                    </w:rPr>
                    <w:t>，封固段长</w:t>
                  </w:r>
                  <w:r>
                    <w:rPr>
                      <w:rFonts w:hint="eastAsia" w:ascii="Times New Roman" w:hAnsi="Times New Roman" w:eastAsia="宋体" w:cs="Times New Roman"/>
                      <w:b w:val="0"/>
                      <w:bCs w:val="0"/>
                      <w:color w:val="auto"/>
                    </w:rPr>
                    <w:t>3403</w:t>
                  </w:r>
                  <w:r>
                    <w:rPr>
                      <w:rFonts w:hint="default" w:ascii="Times New Roman" w:hAnsi="Times New Roman" w:eastAsia="宋体" w:cs="Times New Roman"/>
                      <w:b w:val="0"/>
                      <w:bCs w:val="0"/>
                      <w:color w:val="auto"/>
                    </w:rPr>
                    <w:t>m；</w:t>
                  </w:r>
                  <w:r>
                    <w:rPr>
                      <w:rFonts w:hint="eastAsia" w:ascii="Times New Roman" w:hAnsi="Times New Roman" w:eastAsia="宋体" w:cs="Times New Roman"/>
                      <w:b w:val="0"/>
                      <w:bCs w:val="0"/>
                      <w:color w:val="auto"/>
                    </w:rPr>
                    <w:t>抗盐增韧</w:t>
                  </w:r>
                  <w:r>
                    <w:rPr>
                      <w:rFonts w:hint="default" w:ascii="Times New Roman" w:hAnsi="Times New Roman" w:eastAsia="宋体" w:cs="Times New Roman"/>
                      <w:b w:val="0"/>
                      <w:bCs w:val="0"/>
                      <w:color w:val="auto"/>
                    </w:rPr>
                    <w:t>水泥自井底返至井深</w:t>
                  </w:r>
                  <w:r>
                    <w:rPr>
                      <w:rFonts w:hint="eastAsia" w:ascii="Times New Roman" w:hAnsi="Times New Roman" w:eastAsia="宋体" w:cs="Times New Roman"/>
                      <w:b w:val="0"/>
                      <w:bCs w:val="0"/>
                      <w:color w:val="auto"/>
                    </w:rPr>
                    <w:t>3403m（石炭系油顶以上200m）</w:t>
                  </w:r>
                  <w:r>
                    <w:rPr>
                      <w:rFonts w:hint="default" w:ascii="Times New Roman" w:hAnsi="Times New Roman" w:eastAsia="宋体" w:cs="Times New Roman"/>
                      <w:b w:val="0"/>
                      <w:bCs w:val="0"/>
                      <w:color w:val="auto"/>
                    </w:rPr>
                    <w:t>，封固段长</w:t>
                  </w:r>
                  <w:r>
                    <w:rPr>
                      <w:rFonts w:hint="eastAsia" w:ascii="Times New Roman" w:hAnsi="Times New Roman" w:eastAsia="宋体" w:cs="Times New Roman"/>
                      <w:b w:val="0"/>
                      <w:bCs w:val="0"/>
                      <w:color w:val="auto"/>
                    </w:rPr>
                    <w:t>424.83</w:t>
                  </w:r>
                  <w:r>
                    <w:rPr>
                      <w:rFonts w:hint="default" w:ascii="Times New Roman" w:hAnsi="Times New Roman" w:eastAsia="宋体" w:cs="Times New Roman"/>
                      <w:b w:val="0"/>
                      <w:bCs w:val="0"/>
                      <w:color w:val="auto"/>
                    </w:rPr>
                    <w:t>m。</w:t>
                  </w:r>
                </w:p>
                <w:p w14:paraId="45851693">
                  <w:pPr>
                    <w:pStyle w:val="26"/>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 w:val="0"/>
                      <w:bCs w:val="0"/>
                      <w:color w:val="auto"/>
                      <w:lang w:val="en-US"/>
                    </w:rPr>
                  </w:pPr>
                  <w:r>
                    <w:rPr>
                      <w:rFonts w:hint="eastAsia" w:ascii="Times New Roman" w:hAnsi="Times New Roman" w:eastAsia="宋体" w:cs="Times New Roman"/>
                      <w:b w:val="0"/>
                      <w:bCs w:val="0"/>
                      <w:color w:val="auto"/>
                    </w:rPr>
                    <w:t>注：若T1j组上部地层钻进过程发生严重漏失或垮塌，</w:t>
                  </w:r>
                  <w:r>
                    <w:rPr>
                      <w:rFonts w:hint="default" w:ascii="Times New Roman" w:hAnsi="Times New Roman" w:eastAsia="宋体" w:cs="Times New Roman"/>
                      <w:b w:val="0"/>
                      <w:bCs w:val="0"/>
                      <w:color w:val="auto"/>
                    </w:rPr>
                    <w:t>Ф</w:t>
                  </w:r>
                  <w:r>
                    <w:rPr>
                      <w:rFonts w:hint="eastAsia" w:ascii="Times New Roman" w:hAnsi="Times New Roman" w:eastAsia="宋体" w:cs="Times New Roman"/>
                      <w:b w:val="0"/>
                      <w:bCs w:val="0"/>
                      <w:color w:val="auto"/>
                    </w:rPr>
                    <w:t>241mm钻头钻穿T1s进入T1j组地层顶部中完，下入</w:t>
                  </w:r>
                  <w:r>
                    <w:rPr>
                      <w:rFonts w:hint="default" w:ascii="Times New Roman" w:hAnsi="Times New Roman" w:eastAsia="宋体" w:cs="Times New Roman"/>
                      <w:b w:val="0"/>
                      <w:bCs w:val="0"/>
                      <w:color w:val="auto"/>
                    </w:rPr>
                    <w:t>Ф</w:t>
                  </w:r>
                  <w:r>
                    <w:rPr>
                      <w:rFonts w:hint="eastAsia" w:ascii="Times New Roman" w:hAnsi="Times New Roman" w:eastAsia="宋体" w:cs="Times New Roman"/>
                      <w:b w:val="0"/>
                      <w:bCs w:val="0"/>
                      <w:color w:val="auto"/>
                    </w:rPr>
                    <w:t>193.7mm技术套管封固T1s及以上复杂井段，使用</w:t>
                  </w:r>
                  <w:r>
                    <w:rPr>
                      <w:rFonts w:hint="default" w:ascii="Times New Roman" w:hAnsi="Times New Roman" w:eastAsia="宋体" w:cs="Times New Roman"/>
                      <w:b w:val="0"/>
                      <w:bCs w:val="0"/>
                      <w:color w:val="auto"/>
                    </w:rPr>
                    <w:t>Ф</w:t>
                  </w:r>
                  <w:r>
                    <w:rPr>
                      <w:rFonts w:hint="eastAsia" w:ascii="Times New Roman" w:hAnsi="Times New Roman" w:eastAsia="宋体" w:cs="Times New Roman"/>
                      <w:b w:val="0"/>
                      <w:bCs w:val="0"/>
                      <w:color w:val="auto"/>
                    </w:rPr>
                    <w:t>168mm钻头三开，下入</w:t>
                  </w:r>
                  <w:r>
                    <w:rPr>
                      <w:rFonts w:hint="default" w:ascii="Times New Roman" w:hAnsi="Times New Roman" w:eastAsia="宋体" w:cs="Times New Roman"/>
                      <w:b w:val="0"/>
                      <w:bCs w:val="0"/>
                      <w:color w:val="auto"/>
                    </w:rPr>
                    <w:t>Ф</w:t>
                  </w:r>
                  <w:r>
                    <w:rPr>
                      <w:rFonts w:hint="eastAsia" w:ascii="Times New Roman" w:hAnsi="Times New Roman" w:eastAsia="宋体" w:cs="Times New Roman"/>
                      <w:b w:val="0"/>
                      <w:bCs w:val="0"/>
                      <w:color w:val="auto"/>
                    </w:rPr>
                    <w:t>139.7/</w:t>
                  </w:r>
                  <w:r>
                    <w:rPr>
                      <w:rFonts w:hint="default" w:ascii="Times New Roman" w:hAnsi="Times New Roman" w:eastAsia="宋体" w:cs="Times New Roman"/>
                      <w:b w:val="0"/>
                      <w:bCs w:val="0"/>
                      <w:color w:val="auto"/>
                    </w:rPr>
                    <w:t>Ф</w:t>
                  </w:r>
                  <w:r>
                    <w:rPr>
                      <w:rFonts w:hint="eastAsia" w:ascii="Times New Roman" w:hAnsi="Times New Roman" w:eastAsia="宋体" w:cs="Times New Roman"/>
                      <w:b w:val="0"/>
                      <w:bCs w:val="0"/>
                      <w:color w:val="auto"/>
                    </w:rPr>
                    <w:t>127mm复合套管完井。</w:t>
                  </w:r>
                </w:p>
              </w:tc>
            </w:tr>
          </w:tbl>
          <w:p w14:paraId="4D627FAA">
            <w:pPr>
              <w:widowControl w:val="0"/>
              <w:kinsoku/>
              <w:jc w:val="center"/>
              <w:rPr>
                <w:rFonts w:hint="default" w:ascii="Times New Roman" w:hAnsi="Times New Roman" w:eastAsia="宋体" w:cs="Times New Roman"/>
                <w:b/>
                <w:bCs/>
                <w:color w:val="auto"/>
                <w:sz w:val="24"/>
                <w:szCs w:val="24"/>
                <w:lang w:eastAsia="zh-CN"/>
              </w:rPr>
            </w:pPr>
          </w:p>
          <w:p w14:paraId="0DF4ECDF">
            <w:pPr>
              <w:widowControl w:val="0"/>
              <w:kinsoku/>
              <w:jc w:val="center"/>
              <w:rPr>
                <w:rFonts w:hint="default" w:ascii="Times New Roman" w:hAnsi="Times New Roman" w:eastAsia="宋体" w:cs="Times New Roman"/>
                <w:b/>
                <w:bCs/>
                <w:color w:val="auto"/>
                <w:sz w:val="24"/>
                <w:szCs w:val="24"/>
                <w:lang w:eastAsia="zh-CN"/>
              </w:rPr>
            </w:pPr>
            <w:r>
              <w:rPr>
                <w:color w:val="auto"/>
              </w:rPr>
              <w:drawing>
                <wp:inline distT="0" distB="0" distL="114300" distR="114300">
                  <wp:extent cx="5781675" cy="765810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5781675" cy="7658100"/>
                          </a:xfrm>
                          <a:prstGeom prst="rect">
                            <a:avLst/>
                          </a:prstGeom>
                          <a:noFill/>
                          <a:ln>
                            <a:noFill/>
                          </a:ln>
                        </pic:spPr>
                      </pic:pic>
                    </a:graphicData>
                  </a:graphic>
                </wp:inline>
              </w:drawing>
            </w:r>
          </w:p>
          <w:p w14:paraId="082FD94B">
            <w:pPr>
              <w:pStyle w:val="23"/>
              <w:widowControl w:val="0"/>
              <w:kinsoku/>
              <w:spacing w:before="152" w:line="228" w:lineRule="auto"/>
              <w:ind w:left="3204"/>
              <w:jc w:val="both"/>
              <w:rPr>
                <w:rFonts w:hint="default" w:ascii="Times New Roman" w:hAnsi="Times New Roman" w:eastAsia="宋体" w:cs="Times New Roman"/>
                <w:b/>
                <w:bCs/>
                <w:color w:val="auto"/>
                <w:spacing w:val="4"/>
                <w:lang w:eastAsia="zh-CN"/>
              </w:rPr>
            </w:pPr>
            <w:r>
              <w:rPr>
                <w:rFonts w:hint="default" w:ascii="Times New Roman" w:hAnsi="Times New Roman" w:eastAsia="宋体" w:cs="Times New Roman"/>
                <w:b/>
                <w:bCs/>
                <w:color w:val="auto"/>
                <w:spacing w:val="4"/>
                <w:lang w:eastAsia="zh-CN"/>
              </w:rPr>
              <w:t>图2-1 井身结构示意图</w:t>
            </w:r>
          </w:p>
          <w:p w14:paraId="22153A94">
            <w:pPr>
              <w:pStyle w:val="23"/>
              <w:widowControl w:val="0"/>
              <w:kinsoku/>
              <w:spacing w:line="240" w:lineRule="atLeast"/>
              <w:jc w:val="both"/>
              <w:rPr>
                <w:rFonts w:hint="default" w:ascii="Times New Roman" w:hAnsi="Times New Roman" w:eastAsia="宋体" w:cs="Times New Roman"/>
                <w:color w:val="auto"/>
                <w:lang w:eastAsia="zh-CN"/>
              </w:rPr>
            </w:pPr>
          </w:p>
          <w:p w14:paraId="2EAFC127">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5.主要设备</w:t>
            </w:r>
          </w:p>
          <w:p w14:paraId="2791C3C5">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本项目单个钻井工程主要设备见下表2-7，单个钻井试油工程主要设备见下表2-8，储层改造设备见表2-9。</w:t>
            </w:r>
          </w:p>
          <w:p w14:paraId="1E1024CD">
            <w:pPr>
              <w:widowControl w:val="0"/>
              <w:kinsoku/>
              <w:spacing w:line="500" w:lineRule="exact"/>
              <w:jc w:val="center"/>
              <w:rPr>
                <w:rFonts w:hint="default" w:ascii="Times New Roman" w:hAnsi="Times New Roman" w:eastAsia="宋体" w:cs="Times New Roman"/>
                <w:b/>
                <w:bCs/>
                <w:color w:val="auto"/>
                <w:spacing w:val="5"/>
                <w:kern w:val="2"/>
                <w:lang w:eastAsia="zh-CN"/>
              </w:rPr>
            </w:pPr>
            <w:r>
              <w:rPr>
                <w:rFonts w:hint="default" w:ascii="Times New Roman" w:hAnsi="Times New Roman" w:eastAsia="宋体" w:cs="Times New Roman"/>
                <w:b/>
                <w:bCs/>
                <w:color w:val="auto"/>
                <w:spacing w:val="5"/>
                <w:kern w:val="2"/>
                <w:lang w:eastAsia="zh-CN"/>
              </w:rPr>
              <w:t>表2-7 单个钻井工程主要设备</w:t>
            </w:r>
          </w:p>
          <w:tbl>
            <w:tblPr>
              <w:tblStyle w:val="17"/>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36"/>
              <w:gridCol w:w="1137"/>
              <w:gridCol w:w="1390"/>
              <w:gridCol w:w="2281"/>
              <w:gridCol w:w="998"/>
              <w:gridCol w:w="637"/>
              <w:gridCol w:w="2043"/>
            </w:tblGrid>
            <w:tr w14:paraId="43CFFF01">
              <w:trPr>
                <w:cantSplit/>
                <w:trHeight w:val="453"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3A3BE39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385" w:type="pct"/>
                  <w:gridSpan w:val="2"/>
                  <w:tcBorders>
                    <w:top w:val="single" w:color="auto" w:sz="4" w:space="0"/>
                    <w:left w:val="single" w:color="auto" w:sz="4" w:space="0"/>
                    <w:bottom w:val="single" w:color="auto" w:sz="4" w:space="0"/>
                    <w:right w:val="single" w:color="auto" w:sz="4" w:space="0"/>
                  </w:tcBorders>
                  <w:vAlign w:val="center"/>
                </w:tcPr>
                <w:p w14:paraId="1DCA92F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    称</w:t>
                  </w:r>
                </w:p>
              </w:tc>
              <w:tc>
                <w:tcPr>
                  <w:tcW w:w="1250" w:type="pct"/>
                  <w:tcBorders>
                    <w:top w:val="single" w:color="auto" w:sz="4" w:space="0"/>
                    <w:left w:val="single" w:color="auto" w:sz="4" w:space="0"/>
                    <w:bottom w:val="single" w:color="auto" w:sz="4" w:space="0"/>
                    <w:right w:val="single" w:color="auto" w:sz="4" w:space="0"/>
                  </w:tcBorders>
                  <w:vAlign w:val="center"/>
                </w:tcPr>
                <w:p w14:paraId="3FA85FC0">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 号</w:t>
                  </w:r>
                </w:p>
              </w:tc>
              <w:tc>
                <w:tcPr>
                  <w:tcW w:w="547" w:type="pct"/>
                  <w:tcBorders>
                    <w:top w:val="single" w:color="auto" w:sz="4" w:space="0"/>
                    <w:left w:val="single" w:color="auto" w:sz="4" w:space="0"/>
                    <w:bottom w:val="single" w:color="auto" w:sz="4" w:space="0"/>
                    <w:right w:val="single" w:color="auto" w:sz="4" w:space="0"/>
                  </w:tcBorders>
                  <w:vAlign w:val="center"/>
                </w:tcPr>
                <w:p w14:paraId="6EA24EC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w:t>
                  </w:r>
                </w:p>
              </w:tc>
              <w:tc>
                <w:tcPr>
                  <w:tcW w:w="349" w:type="pct"/>
                  <w:tcBorders>
                    <w:top w:val="single" w:color="auto" w:sz="4" w:space="0"/>
                    <w:left w:val="single" w:color="auto" w:sz="4" w:space="0"/>
                    <w:bottom w:val="single" w:color="auto" w:sz="4" w:space="0"/>
                    <w:right w:val="single" w:color="auto" w:sz="4" w:space="0"/>
                  </w:tcBorders>
                  <w:vAlign w:val="center"/>
                </w:tcPr>
                <w:p w14:paraId="0D958D00">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1117" w:type="pct"/>
                  <w:tcBorders>
                    <w:top w:val="single" w:color="auto" w:sz="4" w:space="0"/>
                    <w:left w:val="single" w:color="auto" w:sz="4" w:space="0"/>
                    <w:bottom w:val="single" w:color="auto" w:sz="4" w:space="0"/>
                    <w:right w:val="single" w:color="auto" w:sz="4" w:space="0"/>
                  </w:tcBorders>
                  <w:vAlign w:val="center"/>
                </w:tcPr>
                <w:p w14:paraId="2F961D2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  注</w:t>
                  </w:r>
                </w:p>
              </w:tc>
            </w:tr>
            <w:tr w14:paraId="04D9D030">
              <w:trPr>
                <w:cantSplit/>
                <w:trHeight w:val="453"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306DC08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385" w:type="pct"/>
                  <w:gridSpan w:val="2"/>
                  <w:tcBorders>
                    <w:top w:val="single" w:color="auto" w:sz="4" w:space="0"/>
                    <w:left w:val="single" w:color="auto" w:sz="4" w:space="0"/>
                    <w:bottom w:val="single" w:color="auto" w:sz="4" w:space="0"/>
                    <w:right w:val="single" w:color="auto" w:sz="4" w:space="0"/>
                  </w:tcBorders>
                  <w:vAlign w:val="center"/>
                </w:tcPr>
                <w:p w14:paraId="7AC695CE">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    机</w:t>
                  </w:r>
                </w:p>
              </w:tc>
              <w:tc>
                <w:tcPr>
                  <w:tcW w:w="1250" w:type="pct"/>
                  <w:tcBorders>
                    <w:top w:val="single" w:color="auto" w:sz="4" w:space="0"/>
                    <w:left w:val="single" w:color="auto" w:sz="4" w:space="0"/>
                    <w:bottom w:val="single" w:color="auto" w:sz="4" w:space="0"/>
                    <w:right w:val="single" w:color="auto" w:sz="4" w:space="0"/>
                  </w:tcBorders>
                  <w:vAlign w:val="center"/>
                </w:tcPr>
                <w:p w14:paraId="64F6876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ZJ50</w:t>
                  </w:r>
                </w:p>
              </w:tc>
              <w:tc>
                <w:tcPr>
                  <w:tcW w:w="547" w:type="pct"/>
                  <w:tcBorders>
                    <w:top w:val="single" w:color="auto" w:sz="4" w:space="0"/>
                    <w:left w:val="single" w:color="auto" w:sz="4" w:space="0"/>
                    <w:bottom w:val="single" w:color="auto" w:sz="4" w:space="0"/>
                    <w:right w:val="single" w:color="auto" w:sz="4" w:space="0"/>
                  </w:tcBorders>
                  <w:vAlign w:val="center"/>
                </w:tcPr>
                <w:p w14:paraId="447CFC3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3150kN</w:t>
                  </w:r>
                </w:p>
              </w:tc>
              <w:tc>
                <w:tcPr>
                  <w:tcW w:w="349" w:type="pct"/>
                  <w:tcBorders>
                    <w:top w:val="single" w:color="auto" w:sz="4" w:space="0"/>
                    <w:left w:val="single" w:color="auto" w:sz="4" w:space="0"/>
                    <w:bottom w:val="single" w:color="auto" w:sz="4" w:space="0"/>
                    <w:right w:val="single" w:color="auto" w:sz="4" w:space="0"/>
                  </w:tcBorders>
                  <w:vAlign w:val="center"/>
                </w:tcPr>
                <w:p w14:paraId="044D5E7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599A296B">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74AA210E">
              <w:trPr>
                <w:cantSplit/>
                <w:trHeight w:val="453"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06A285D7">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385" w:type="pct"/>
                  <w:gridSpan w:val="2"/>
                  <w:tcBorders>
                    <w:top w:val="single" w:color="auto" w:sz="4" w:space="0"/>
                    <w:left w:val="single" w:color="auto" w:sz="4" w:space="0"/>
                    <w:bottom w:val="nil"/>
                    <w:right w:val="single" w:color="auto" w:sz="4" w:space="0"/>
                  </w:tcBorders>
                  <w:vAlign w:val="center"/>
                </w:tcPr>
                <w:p w14:paraId="287ECD0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   架</w:t>
                  </w:r>
                </w:p>
              </w:tc>
              <w:tc>
                <w:tcPr>
                  <w:tcW w:w="1250" w:type="pct"/>
                  <w:tcBorders>
                    <w:top w:val="single" w:color="auto" w:sz="4" w:space="0"/>
                    <w:left w:val="single" w:color="auto" w:sz="4" w:space="0"/>
                    <w:bottom w:val="single" w:color="auto" w:sz="4" w:space="0"/>
                    <w:right w:val="single" w:color="auto" w:sz="4" w:space="0"/>
                  </w:tcBorders>
                  <w:vAlign w:val="center"/>
                </w:tcPr>
                <w:p w14:paraId="2C051E7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JJ-315</w:t>
                  </w:r>
                </w:p>
              </w:tc>
              <w:tc>
                <w:tcPr>
                  <w:tcW w:w="547" w:type="pct"/>
                  <w:tcBorders>
                    <w:top w:val="single" w:color="auto" w:sz="4" w:space="0"/>
                    <w:left w:val="single" w:color="auto" w:sz="4" w:space="0"/>
                    <w:bottom w:val="single" w:color="auto" w:sz="4" w:space="0"/>
                    <w:right w:val="single" w:color="auto" w:sz="4" w:space="0"/>
                  </w:tcBorders>
                  <w:vAlign w:val="center"/>
                </w:tcPr>
                <w:p w14:paraId="78B8327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3150kN</w:t>
                  </w:r>
                </w:p>
              </w:tc>
              <w:tc>
                <w:tcPr>
                  <w:tcW w:w="349" w:type="pct"/>
                  <w:tcBorders>
                    <w:top w:val="single" w:color="auto" w:sz="4" w:space="0"/>
                    <w:left w:val="single" w:color="auto" w:sz="4" w:space="0"/>
                    <w:bottom w:val="single" w:color="auto" w:sz="4" w:space="0"/>
                    <w:right w:val="single" w:color="auto" w:sz="4" w:space="0"/>
                  </w:tcBorders>
                  <w:vAlign w:val="center"/>
                </w:tcPr>
                <w:p w14:paraId="3CACF62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58E1F72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净空高度：≥6.1m</w:t>
                  </w:r>
                </w:p>
              </w:tc>
            </w:tr>
            <w:tr w14:paraId="3CB31F2C">
              <w:trPr>
                <w:cantSplit/>
                <w:trHeight w:val="453" w:hRule="atLeast"/>
                <w:jc w:val="center"/>
              </w:trPr>
              <w:tc>
                <w:tcPr>
                  <w:tcW w:w="349" w:type="pct"/>
                  <w:vMerge w:val="restart"/>
                  <w:tcBorders>
                    <w:top w:val="single" w:color="auto" w:sz="4" w:space="0"/>
                    <w:left w:val="single" w:color="auto" w:sz="4" w:space="0"/>
                    <w:bottom w:val="single" w:color="auto" w:sz="4" w:space="0"/>
                    <w:right w:val="single" w:color="auto" w:sz="4" w:space="0"/>
                  </w:tcBorders>
                  <w:vAlign w:val="center"/>
                </w:tcPr>
                <w:p w14:paraId="7D469DFE">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623" w:type="pct"/>
                  <w:vMerge w:val="restart"/>
                  <w:tcBorders>
                    <w:top w:val="single" w:color="auto" w:sz="4" w:space="0"/>
                    <w:left w:val="single" w:color="auto" w:sz="4" w:space="0"/>
                    <w:bottom w:val="single" w:color="auto" w:sz="4" w:space="0"/>
                    <w:right w:val="single" w:color="auto" w:sz="4" w:space="0"/>
                  </w:tcBorders>
                  <w:vAlign w:val="center"/>
                </w:tcPr>
                <w:p w14:paraId="328DEDD7">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提升</w:t>
                  </w:r>
                </w:p>
                <w:p w14:paraId="35453ED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系统</w:t>
                  </w:r>
                </w:p>
              </w:tc>
              <w:tc>
                <w:tcPr>
                  <w:tcW w:w="761" w:type="pct"/>
                  <w:tcBorders>
                    <w:top w:val="single" w:color="auto" w:sz="4" w:space="0"/>
                    <w:left w:val="single" w:color="auto" w:sz="4" w:space="0"/>
                    <w:bottom w:val="single" w:color="auto" w:sz="4" w:space="0"/>
                    <w:right w:val="single" w:color="auto" w:sz="4" w:space="0"/>
                  </w:tcBorders>
                  <w:vAlign w:val="center"/>
                </w:tcPr>
                <w:p w14:paraId="54C552E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绞  车</w:t>
                  </w:r>
                </w:p>
              </w:tc>
              <w:tc>
                <w:tcPr>
                  <w:tcW w:w="1250" w:type="pct"/>
                  <w:tcBorders>
                    <w:top w:val="single" w:color="auto" w:sz="4" w:space="0"/>
                    <w:left w:val="single" w:color="auto" w:sz="4" w:space="0"/>
                    <w:bottom w:val="single" w:color="auto" w:sz="4" w:space="0"/>
                    <w:right w:val="single" w:color="auto" w:sz="4" w:space="0"/>
                  </w:tcBorders>
                  <w:vAlign w:val="center"/>
                </w:tcPr>
                <w:p w14:paraId="086CECE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JC-50</w:t>
                  </w:r>
                </w:p>
              </w:tc>
              <w:tc>
                <w:tcPr>
                  <w:tcW w:w="547" w:type="pct"/>
                  <w:tcBorders>
                    <w:top w:val="single" w:color="auto" w:sz="4" w:space="0"/>
                    <w:left w:val="single" w:color="auto" w:sz="4" w:space="0"/>
                    <w:bottom w:val="single" w:color="auto" w:sz="4" w:space="0"/>
                    <w:right w:val="single" w:color="auto" w:sz="4" w:space="0"/>
                  </w:tcBorders>
                  <w:vAlign w:val="center"/>
                </w:tcPr>
                <w:p w14:paraId="011CC3A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1100kW</w:t>
                  </w:r>
                </w:p>
              </w:tc>
              <w:tc>
                <w:tcPr>
                  <w:tcW w:w="349" w:type="pct"/>
                  <w:tcBorders>
                    <w:top w:val="single" w:color="auto" w:sz="4" w:space="0"/>
                    <w:left w:val="single" w:color="auto" w:sz="4" w:space="0"/>
                    <w:bottom w:val="single" w:color="auto" w:sz="4" w:space="0"/>
                    <w:right w:val="single" w:color="auto" w:sz="4" w:space="0"/>
                  </w:tcBorders>
                  <w:vAlign w:val="center"/>
                </w:tcPr>
                <w:p w14:paraId="024F580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1F43FD83">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72B2937F">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62CD1A90">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49511FB8">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68D0F62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  车</w:t>
                  </w:r>
                </w:p>
              </w:tc>
              <w:tc>
                <w:tcPr>
                  <w:tcW w:w="1250" w:type="pct"/>
                  <w:tcBorders>
                    <w:top w:val="single" w:color="auto" w:sz="4" w:space="0"/>
                    <w:left w:val="single" w:color="auto" w:sz="4" w:space="0"/>
                    <w:bottom w:val="single" w:color="auto" w:sz="4" w:space="0"/>
                    <w:right w:val="single" w:color="auto" w:sz="4" w:space="0"/>
                  </w:tcBorders>
                  <w:vAlign w:val="center"/>
                </w:tcPr>
                <w:p w14:paraId="7383243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TC-315</w:t>
                  </w:r>
                </w:p>
              </w:tc>
              <w:tc>
                <w:tcPr>
                  <w:tcW w:w="547" w:type="pct"/>
                  <w:tcBorders>
                    <w:top w:val="single" w:color="auto" w:sz="4" w:space="0"/>
                    <w:left w:val="single" w:color="auto" w:sz="4" w:space="0"/>
                    <w:bottom w:val="single" w:color="auto" w:sz="4" w:space="0"/>
                    <w:right w:val="single" w:color="auto" w:sz="4" w:space="0"/>
                  </w:tcBorders>
                  <w:vAlign w:val="center"/>
                </w:tcPr>
                <w:p w14:paraId="221C14A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3150kN</w:t>
                  </w:r>
                </w:p>
              </w:tc>
              <w:tc>
                <w:tcPr>
                  <w:tcW w:w="349" w:type="pct"/>
                  <w:tcBorders>
                    <w:top w:val="single" w:color="auto" w:sz="4" w:space="0"/>
                    <w:left w:val="single" w:color="auto" w:sz="4" w:space="0"/>
                    <w:bottom w:val="single" w:color="auto" w:sz="4" w:space="0"/>
                    <w:right w:val="single" w:color="auto" w:sz="4" w:space="0"/>
                  </w:tcBorders>
                  <w:vAlign w:val="center"/>
                </w:tcPr>
                <w:p w14:paraId="0403B3B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1D1E7EB6">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053D9ED4">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0F654415">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77A300E7">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7F1D4CB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游动滑车</w:t>
                  </w:r>
                </w:p>
              </w:tc>
              <w:tc>
                <w:tcPr>
                  <w:tcW w:w="1250" w:type="pct"/>
                  <w:tcBorders>
                    <w:top w:val="single" w:color="auto" w:sz="4" w:space="0"/>
                    <w:left w:val="single" w:color="auto" w:sz="4" w:space="0"/>
                    <w:bottom w:val="single" w:color="auto" w:sz="4" w:space="0"/>
                    <w:right w:val="single" w:color="auto" w:sz="4" w:space="0"/>
                  </w:tcBorders>
                  <w:vAlign w:val="center"/>
                </w:tcPr>
                <w:p w14:paraId="6A4DD113">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YC-315</w:t>
                  </w:r>
                </w:p>
              </w:tc>
              <w:tc>
                <w:tcPr>
                  <w:tcW w:w="547" w:type="pct"/>
                  <w:tcBorders>
                    <w:top w:val="single" w:color="auto" w:sz="4" w:space="0"/>
                    <w:left w:val="single" w:color="auto" w:sz="4" w:space="0"/>
                    <w:bottom w:val="single" w:color="auto" w:sz="4" w:space="0"/>
                    <w:right w:val="single" w:color="auto" w:sz="4" w:space="0"/>
                  </w:tcBorders>
                  <w:vAlign w:val="center"/>
                </w:tcPr>
                <w:p w14:paraId="05BE034B">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3150kN</w:t>
                  </w:r>
                </w:p>
              </w:tc>
              <w:tc>
                <w:tcPr>
                  <w:tcW w:w="349" w:type="pct"/>
                  <w:tcBorders>
                    <w:top w:val="single" w:color="auto" w:sz="4" w:space="0"/>
                    <w:left w:val="single" w:color="auto" w:sz="4" w:space="0"/>
                    <w:bottom w:val="single" w:color="auto" w:sz="4" w:space="0"/>
                    <w:right w:val="single" w:color="auto" w:sz="4" w:space="0"/>
                  </w:tcBorders>
                  <w:vAlign w:val="center"/>
                </w:tcPr>
                <w:p w14:paraId="0E533EC3">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370E39F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7FDAF724">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59B08DB1">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1BABAB9D">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25D2562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  钩</w:t>
                  </w:r>
                </w:p>
              </w:tc>
              <w:tc>
                <w:tcPr>
                  <w:tcW w:w="1250" w:type="pct"/>
                  <w:tcBorders>
                    <w:top w:val="single" w:color="auto" w:sz="4" w:space="0"/>
                    <w:left w:val="single" w:color="auto" w:sz="4" w:space="0"/>
                    <w:bottom w:val="single" w:color="auto" w:sz="4" w:space="0"/>
                    <w:right w:val="single" w:color="auto" w:sz="4" w:space="0"/>
                  </w:tcBorders>
                  <w:vAlign w:val="center"/>
                </w:tcPr>
                <w:p w14:paraId="0342548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YG-315</w:t>
                  </w:r>
                </w:p>
              </w:tc>
              <w:tc>
                <w:tcPr>
                  <w:tcW w:w="547" w:type="pct"/>
                  <w:tcBorders>
                    <w:top w:val="single" w:color="auto" w:sz="4" w:space="0"/>
                    <w:left w:val="single" w:color="auto" w:sz="4" w:space="0"/>
                    <w:bottom w:val="single" w:color="auto" w:sz="4" w:space="0"/>
                    <w:right w:val="single" w:color="auto" w:sz="4" w:space="0"/>
                  </w:tcBorders>
                  <w:vAlign w:val="center"/>
                </w:tcPr>
                <w:p w14:paraId="6707A86B">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3150kN</w:t>
                  </w:r>
                </w:p>
              </w:tc>
              <w:tc>
                <w:tcPr>
                  <w:tcW w:w="349" w:type="pct"/>
                  <w:tcBorders>
                    <w:top w:val="single" w:color="auto" w:sz="4" w:space="0"/>
                    <w:left w:val="single" w:color="auto" w:sz="4" w:space="0"/>
                    <w:bottom w:val="single" w:color="auto" w:sz="4" w:space="0"/>
                    <w:right w:val="single" w:color="auto" w:sz="4" w:space="0"/>
                  </w:tcBorders>
                  <w:vAlign w:val="center"/>
                </w:tcPr>
                <w:p w14:paraId="4E4FBDDB">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45914E3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4DE54550">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122DF5E1">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2964669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19761F0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水龙头</w:t>
                  </w:r>
                </w:p>
              </w:tc>
              <w:tc>
                <w:tcPr>
                  <w:tcW w:w="1250" w:type="pct"/>
                  <w:tcBorders>
                    <w:top w:val="single" w:color="auto" w:sz="4" w:space="0"/>
                    <w:left w:val="single" w:color="auto" w:sz="4" w:space="0"/>
                    <w:bottom w:val="single" w:color="auto" w:sz="4" w:space="0"/>
                    <w:right w:val="single" w:color="auto" w:sz="4" w:space="0"/>
                  </w:tcBorders>
                  <w:vAlign w:val="center"/>
                </w:tcPr>
                <w:p w14:paraId="48A81AFB">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SL-450</w:t>
                  </w:r>
                </w:p>
              </w:tc>
              <w:tc>
                <w:tcPr>
                  <w:tcW w:w="547" w:type="pct"/>
                  <w:tcBorders>
                    <w:top w:val="single" w:color="auto" w:sz="4" w:space="0"/>
                    <w:left w:val="single" w:color="auto" w:sz="4" w:space="0"/>
                    <w:bottom w:val="single" w:color="auto" w:sz="4" w:space="0"/>
                    <w:right w:val="single" w:color="auto" w:sz="4" w:space="0"/>
                  </w:tcBorders>
                  <w:vAlign w:val="center"/>
                </w:tcPr>
                <w:p w14:paraId="6AE1BD2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52MPa</w:t>
                  </w:r>
                </w:p>
              </w:tc>
              <w:tc>
                <w:tcPr>
                  <w:tcW w:w="349" w:type="pct"/>
                  <w:tcBorders>
                    <w:top w:val="single" w:color="auto" w:sz="4" w:space="0"/>
                    <w:left w:val="single" w:color="auto" w:sz="4" w:space="0"/>
                    <w:bottom w:val="single" w:color="auto" w:sz="4" w:space="0"/>
                    <w:right w:val="single" w:color="auto" w:sz="4" w:space="0"/>
                  </w:tcBorders>
                  <w:vAlign w:val="center"/>
                </w:tcPr>
                <w:p w14:paraId="788DECF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70AB8DC8">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079EBE91">
              <w:trPr>
                <w:cantSplit/>
                <w:trHeight w:val="453"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2DFF081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w:t>
                  </w:r>
                </w:p>
              </w:tc>
              <w:tc>
                <w:tcPr>
                  <w:tcW w:w="1385" w:type="pct"/>
                  <w:gridSpan w:val="2"/>
                  <w:tcBorders>
                    <w:top w:val="single" w:color="auto" w:sz="4" w:space="0"/>
                    <w:left w:val="single" w:color="auto" w:sz="4" w:space="0"/>
                    <w:bottom w:val="single" w:color="auto" w:sz="4" w:space="0"/>
                    <w:right w:val="single" w:color="auto" w:sz="4" w:space="0"/>
                  </w:tcBorders>
                  <w:vAlign w:val="center"/>
                </w:tcPr>
                <w:p w14:paraId="323562B6">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顶部驱动装置</w:t>
                  </w:r>
                </w:p>
              </w:tc>
              <w:tc>
                <w:tcPr>
                  <w:tcW w:w="1250" w:type="pct"/>
                  <w:tcBorders>
                    <w:top w:val="single" w:color="auto" w:sz="4" w:space="0"/>
                    <w:left w:val="single" w:color="auto" w:sz="4" w:space="0"/>
                    <w:bottom w:val="single" w:color="auto" w:sz="4" w:space="0"/>
                    <w:right w:val="single" w:color="auto" w:sz="4" w:space="0"/>
                  </w:tcBorders>
                  <w:vAlign w:val="center"/>
                </w:tcPr>
                <w:p w14:paraId="4E6BB2A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547" w:type="pct"/>
                  <w:tcBorders>
                    <w:top w:val="single" w:color="auto" w:sz="4" w:space="0"/>
                    <w:left w:val="single" w:color="auto" w:sz="4" w:space="0"/>
                    <w:bottom w:val="single" w:color="auto" w:sz="4" w:space="0"/>
                    <w:right w:val="single" w:color="auto" w:sz="4" w:space="0"/>
                  </w:tcBorders>
                  <w:vAlign w:val="center"/>
                </w:tcPr>
                <w:p w14:paraId="378052DE">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349" w:type="pct"/>
                  <w:tcBorders>
                    <w:top w:val="single" w:color="auto" w:sz="4" w:space="0"/>
                    <w:left w:val="single" w:color="auto" w:sz="4" w:space="0"/>
                    <w:bottom w:val="single" w:color="auto" w:sz="4" w:space="0"/>
                    <w:right w:val="single" w:color="auto" w:sz="4" w:space="0"/>
                  </w:tcBorders>
                  <w:vAlign w:val="center"/>
                </w:tcPr>
                <w:p w14:paraId="547E213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1117" w:type="pct"/>
                  <w:tcBorders>
                    <w:top w:val="single" w:color="auto" w:sz="4" w:space="0"/>
                    <w:left w:val="single" w:color="auto" w:sz="4" w:space="0"/>
                    <w:bottom w:val="single" w:color="auto" w:sz="4" w:space="0"/>
                    <w:right w:val="single" w:color="auto" w:sz="4" w:space="0"/>
                  </w:tcBorders>
                  <w:vAlign w:val="center"/>
                </w:tcPr>
                <w:p w14:paraId="3D92A87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b/>
                      <w:bCs/>
                      <w:color w:val="auto"/>
                      <w:sz w:val="21"/>
                      <w:szCs w:val="21"/>
                    </w:rPr>
                  </w:pPr>
                </w:p>
              </w:tc>
            </w:tr>
            <w:tr w14:paraId="08031838">
              <w:trPr>
                <w:cantSplit/>
                <w:trHeight w:val="453"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433B81A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w:t>
                  </w:r>
                </w:p>
              </w:tc>
              <w:tc>
                <w:tcPr>
                  <w:tcW w:w="1385" w:type="pct"/>
                  <w:gridSpan w:val="2"/>
                  <w:tcBorders>
                    <w:top w:val="single" w:color="auto" w:sz="4" w:space="0"/>
                    <w:left w:val="single" w:color="auto" w:sz="4" w:space="0"/>
                    <w:bottom w:val="single" w:color="auto" w:sz="4" w:space="0"/>
                    <w:right w:val="single" w:color="auto" w:sz="4" w:space="0"/>
                  </w:tcBorders>
                  <w:vAlign w:val="center"/>
                </w:tcPr>
                <w:p w14:paraId="740D341B">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转盘</w:t>
                  </w:r>
                </w:p>
              </w:tc>
              <w:tc>
                <w:tcPr>
                  <w:tcW w:w="1250" w:type="pct"/>
                  <w:tcBorders>
                    <w:top w:val="single" w:color="auto" w:sz="4" w:space="0"/>
                    <w:left w:val="single" w:color="auto" w:sz="4" w:space="0"/>
                    <w:bottom w:val="single" w:color="auto" w:sz="4" w:space="0"/>
                    <w:right w:val="single" w:color="auto" w:sz="4" w:space="0"/>
                  </w:tcBorders>
                  <w:vAlign w:val="center"/>
                </w:tcPr>
                <w:p w14:paraId="5773225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ZP-375</w:t>
                  </w:r>
                </w:p>
              </w:tc>
              <w:tc>
                <w:tcPr>
                  <w:tcW w:w="547" w:type="pct"/>
                  <w:tcBorders>
                    <w:top w:val="single" w:color="auto" w:sz="4" w:space="0"/>
                    <w:left w:val="single" w:color="auto" w:sz="4" w:space="0"/>
                    <w:bottom w:val="single" w:color="auto" w:sz="4" w:space="0"/>
                    <w:right w:val="single" w:color="auto" w:sz="4" w:space="0"/>
                  </w:tcBorders>
                  <w:vAlign w:val="center"/>
                </w:tcPr>
                <w:p w14:paraId="66AD0B1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5850kN</w:t>
                  </w:r>
                </w:p>
              </w:tc>
              <w:tc>
                <w:tcPr>
                  <w:tcW w:w="349" w:type="pct"/>
                  <w:tcBorders>
                    <w:top w:val="single" w:color="auto" w:sz="4" w:space="0"/>
                    <w:left w:val="single" w:color="auto" w:sz="4" w:space="0"/>
                    <w:bottom w:val="single" w:color="auto" w:sz="4" w:space="0"/>
                    <w:right w:val="single" w:color="auto" w:sz="4" w:space="0"/>
                  </w:tcBorders>
                  <w:vAlign w:val="center"/>
                </w:tcPr>
                <w:p w14:paraId="7E2AA16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39BF8B3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6275B4BD">
              <w:trPr>
                <w:cantSplit/>
                <w:trHeight w:val="453" w:hRule="atLeast"/>
                <w:jc w:val="center"/>
              </w:trPr>
              <w:tc>
                <w:tcPr>
                  <w:tcW w:w="349" w:type="pct"/>
                  <w:vMerge w:val="restart"/>
                  <w:tcBorders>
                    <w:top w:val="single" w:color="auto" w:sz="4" w:space="0"/>
                    <w:left w:val="single" w:color="auto" w:sz="4" w:space="0"/>
                    <w:bottom w:val="single" w:color="auto" w:sz="4" w:space="0"/>
                    <w:right w:val="single" w:color="auto" w:sz="4" w:space="0"/>
                  </w:tcBorders>
                  <w:vAlign w:val="center"/>
                </w:tcPr>
                <w:p w14:paraId="7CBE5573">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w:t>
                  </w:r>
                </w:p>
              </w:tc>
              <w:tc>
                <w:tcPr>
                  <w:tcW w:w="623" w:type="pct"/>
                  <w:vMerge w:val="restart"/>
                  <w:tcBorders>
                    <w:top w:val="single" w:color="auto" w:sz="4" w:space="0"/>
                    <w:left w:val="single" w:color="auto" w:sz="4" w:space="0"/>
                    <w:bottom w:val="single" w:color="auto" w:sz="4" w:space="0"/>
                    <w:right w:val="single" w:color="auto" w:sz="4" w:space="0"/>
                  </w:tcBorders>
                  <w:vAlign w:val="center"/>
                </w:tcPr>
                <w:p w14:paraId="4DF595EE">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w:t>
                  </w:r>
                </w:p>
                <w:p w14:paraId="0A9AA09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系统</w:t>
                  </w:r>
                </w:p>
              </w:tc>
              <w:tc>
                <w:tcPr>
                  <w:tcW w:w="761" w:type="pct"/>
                  <w:tcBorders>
                    <w:top w:val="single" w:color="auto" w:sz="4" w:space="0"/>
                    <w:left w:val="single" w:color="auto" w:sz="4" w:space="0"/>
                    <w:bottom w:val="single" w:color="auto" w:sz="4" w:space="0"/>
                    <w:right w:val="single" w:color="auto" w:sz="4" w:space="0"/>
                  </w:tcBorders>
                  <w:vAlign w:val="center"/>
                </w:tcPr>
                <w:p w14:paraId="4CAB6537">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钻井泵 1#</w:t>
                  </w:r>
                </w:p>
              </w:tc>
              <w:tc>
                <w:tcPr>
                  <w:tcW w:w="1250" w:type="pct"/>
                  <w:tcBorders>
                    <w:top w:val="single" w:color="auto" w:sz="4" w:space="0"/>
                    <w:left w:val="single" w:color="auto" w:sz="4" w:space="0"/>
                    <w:bottom w:val="single" w:color="auto" w:sz="4" w:space="0"/>
                    <w:right w:val="single" w:color="auto" w:sz="4" w:space="0"/>
                  </w:tcBorders>
                  <w:vAlign w:val="center"/>
                </w:tcPr>
                <w:p w14:paraId="549FBD8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F-1600HL</w:t>
                  </w:r>
                </w:p>
              </w:tc>
              <w:tc>
                <w:tcPr>
                  <w:tcW w:w="547" w:type="pct"/>
                  <w:tcBorders>
                    <w:top w:val="single" w:color="auto" w:sz="4" w:space="0"/>
                    <w:left w:val="single" w:color="auto" w:sz="4" w:space="0"/>
                    <w:bottom w:val="single" w:color="auto" w:sz="4" w:space="0"/>
                    <w:right w:val="single" w:color="auto" w:sz="4" w:space="0"/>
                  </w:tcBorders>
                  <w:vAlign w:val="center"/>
                </w:tcPr>
                <w:p w14:paraId="0B4B96DB">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1193kW</w:t>
                  </w:r>
                </w:p>
              </w:tc>
              <w:tc>
                <w:tcPr>
                  <w:tcW w:w="349" w:type="pct"/>
                  <w:tcBorders>
                    <w:top w:val="single" w:color="auto" w:sz="4" w:space="0"/>
                    <w:left w:val="single" w:color="auto" w:sz="4" w:space="0"/>
                    <w:bottom w:val="single" w:color="auto" w:sz="4" w:space="0"/>
                    <w:right w:val="single" w:color="auto" w:sz="4" w:space="0"/>
                  </w:tcBorders>
                  <w:vAlign w:val="center"/>
                </w:tcPr>
                <w:p w14:paraId="6BFA08E7">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117" w:type="pct"/>
                  <w:tcBorders>
                    <w:top w:val="single" w:color="auto" w:sz="4" w:space="0"/>
                    <w:left w:val="single" w:color="auto" w:sz="4" w:space="0"/>
                    <w:bottom w:val="single" w:color="auto" w:sz="4" w:space="0"/>
                    <w:right w:val="single" w:color="auto" w:sz="4" w:space="0"/>
                  </w:tcBorders>
                  <w:vAlign w:val="center"/>
                </w:tcPr>
                <w:p w14:paraId="33758A66">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6389C670">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301078EC">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398A3C27">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7239D51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钻井泵 2#</w:t>
                  </w:r>
                </w:p>
              </w:tc>
              <w:tc>
                <w:tcPr>
                  <w:tcW w:w="1250" w:type="pct"/>
                  <w:tcBorders>
                    <w:top w:val="single" w:color="auto" w:sz="4" w:space="0"/>
                    <w:left w:val="single" w:color="auto" w:sz="4" w:space="0"/>
                    <w:bottom w:val="single" w:color="auto" w:sz="4" w:space="0"/>
                    <w:right w:val="single" w:color="auto" w:sz="4" w:space="0"/>
                  </w:tcBorders>
                  <w:vAlign w:val="center"/>
                </w:tcPr>
                <w:p w14:paraId="70586DD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F-1600HL</w:t>
                  </w:r>
                </w:p>
              </w:tc>
              <w:tc>
                <w:tcPr>
                  <w:tcW w:w="547" w:type="pct"/>
                  <w:tcBorders>
                    <w:top w:val="single" w:color="auto" w:sz="4" w:space="0"/>
                    <w:left w:val="single" w:color="auto" w:sz="4" w:space="0"/>
                    <w:bottom w:val="single" w:color="auto" w:sz="4" w:space="0"/>
                    <w:right w:val="single" w:color="auto" w:sz="4" w:space="0"/>
                  </w:tcBorders>
                  <w:vAlign w:val="center"/>
                </w:tcPr>
                <w:p w14:paraId="1CB82D9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1193kW</w:t>
                  </w:r>
                </w:p>
              </w:tc>
              <w:tc>
                <w:tcPr>
                  <w:tcW w:w="349" w:type="pct"/>
                  <w:tcBorders>
                    <w:top w:val="single" w:color="auto" w:sz="4" w:space="0"/>
                    <w:left w:val="single" w:color="auto" w:sz="4" w:space="0"/>
                    <w:bottom w:val="single" w:color="auto" w:sz="4" w:space="0"/>
                    <w:right w:val="single" w:color="auto" w:sz="4" w:space="0"/>
                  </w:tcBorders>
                  <w:vAlign w:val="center"/>
                </w:tcPr>
                <w:p w14:paraId="2B74540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117" w:type="pct"/>
                  <w:tcBorders>
                    <w:top w:val="single" w:color="auto" w:sz="4" w:space="0"/>
                    <w:left w:val="single" w:color="auto" w:sz="4" w:space="0"/>
                    <w:bottom w:val="single" w:color="auto" w:sz="4" w:space="0"/>
                    <w:right w:val="single" w:color="auto" w:sz="4" w:space="0"/>
                  </w:tcBorders>
                  <w:vAlign w:val="center"/>
                </w:tcPr>
                <w:p w14:paraId="5B4488D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4AC0E3C4">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0F920A3D">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588301E1">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032F2A9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钻井泵 3#</w:t>
                  </w:r>
                </w:p>
              </w:tc>
              <w:tc>
                <w:tcPr>
                  <w:tcW w:w="1250" w:type="pct"/>
                  <w:tcBorders>
                    <w:top w:val="single" w:color="auto" w:sz="4" w:space="0"/>
                    <w:left w:val="single" w:color="auto" w:sz="4" w:space="0"/>
                    <w:bottom w:val="single" w:color="auto" w:sz="4" w:space="0"/>
                    <w:right w:val="single" w:color="auto" w:sz="4" w:space="0"/>
                  </w:tcBorders>
                  <w:vAlign w:val="center"/>
                </w:tcPr>
                <w:p w14:paraId="04DAEF38">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tcBorders>
                    <w:top w:val="single" w:color="auto" w:sz="4" w:space="0"/>
                    <w:left w:val="single" w:color="auto" w:sz="4" w:space="0"/>
                    <w:bottom w:val="single" w:color="auto" w:sz="4" w:space="0"/>
                    <w:right w:val="single" w:color="auto" w:sz="4" w:space="0"/>
                  </w:tcBorders>
                  <w:vAlign w:val="center"/>
                </w:tcPr>
                <w:p w14:paraId="16085D3E">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349" w:type="pct"/>
                  <w:tcBorders>
                    <w:top w:val="single" w:color="auto" w:sz="4" w:space="0"/>
                    <w:left w:val="single" w:color="auto" w:sz="4" w:space="0"/>
                    <w:bottom w:val="single" w:color="auto" w:sz="4" w:space="0"/>
                    <w:right w:val="single" w:color="auto" w:sz="4" w:space="0"/>
                  </w:tcBorders>
                  <w:vAlign w:val="center"/>
                </w:tcPr>
                <w:p w14:paraId="1FFD76C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1117" w:type="pct"/>
                  <w:tcBorders>
                    <w:top w:val="single" w:color="auto" w:sz="4" w:space="0"/>
                    <w:left w:val="single" w:color="auto" w:sz="4" w:space="0"/>
                    <w:bottom w:val="single" w:color="auto" w:sz="4" w:space="0"/>
                    <w:right w:val="single" w:color="auto" w:sz="4" w:space="0"/>
                  </w:tcBorders>
                  <w:vAlign w:val="center"/>
                </w:tcPr>
                <w:p w14:paraId="6DBD7A7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5F910C96">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20366B2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6038526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36C46AD8">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钻井液罐</w:t>
                  </w:r>
                </w:p>
              </w:tc>
              <w:tc>
                <w:tcPr>
                  <w:tcW w:w="1250" w:type="pct"/>
                  <w:tcBorders>
                    <w:top w:val="single" w:color="auto" w:sz="4" w:space="0"/>
                    <w:left w:val="single" w:color="auto" w:sz="4" w:space="0"/>
                    <w:bottom w:val="single" w:color="auto" w:sz="4" w:space="0"/>
                    <w:right w:val="single" w:color="auto" w:sz="4" w:space="0"/>
                  </w:tcBorders>
                  <w:vAlign w:val="center"/>
                </w:tcPr>
                <w:p w14:paraId="5D7512CB">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总容积≥250m</w:t>
                  </w:r>
                  <w:r>
                    <w:rPr>
                      <w:rFonts w:hint="default" w:ascii="Times New Roman" w:hAnsi="Times New Roman" w:eastAsia="宋体" w:cs="Times New Roman"/>
                      <w:color w:val="auto"/>
                      <w:sz w:val="21"/>
                      <w:szCs w:val="21"/>
                      <w:vertAlign w:val="superscript"/>
                    </w:rPr>
                    <w:t>3</w:t>
                  </w:r>
                </w:p>
              </w:tc>
              <w:tc>
                <w:tcPr>
                  <w:tcW w:w="547" w:type="pct"/>
                  <w:tcBorders>
                    <w:top w:val="single" w:color="auto" w:sz="4" w:space="0"/>
                    <w:left w:val="single" w:color="auto" w:sz="4" w:space="0"/>
                    <w:bottom w:val="single" w:color="auto" w:sz="4" w:space="0"/>
                    <w:right w:val="single" w:color="auto" w:sz="4" w:space="0"/>
                  </w:tcBorders>
                  <w:vAlign w:val="center"/>
                </w:tcPr>
                <w:p w14:paraId="57679CE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349" w:type="pct"/>
                  <w:tcBorders>
                    <w:top w:val="single" w:color="auto" w:sz="4" w:space="0"/>
                    <w:left w:val="single" w:color="auto" w:sz="4" w:space="0"/>
                    <w:bottom w:val="single" w:color="auto" w:sz="4" w:space="0"/>
                    <w:right w:val="single" w:color="auto" w:sz="4" w:space="0"/>
                  </w:tcBorders>
                  <w:vAlign w:val="center"/>
                </w:tcPr>
                <w:p w14:paraId="7185A910">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1117" w:type="pct"/>
                  <w:tcBorders>
                    <w:top w:val="single" w:color="auto" w:sz="4" w:space="0"/>
                    <w:left w:val="single" w:color="auto" w:sz="4" w:space="0"/>
                    <w:bottom w:val="single" w:color="auto" w:sz="4" w:space="0"/>
                    <w:right w:val="single" w:color="auto" w:sz="4" w:space="0"/>
                  </w:tcBorders>
                  <w:vAlign w:val="center"/>
                </w:tcPr>
                <w:p w14:paraId="576B502B">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含储备罐</w:t>
                  </w:r>
                </w:p>
              </w:tc>
            </w:tr>
            <w:tr w14:paraId="2F3381EB">
              <w:trPr>
                <w:cantSplit/>
                <w:trHeight w:val="453"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6E7A4233">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w:t>
                  </w:r>
                </w:p>
              </w:tc>
              <w:tc>
                <w:tcPr>
                  <w:tcW w:w="623" w:type="pct"/>
                  <w:tcBorders>
                    <w:top w:val="nil"/>
                    <w:left w:val="single" w:color="auto" w:sz="4" w:space="0"/>
                    <w:bottom w:val="single" w:color="auto" w:sz="4" w:space="0"/>
                    <w:right w:val="single" w:color="auto" w:sz="4" w:space="0"/>
                  </w:tcBorders>
                  <w:vAlign w:val="center"/>
                </w:tcPr>
                <w:p w14:paraId="4675150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动力系统</w:t>
                  </w:r>
                </w:p>
              </w:tc>
              <w:tc>
                <w:tcPr>
                  <w:tcW w:w="761" w:type="pct"/>
                  <w:tcBorders>
                    <w:top w:val="nil"/>
                    <w:left w:val="single" w:color="auto" w:sz="4" w:space="0"/>
                    <w:bottom w:val="single" w:color="auto" w:sz="4" w:space="0"/>
                    <w:right w:val="single" w:color="auto" w:sz="4" w:space="0"/>
                  </w:tcBorders>
                  <w:vAlign w:val="center"/>
                </w:tcPr>
                <w:p w14:paraId="21136F0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柴油机</w:t>
                  </w:r>
                </w:p>
              </w:tc>
              <w:tc>
                <w:tcPr>
                  <w:tcW w:w="1250" w:type="pct"/>
                  <w:tcBorders>
                    <w:top w:val="single" w:color="auto" w:sz="4" w:space="0"/>
                    <w:left w:val="single" w:color="auto" w:sz="4" w:space="0"/>
                    <w:bottom w:val="single" w:color="auto" w:sz="4" w:space="0"/>
                    <w:right w:val="single" w:color="auto" w:sz="4" w:space="0"/>
                  </w:tcBorders>
                  <w:vAlign w:val="center"/>
                </w:tcPr>
                <w:p w14:paraId="77422B4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12V190</w:t>
                  </w:r>
                </w:p>
              </w:tc>
              <w:tc>
                <w:tcPr>
                  <w:tcW w:w="547" w:type="pct"/>
                  <w:tcBorders>
                    <w:top w:val="single" w:color="auto" w:sz="4" w:space="0"/>
                    <w:left w:val="single" w:color="auto" w:sz="4" w:space="0"/>
                    <w:bottom w:val="single" w:color="auto" w:sz="4" w:space="0"/>
                    <w:right w:val="single" w:color="auto" w:sz="4" w:space="0"/>
                  </w:tcBorders>
                  <w:vAlign w:val="center"/>
                </w:tcPr>
                <w:p w14:paraId="177E3E1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1000kW</w:t>
                  </w:r>
                </w:p>
              </w:tc>
              <w:tc>
                <w:tcPr>
                  <w:tcW w:w="349" w:type="pct"/>
                  <w:tcBorders>
                    <w:top w:val="single" w:color="auto" w:sz="4" w:space="0"/>
                    <w:left w:val="single" w:color="auto" w:sz="4" w:space="0"/>
                    <w:bottom w:val="single" w:color="auto" w:sz="4" w:space="0"/>
                    <w:right w:val="single" w:color="auto" w:sz="4" w:space="0"/>
                  </w:tcBorders>
                  <w:vAlign w:val="center"/>
                </w:tcPr>
                <w:p w14:paraId="5B7C4B9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3台</w:t>
                  </w:r>
                </w:p>
              </w:tc>
              <w:tc>
                <w:tcPr>
                  <w:tcW w:w="1117" w:type="pct"/>
                  <w:tcBorders>
                    <w:top w:val="single" w:color="auto" w:sz="4" w:space="0"/>
                    <w:left w:val="single" w:color="auto" w:sz="4" w:space="0"/>
                    <w:bottom w:val="single" w:color="auto" w:sz="4" w:space="0"/>
                    <w:right w:val="single" w:color="auto" w:sz="4" w:space="0"/>
                  </w:tcBorders>
                  <w:vAlign w:val="center"/>
                </w:tcPr>
                <w:p w14:paraId="351A57F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06DE012E">
              <w:trPr>
                <w:cantSplit/>
                <w:trHeight w:val="453" w:hRule="atLeast"/>
                <w:jc w:val="center"/>
              </w:trPr>
              <w:tc>
                <w:tcPr>
                  <w:tcW w:w="349" w:type="pct"/>
                  <w:tcBorders>
                    <w:top w:val="single" w:color="auto" w:sz="4" w:space="0"/>
                    <w:left w:val="single" w:color="auto" w:sz="4" w:space="0"/>
                    <w:bottom w:val="single" w:color="auto" w:sz="4" w:space="0"/>
                    <w:right w:val="single" w:color="auto" w:sz="4" w:space="0"/>
                  </w:tcBorders>
                  <w:vAlign w:val="center"/>
                </w:tcPr>
                <w:p w14:paraId="675A4A1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w:t>
                  </w:r>
                </w:p>
              </w:tc>
              <w:tc>
                <w:tcPr>
                  <w:tcW w:w="623" w:type="pct"/>
                  <w:tcBorders>
                    <w:top w:val="single" w:color="auto" w:sz="4" w:space="0"/>
                    <w:left w:val="single" w:color="auto" w:sz="4" w:space="0"/>
                    <w:bottom w:val="single" w:color="auto" w:sz="4" w:space="0"/>
                    <w:right w:val="single" w:color="auto" w:sz="4" w:space="0"/>
                  </w:tcBorders>
                  <w:vAlign w:val="center"/>
                </w:tcPr>
                <w:p w14:paraId="085427C8">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发电机组</w:t>
                  </w:r>
                </w:p>
              </w:tc>
              <w:tc>
                <w:tcPr>
                  <w:tcW w:w="761" w:type="pct"/>
                  <w:tcBorders>
                    <w:top w:val="single" w:color="auto" w:sz="4" w:space="0"/>
                    <w:left w:val="single" w:color="auto" w:sz="4" w:space="0"/>
                    <w:bottom w:val="single" w:color="auto" w:sz="4" w:space="0"/>
                    <w:right w:val="single" w:color="auto" w:sz="4" w:space="0"/>
                  </w:tcBorders>
                  <w:vAlign w:val="center"/>
                </w:tcPr>
                <w:p w14:paraId="6C3CDE5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发电机</w:t>
                  </w:r>
                </w:p>
              </w:tc>
              <w:tc>
                <w:tcPr>
                  <w:tcW w:w="1250" w:type="pct"/>
                  <w:tcBorders>
                    <w:top w:val="single" w:color="auto" w:sz="4" w:space="0"/>
                    <w:left w:val="single" w:color="auto" w:sz="4" w:space="0"/>
                    <w:bottom w:val="single" w:color="auto" w:sz="4" w:space="0"/>
                    <w:right w:val="single" w:color="auto" w:sz="4" w:space="0"/>
                  </w:tcBorders>
                  <w:vAlign w:val="center"/>
                </w:tcPr>
                <w:p w14:paraId="02C8E2DE">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柴油发电机</w:t>
                  </w:r>
                </w:p>
              </w:tc>
              <w:tc>
                <w:tcPr>
                  <w:tcW w:w="547" w:type="pct"/>
                  <w:tcBorders>
                    <w:top w:val="single" w:color="auto" w:sz="4" w:space="0"/>
                    <w:left w:val="single" w:color="auto" w:sz="4" w:space="0"/>
                    <w:bottom w:val="single" w:color="auto" w:sz="4" w:space="0"/>
                    <w:right w:val="single" w:color="auto" w:sz="4" w:space="0"/>
                  </w:tcBorders>
                  <w:vAlign w:val="center"/>
                </w:tcPr>
                <w:p w14:paraId="49AECAE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400kW</w:t>
                  </w:r>
                </w:p>
              </w:tc>
              <w:tc>
                <w:tcPr>
                  <w:tcW w:w="349" w:type="pct"/>
                  <w:tcBorders>
                    <w:top w:val="single" w:color="auto" w:sz="4" w:space="0"/>
                    <w:left w:val="single" w:color="auto" w:sz="4" w:space="0"/>
                    <w:bottom w:val="single" w:color="auto" w:sz="4" w:space="0"/>
                    <w:right w:val="single" w:color="auto" w:sz="4" w:space="0"/>
                  </w:tcBorders>
                  <w:vAlign w:val="center"/>
                </w:tcPr>
                <w:p w14:paraId="36B20267">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117" w:type="pct"/>
                  <w:tcBorders>
                    <w:top w:val="single" w:color="auto" w:sz="4" w:space="0"/>
                    <w:left w:val="single" w:color="auto" w:sz="4" w:space="0"/>
                    <w:bottom w:val="single" w:color="auto" w:sz="4" w:space="0"/>
                    <w:right w:val="single" w:color="auto" w:sz="4" w:space="0"/>
                  </w:tcBorders>
                  <w:vAlign w:val="center"/>
                </w:tcPr>
                <w:p w14:paraId="25FEE1F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320E39B1">
              <w:trPr>
                <w:cantSplit/>
                <w:trHeight w:val="453" w:hRule="atLeast"/>
                <w:jc w:val="center"/>
              </w:trPr>
              <w:tc>
                <w:tcPr>
                  <w:tcW w:w="349" w:type="pct"/>
                  <w:vMerge w:val="restart"/>
                  <w:tcBorders>
                    <w:top w:val="single" w:color="auto" w:sz="4" w:space="0"/>
                    <w:left w:val="single" w:color="auto" w:sz="4" w:space="0"/>
                    <w:bottom w:val="single" w:color="auto" w:sz="4" w:space="0"/>
                    <w:right w:val="single" w:color="auto" w:sz="4" w:space="0"/>
                  </w:tcBorders>
                  <w:vAlign w:val="center"/>
                </w:tcPr>
                <w:p w14:paraId="5F533C58">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w:t>
                  </w:r>
                </w:p>
              </w:tc>
              <w:tc>
                <w:tcPr>
                  <w:tcW w:w="623" w:type="pct"/>
                  <w:vMerge w:val="restart"/>
                  <w:tcBorders>
                    <w:top w:val="single" w:color="auto" w:sz="4" w:space="0"/>
                    <w:left w:val="single" w:color="auto" w:sz="4" w:space="0"/>
                    <w:bottom w:val="single" w:color="auto" w:sz="4" w:space="0"/>
                    <w:right w:val="single" w:color="auto" w:sz="4" w:space="0"/>
                  </w:tcBorders>
                  <w:vAlign w:val="center"/>
                </w:tcPr>
                <w:p w14:paraId="468A07F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钻机</w:t>
                  </w:r>
                </w:p>
                <w:p w14:paraId="442E5BF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w:t>
                  </w:r>
                </w:p>
                <w:p w14:paraId="154EDA1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系统</w:t>
                  </w:r>
                </w:p>
              </w:tc>
              <w:tc>
                <w:tcPr>
                  <w:tcW w:w="761" w:type="pct"/>
                  <w:tcBorders>
                    <w:top w:val="single" w:color="auto" w:sz="4" w:space="0"/>
                    <w:left w:val="single" w:color="auto" w:sz="4" w:space="0"/>
                    <w:bottom w:val="single" w:color="auto" w:sz="4" w:space="0"/>
                    <w:right w:val="single" w:color="auto" w:sz="4" w:space="0"/>
                  </w:tcBorders>
                  <w:vAlign w:val="center"/>
                </w:tcPr>
                <w:p w14:paraId="122BA49E">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自动压风机</w:t>
                  </w:r>
                </w:p>
              </w:tc>
              <w:tc>
                <w:tcPr>
                  <w:tcW w:w="1250" w:type="pct"/>
                  <w:tcBorders>
                    <w:top w:val="single" w:color="auto" w:sz="4" w:space="0"/>
                    <w:left w:val="single" w:color="auto" w:sz="4" w:space="0"/>
                    <w:bottom w:val="single" w:color="auto" w:sz="4" w:space="0"/>
                    <w:right w:val="single" w:color="auto" w:sz="4" w:space="0"/>
                  </w:tcBorders>
                  <w:vAlign w:val="center"/>
                </w:tcPr>
                <w:p w14:paraId="2395A568">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2V6.5/12</w:t>
                  </w:r>
                </w:p>
              </w:tc>
              <w:tc>
                <w:tcPr>
                  <w:tcW w:w="547" w:type="pct"/>
                  <w:tcBorders>
                    <w:top w:val="single" w:color="auto" w:sz="4" w:space="0"/>
                    <w:left w:val="single" w:color="auto" w:sz="4" w:space="0"/>
                    <w:bottom w:val="single" w:color="auto" w:sz="4" w:space="0"/>
                    <w:right w:val="single" w:color="auto" w:sz="4" w:space="0"/>
                  </w:tcBorders>
                  <w:vAlign w:val="center"/>
                </w:tcPr>
                <w:p w14:paraId="797BD6B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55kW</w:t>
                  </w:r>
                </w:p>
              </w:tc>
              <w:tc>
                <w:tcPr>
                  <w:tcW w:w="349" w:type="pct"/>
                  <w:tcBorders>
                    <w:top w:val="single" w:color="auto" w:sz="4" w:space="0"/>
                    <w:left w:val="single" w:color="auto" w:sz="4" w:space="0"/>
                    <w:bottom w:val="single" w:color="auto" w:sz="4" w:space="0"/>
                    <w:right w:val="single" w:color="auto" w:sz="4" w:space="0"/>
                  </w:tcBorders>
                  <w:vAlign w:val="center"/>
                </w:tcPr>
                <w:p w14:paraId="776B8EA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66338B20">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75F446B7">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73060E6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1315AEEA">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6975C9FE">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电动压风机</w:t>
                  </w:r>
                </w:p>
              </w:tc>
              <w:tc>
                <w:tcPr>
                  <w:tcW w:w="1250" w:type="pct"/>
                  <w:tcBorders>
                    <w:top w:val="single" w:color="auto" w:sz="4" w:space="0"/>
                    <w:left w:val="single" w:color="auto" w:sz="4" w:space="0"/>
                    <w:bottom w:val="single" w:color="auto" w:sz="4" w:space="0"/>
                    <w:right w:val="single" w:color="auto" w:sz="4" w:space="0"/>
                  </w:tcBorders>
                  <w:vAlign w:val="center"/>
                </w:tcPr>
                <w:p w14:paraId="7D6AAE5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LS12-50HH</w:t>
                  </w:r>
                </w:p>
              </w:tc>
              <w:tc>
                <w:tcPr>
                  <w:tcW w:w="547" w:type="pct"/>
                  <w:tcBorders>
                    <w:top w:val="single" w:color="auto" w:sz="4" w:space="0"/>
                    <w:left w:val="single" w:color="auto" w:sz="4" w:space="0"/>
                    <w:bottom w:val="single" w:color="auto" w:sz="4" w:space="0"/>
                    <w:right w:val="single" w:color="auto" w:sz="4" w:space="0"/>
                  </w:tcBorders>
                  <w:vAlign w:val="center"/>
                </w:tcPr>
                <w:p w14:paraId="52D42D0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55kW</w:t>
                  </w:r>
                </w:p>
              </w:tc>
              <w:tc>
                <w:tcPr>
                  <w:tcW w:w="349" w:type="pct"/>
                  <w:tcBorders>
                    <w:top w:val="single" w:color="auto" w:sz="4" w:space="0"/>
                    <w:left w:val="single" w:color="auto" w:sz="4" w:space="0"/>
                    <w:bottom w:val="single" w:color="auto" w:sz="4" w:space="0"/>
                    <w:right w:val="single" w:color="auto" w:sz="4" w:space="0"/>
                  </w:tcBorders>
                  <w:vAlign w:val="center"/>
                </w:tcPr>
                <w:p w14:paraId="0B713D76">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30C68BF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14EC7F37">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27A19CC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24F7115A">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0CB05A5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刹车系统</w:t>
                  </w:r>
                </w:p>
              </w:tc>
              <w:tc>
                <w:tcPr>
                  <w:tcW w:w="1250" w:type="pct"/>
                  <w:tcBorders>
                    <w:top w:val="single" w:color="auto" w:sz="4" w:space="0"/>
                    <w:left w:val="single" w:color="auto" w:sz="4" w:space="0"/>
                    <w:bottom w:val="single" w:color="auto" w:sz="4" w:space="0"/>
                    <w:right w:val="single" w:color="auto" w:sz="4" w:space="0"/>
                  </w:tcBorders>
                  <w:vAlign w:val="center"/>
                </w:tcPr>
                <w:p w14:paraId="4913860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液压盘刹+电磁刹车</w:t>
                  </w:r>
                </w:p>
              </w:tc>
              <w:tc>
                <w:tcPr>
                  <w:tcW w:w="547" w:type="pct"/>
                  <w:tcBorders>
                    <w:top w:val="single" w:color="auto" w:sz="4" w:space="0"/>
                    <w:left w:val="single" w:color="auto" w:sz="4" w:space="0"/>
                    <w:bottom w:val="single" w:color="auto" w:sz="4" w:space="0"/>
                    <w:right w:val="single" w:color="auto" w:sz="4" w:space="0"/>
                  </w:tcBorders>
                  <w:vAlign w:val="center"/>
                </w:tcPr>
                <w:p w14:paraId="62613C2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349" w:type="pct"/>
                  <w:tcBorders>
                    <w:top w:val="single" w:color="auto" w:sz="4" w:space="0"/>
                    <w:left w:val="single" w:color="auto" w:sz="4" w:space="0"/>
                    <w:bottom w:val="single" w:color="auto" w:sz="4" w:space="0"/>
                    <w:right w:val="single" w:color="auto" w:sz="4" w:space="0"/>
                  </w:tcBorders>
                  <w:vAlign w:val="center"/>
                </w:tcPr>
                <w:p w14:paraId="2268BCC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117" w:type="pct"/>
                  <w:tcBorders>
                    <w:top w:val="single" w:color="auto" w:sz="4" w:space="0"/>
                    <w:left w:val="single" w:color="auto" w:sz="4" w:space="0"/>
                    <w:bottom w:val="single" w:color="auto" w:sz="4" w:space="0"/>
                    <w:right w:val="single" w:color="auto" w:sz="4" w:space="0"/>
                  </w:tcBorders>
                  <w:vAlign w:val="center"/>
                </w:tcPr>
                <w:p w14:paraId="66859050">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1FB1A3F2">
              <w:trPr>
                <w:cantSplit/>
                <w:trHeight w:val="453" w:hRule="atLeast"/>
                <w:jc w:val="center"/>
              </w:trPr>
              <w:tc>
                <w:tcPr>
                  <w:tcW w:w="349" w:type="pct"/>
                  <w:vMerge w:val="restart"/>
                  <w:tcBorders>
                    <w:top w:val="single" w:color="auto" w:sz="4" w:space="0"/>
                    <w:left w:val="single" w:color="auto" w:sz="4" w:space="0"/>
                    <w:bottom w:val="single" w:color="auto" w:sz="4" w:space="0"/>
                    <w:right w:val="single" w:color="auto" w:sz="4" w:space="0"/>
                  </w:tcBorders>
                  <w:vAlign w:val="center"/>
                </w:tcPr>
                <w:p w14:paraId="7D4EADC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w:t>
                  </w:r>
                </w:p>
              </w:tc>
              <w:tc>
                <w:tcPr>
                  <w:tcW w:w="623" w:type="pct"/>
                  <w:vMerge w:val="restart"/>
                  <w:tcBorders>
                    <w:top w:val="single" w:color="auto" w:sz="4" w:space="0"/>
                    <w:left w:val="single" w:color="auto" w:sz="4" w:space="0"/>
                    <w:bottom w:val="single" w:color="auto" w:sz="4" w:space="0"/>
                    <w:right w:val="single" w:color="auto" w:sz="4" w:space="0"/>
                  </w:tcBorders>
                  <w:vAlign w:val="center"/>
                </w:tcPr>
                <w:p w14:paraId="1E0EEFF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固控</w:t>
                  </w:r>
                </w:p>
                <w:p w14:paraId="10FD5B7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系统</w:t>
                  </w:r>
                </w:p>
              </w:tc>
              <w:tc>
                <w:tcPr>
                  <w:tcW w:w="761" w:type="pct"/>
                  <w:tcBorders>
                    <w:top w:val="single" w:color="auto" w:sz="4" w:space="0"/>
                    <w:left w:val="single" w:color="auto" w:sz="4" w:space="0"/>
                    <w:bottom w:val="single" w:color="auto" w:sz="4" w:space="0"/>
                    <w:right w:val="single" w:color="auto" w:sz="4" w:space="0"/>
                  </w:tcBorders>
                  <w:vAlign w:val="center"/>
                </w:tcPr>
                <w:p w14:paraId="54FAFC2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振动筛</w:t>
                  </w:r>
                </w:p>
              </w:tc>
              <w:tc>
                <w:tcPr>
                  <w:tcW w:w="1250" w:type="pct"/>
                  <w:tcBorders>
                    <w:top w:val="single" w:color="auto" w:sz="4" w:space="0"/>
                    <w:left w:val="single" w:color="auto" w:sz="4" w:space="0"/>
                    <w:bottom w:val="single" w:color="auto" w:sz="4" w:space="0"/>
                    <w:right w:val="single" w:color="auto" w:sz="4" w:space="0"/>
                  </w:tcBorders>
                  <w:vAlign w:val="center"/>
                </w:tcPr>
                <w:p w14:paraId="09C8F8D8">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ZS594</w:t>
                  </w:r>
                </w:p>
              </w:tc>
              <w:tc>
                <w:tcPr>
                  <w:tcW w:w="547" w:type="pct"/>
                  <w:tcBorders>
                    <w:top w:val="single" w:color="auto" w:sz="4" w:space="0"/>
                    <w:left w:val="single" w:color="auto" w:sz="4" w:space="0"/>
                    <w:bottom w:val="single" w:color="auto" w:sz="4" w:space="0"/>
                    <w:right w:val="single" w:color="auto" w:sz="4" w:space="0"/>
                  </w:tcBorders>
                  <w:vAlign w:val="center"/>
                </w:tcPr>
                <w:p w14:paraId="71974F9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49" w:type="pct"/>
                  <w:tcBorders>
                    <w:top w:val="single" w:color="auto" w:sz="4" w:space="0"/>
                    <w:left w:val="single" w:color="auto" w:sz="4" w:space="0"/>
                    <w:bottom w:val="single" w:color="auto" w:sz="4" w:space="0"/>
                    <w:right w:val="single" w:color="auto" w:sz="4" w:space="0"/>
                  </w:tcBorders>
                  <w:vAlign w:val="center"/>
                </w:tcPr>
                <w:p w14:paraId="123CA21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3台</w:t>
                  </w:r>
                </w:p>
              </w:tc>
              <w:tc>
                <w:tcPr>
                  <w:tcW w:w="1117" w:type="pct"/>
                  <w:tcBorders>
                    <w:top w:val="single" w:color="auto" w:sz="4" w:space="0"/>
                    <w:left w:val="single" w:color="auto" w:sz="4" w:space="0"/>
                    <w:bottom w:val="single" w:color="auto" w:sz="4" w:space="0"/>
                    <w:right w:val="single" w:color="auto" w:sz="4" w:space="0"/>
                  </w:tcBorders>
                  <w:vAlign w:val="center"/>
                </w:tcPr>
                <w:p w14:paraId="0B7CD446">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5D2FEB22">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0D1ED5C5">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3DFBC30A">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0983BEB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除砂器</w:t>
                  </w:r>
                </w:p>
              </w:tc>
              <w:tc>
                <w:tcPr>
                  <w:tcW w:w="1250" w:type="pct"/>
                  <w:tcBorders>
                    <w:top w:val="single" w:color="auto" w:sz="4" w:space="0"/>
                    <w:left w:val="single" w:color="auto" w:sz="4" w:space="0"/>
                    <w:bottom w:val="single" w:color="auto" w:sz="4" w:space="0"/>
                    <w:right w:val="single" w:color="auto" w:sz="4" w:space="0"/>
                  </w:tcBorders>
                  <w:vAlign w:val="center"/>
                </w:tcPr>
                <w:p w14:paraId="5D7C75A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WS703</w:t>
                  </w:r>
                </w:p>
              </w:tc>
              <w:tc>
                <w:tcPr>
                  <w:tcW w:w="547" w:type="pct"/>
                  <w:tcBorders>
                    <w:top w:val="single" w:color="auto" w:sz="4" w:space="0"/>
                    <w:left w:val="single" w:color="auto" w:sz="4" w:space="0"/>
                    <w:bottom w:val="single" w:color="auto" w:sz="4" w:space="0"/>
                    <w:right w:val="single" w:color="auto" w:sz="4" w:space="0"/>
                  </w:tcBorders>
                  <w:vAlign w:val="center"/>
                </w:tcPr>
                <w:p w14:paraId="3B06ECC3">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55kW</w:t>
                  </w:r>
                </w:p>
              </w:tc>
              <w:tc>
                <w:tcPr>
                  <w:tcW w:w="349" w:type="pct"/>
                  <w:tcBorders>
                    <w:top w:val="single" w:color="auto" w:sz="4" w:space="0"/>
                    <w:left w:val="single" w:color="auto" w:sz="4" w:space="0"/>
                    <w:bottom w:val="single" w:color="auto" w:sz="4" w:space="0"/>
                    <w:right w:val="single" w:color="auto" w:sz="4" w:space="0"/>
                  </w:tcBorders>
                  <w:vAlign w:val="center"/>
                </w:tcPr>
                <w:p w14:paraId="6F7103D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117" w:type="pct"/>
                  <w:tcBorders>
                    <w:top w:val="single" w:color="auto" w:sz="4" w:space="0"/>
                    <w:left w:val="single" w:color="auto" w:sz="4" w:space="0"/>
                    <w:bottom w:val="single" w:color="auto" w:sz="4" w:space="0"/>
                    <w:right w:val="single" w:color="auto" w:sz="4" w:space="0"/>
                  </w:tcBorders>
                  <w:vAlign w:val="center"/>
                </w:tcPr>
                <w:p w14:paraId="6173055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65374B9E">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36192A7C">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5C3C86DB">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14EF9336">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除泥器</w:t>
                  </w:r>
                </w:p>
              </w:tc>
              <w:tc>
                <w:tcPr>
                  <w:tcW w:w="1250" w:type="pct"/>
                  <w:tcBorders>
                    <w:top w:val="single" w:color="auto" w:sz="4" w:space="0"/>
                    <w:left w:val="single" w:color="auto" w:sz="4" w:space="0"/>
                    <w:bottom w:val="single" w:color="auto" w:sz="4" w:space="0"/>
                    <w:right w:val="single" w:color="auto" w:sz="4" w:space="0"/>
                  </w:tcBorders>
                  <w:vAlign w:val="center"/>
                </w:tcPr>
                <w:p w14:paraId="05D1C1A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ZJ703</w:t>
                  </w:r>
                </w:p>
              </w:tc>
              <w:tc>
                <w:tcPr>
                  <w:tcW w:w="547" w:type="pct"/>
                  <w:tcBorders>
                    <w:top w:val="single" w:color="auto" w:sz="4" w:space="0"/>
                    <w:left w:val="single" w:color="auto" w:sz="4" w:space="0"/>
                    <w:bottom w:val="single" w:color="auto" w:sz="4" w:space="0"/>
                    <w:right w:val="single" w:color="auto" w:sz="4" w:space="0"/>
                  </w:tcBorders>
                  <w:vAlign w:val="center"/>
                </w:tcPr>
                <w:p w14:paraId="3A0C9EA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55kW</w:t>
                  </w:r>
                </w:p>
              </w:tc>
              <w:tc>
                <w:tcPr>
                  <w:tcW w:w="349" w:type="pct"/>
                  <w:tcBorders>
                    <w:top w:val="single" w:color="auto" w:sz="4" w:space="0"/>
                    <w:left w:val="single" w:color="auto" w:sz="4" w:space="0"/>
                    <w:bottom w:val="single" w:color="auto" w:sz="4" w:space="0"/>
                    <w:right w:val="single" w:color="auto" w:sz="4" w:space="0"/>
                  </w:tcBorders>
                  <w:vAlign w:val="center"/>
                </w:tcPr>
                <w:p w14:paraId="2F1E8573">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117" w:type="pct"/>
                  <w:tcBorders>
                    <w:top w:val="single" w:color="auto" w:sz="4" w:space="0"/>
                    <w:left w:val="single" w:color="auto" w:sz="4" w:space="0"/>
                    <w:bottom w:val="single" w:color="auto" w:sz="4" w:space="0"/>
                    <w:right w:val="single" w:color="auto" w:sz="4" w:space="0"/>
                  </w:tcBorders>
                  <w:vAlign w:val="center"/>
                </w:tcPr>
                <w:p w14:paraId="6F5553A3">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60E9737E">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011B5255">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4ABAB643">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118D7418">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中速离心机</w:t>
                  </w:r>
                </w:p>
              </w:tc>
              <w:tc>
                <w:tcPr>
                  <w:tcW w:w="1250" w:type="pct"/>
                  <w:tcBorders>
                    <w:top w:val="single" w:color="auto" w:sz="4" w:space="0"/>
                    <w:left w:val="single" w:color="auto" w:sz="4" w:space="0"/>
                    <w:bottom w:val="single" w:color="auto" w:sz="4" w:space="0"/>
                    <w:right w:val="single" w:color="auto" w:sz="4" w:space="0"/>
                  </w:tcBorders>
                  <w:vAlign w:val="center"/>
                </w:tcPr>
                <w:p w14:paraId="0531086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LW553</w:t>
                  </w:r>
                </w:p>
              </w:tc>
              <w:tc>
                <w:tcPr>
                  <w:tcW w:w="547" w:type="pct"/>
                  <w:tcBorders>
                    <w:top w:val="single" w:color="auto" w:sz="4" w:space="0"/>
                    <w:left w:val="single" w:color="auto" w:sz="4" w:space="0"/>
                    <w:bottom w:val="single" w:color="auto" w:sz="4" w:space="0"/>
                    <w:right w:val="single" w:color="auto" w:sz="4" w:space="0"/>
                  </w:tcBorders>
                  <w:vAlign w:val="center"/>
                </w:tcPr>
                <w:p w14:paraId="38621AC8">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349" w:type="pct"/>
                  <w:tcBorders>
                    <w:top w:val="single" w:color="auto" w:sz="4" w:space="0"/>
                    <w:left w:val="single" w:color="auto" w:sz="4" w:space="0"/>
                    <w:bottom w:val="single" w:color="auto" w:sz="4" w:space="0"/>
                    <w:right w:val="single" w:color="auto" w:sz="4" w:space="0"/>
                  </w:tcBorders>
                  <w:vAlign w:val="center"/>
                </w:tcPr>
                <w:p w14:paraId="3B85A67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117" w:type="pct"/>
                  <w:tcBorders>
                    <w:top w:val="single" w:color="auto" w:sz="4" w:space="0"/>
                    <w:left w:val="single" w:color="auto" w:sz="4" w:space="0"/>
                    <w:bottom w:val="single" w:color="auto" w:sz="4" w:space="0"/>
                    <w:right w:val="single" w:color="auto" w:sz="4" w:space="0"/>
                  </w:tcBorders>
                  <w:vAlign w:val="center"/>
                </w:tcPr>
                <w:p w14:paraId="213E0EEE">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1600r/min</w:t>
                  </w:r>
                </w:p>
              </w:tc>
            </w:tr>
            <w:tr w14:paraId="676723E0">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6B315A98">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039E5F3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458ABDE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高速离心机</w:t>
                  </w:r>
                </w:p>
              </w:tc>
              <w:tc>
                <w:tcPr>
                  <w:tcW w:w="1250" w:type="pct"/>
                  <w:tcBorders>
                    <w:top w:val="single" w:color="auto" w:sz="4" w:space="0"/>
                    <w:left w:val="single" w:color="auto" w:sz="4" w:space="0"/>
                    <w:bottom w:val="single" w:color="auto" w:sz="4" w:space="0"/>
                    <w:right w:val="single" w:color="auto" w:sz="4" w:space="0"/>
                  </w:tcBorders>
                  <w:vAlign w:val="center"/>
                </w:tcPr>
                <w:p w14:paraId="494989B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LW453</w:t>
                  </w:r>
                </w:p>
              </w:tc>
              <w:tc>
                <w:tcPr>
                  <w:tcW w:w="547" w:type="pct"/>
                  <w:tcBorders>
                    <w:top w:val="single" w:color="auto" w:sz="4" w:space="0"/>
                    <w:left w:val="single" w:color="auto" w:sz="4" w:space="0"/>
                    <w:bottom w:val="single" w:color="auto" w:sz="4" w:space="0"/>
                    <w:right w:val="single" w:color="auto" w:sz="4" w:space="0"/>
                  </w:tcBorders>
                  <w:vAlign w:val="center"/>
                </w:tcPr>
                <w:p w14:paraId="3764E54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55kW</w:t>
                  </w:r>
                </w:p>
              </w:tc>
              <w:tc>
                <w:tcPr>
                  <w:tcW w:w="349" w:type="pct"/>
                  <w:tcBorders>
                    <w:top w:val="single" w:color="auto" w:sz="4" w:space="0"/>
                    <w:left w:val="single" w:color="auto" w:sz="4" w:space="0"/>
                    <w:bottom w:val="single" w:color="auto" w:sz="4" w:space="0"/>
                    <w:right w:val="single" w:color="auto" w:sz="4" w:space="0"/>
                  </w:tcBorders>
                  <w:vAlign w:val="center"/>
                </w:tcPr>
                <w:p w14:paraId="3953C73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117" w:type="pct"/>
                  <w:tcBorders>
                    <w:top w:val="single" w:color="auto" w:sz="4" w:space="0"/>
                    <w:left w:val="single" w:color="auto" w:sz="4" w:space="0"/>
                    <w:bottom w:val="single" w:color="auto" w:sz="4" w:space="0"/>
                    <w:right w:val="single" w:color="auto" w:sz="4" w:space="0"/>
                  </w:tcBorders>
                  <w:vAlign w:val="center"/>
                </w:tcPr>
                <w:p w14:paraId="058C74B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3000r/min</w:t>
                  </w:r>
                </w:p>
              </w:tc>
            </w:tr>
            <w:tr w14:paraId="64FF13D8">
              <w:trPr>
                <w:cantSplit/>
                <w:trHeight w:val="453" w:hRule="atLeast"/>
                <w:jc w:val="center"/>
              </w:trPr>
              <w:tc>
                <w:tcPr>
                  <w:tcW w:w="349" w:type="pct"/>
                  <w:vMerge w:val="restart"/>
                  <w:tcBorders>
                    <w:top w:val="single" w:color="auto" w:sz="4" w:space="0"/>
                    <w:left w:val="single" w:color="auto" w:sz="4" w:space="0"/>
                    <w:bottom w:val="single" w:color="auto" w:sz="4" w:space="0"/>
                    <w:right w:val="single" w:color="auto" w:sz="4" w:space="0"/>
                  </w:tcBorders>
                  <w:vAlign w:val="center"/>
                </w:tcPr>
                <w:p w14:paraId="65C60BAF">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十一</w:t>
                  </w:r>
                </w:p>
              </w:tc>
              <w:tc>
                <w:tcPr>
                  <w:tcW w:w="623" w:type="pct"/>
                  <w:vMerge w:val="restart"/>
                  <w:tcBorders>
                    <w:top w:val="single" w:color="auto" w:sz="4" w:space="0"/>
                    <w:left w:val="single" w:color="auto" w:sz="4" w:space="0"/>
                    <w:bottom w:val="single" w:color="auto" w:sz="4" w:space="0"/>
                    <w:right w:val="single" w:color="auto" w:sz="4" w:space="0"/>
                  </w:tcBorders>
                  <w:vAlign w:val="center"/>
                </w:tcPr>
                <w:p w14:paraId="57DDB4C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加重</w:t>
                  </w:r>
                </w:p>
                <w:p w14:paraId="26A32A45">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装置</w:t>
                  </w:r>
                </w:p>
              </w:tc>
              <w:tc>
                <w:tcPr>
                  <w:tcW w:w="761" w:type="pct"/>
                  <w:tcBorders>
                    <w:top w:val="single" w:color="auto" w:sz="4" w:space="0"/>
                    <w:left w:val="single" w:color="auto" w:sz="4" w:space="0"/>
                    <w:bottom w:val="single" w:color="auto" w:sz="4" w:space="0"/>
                    <w:right w:val="single" w:color="auto" w:sz="4" w:space="0"/>
                  </w:tcBorders>
                  <w:vAlign w:val="center"/>
                </w:tcPr>
                <w:p w14:paraId="50C6DFB1">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加重漏斗</w:t>
                  </w:r>
                </w:p>
              </w:tc>
              <w:tc>
                <w:tcPr>
                  <w:tcW w:w="1250" w:type="pct"/>
                  <w:tcBorders>
                    <w:top w:val="single" w:color="auto" w:sz="4" w:space="0"/>
                    <w:left w:val="single" w:color="auto" w:sz="4" w:space="0"/>
                    <w:bottom w:val="single" w:color="auto" w:sz="4" w:space="0"/>
                    <w:right w:val="single" w:color="auto" w:sz="4" w:space="0"/>
                  </w:tcBorders>
                  <w:vAlign w:val="center"/>
                </w:tcPr>
                <w:p w14:paraId="5A51231A">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SB8</w:t>
                  </w:r>
                </w:p>
              </w:tc>
              <w:tc>
                <w:tcPr>
                  <w:tcW w:w="547" w:type="pct"/>
                  <w:tcBorders>
                    <w:top w:val="single" w:color="auto" w:sz="4" w:space="0"/>
                    <w:left w:val="single" w:color="auto" w:sz="4" w:space="0"/>
                    <w:bottom w:val="single" w:color="auto" w:sz="4" w:space="0"/>
                    <w:right w:val="single" w:color="auto" w:sz="4" w:space="0"/>
                  </w:tcBorders>
                  <w:vAlign w:val="center"/>
                </w:tcPr>
                <w:p w14:paraId="15BDA02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349" w:type="pct"/>
                  <w:tcBorders>
                    <w:top w:val="single" w:color="auto" w:sz="4" w:space="0"/>
                    <w:left w:val="single" w:color="auto" w:sz="4" w:space="0"/>
                    <w:bottom w:val="single" w:color="auto" w:sz="4" w:space="0"/>
                    <w:right w:val="single" w:color="auto" w:sz="4" w:space="0"/>
                  </w:tcBorders>
                  <w:vAlign w:val="center"/>
                </w:tcPr>
                <w:p w14:paraId="3C5485B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117" w:type="pct"/>
                  <w:tcBorders>
                    <w:top w:val="single" w:color="auto" w:sz="4" w:space="0"/>
                    <w:left w:val="single" w:color="auto" w:sz="4" w:space="0"/>
                    <w:bottom w:val="single" w:color="auto" w:sz="4" w:space="0"/>
                    <w:right w:val="single" w:color="auto" w:sz="4" w:space="0"/>
                  </w:tcBorders>
                  <w:vAlign w:val="center"/>
                </w:tcPr>
                <w:p w14:paraId="5F2CB39D">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3DC195F2">
              <w:trPr>
                <w:cantSplit/>
                <w:trHeight w:val="453" w:hRule="atLeast"/>
                <w:jc w:val="center"/>
              </w:trPr>
              <w:tc>
                <w:tcPr>
                  <w:tcW w:w="349" w:type="pct"/>
                  <w:vMerge w:val="continue"/>
                  <w:tcBorders>
                    <w:top w:val="single" w:color="auto" w:sz="4" w:space="0"/>
                    <w:left w:val="single" w:color="auto" w:sz="4" w:space="0"/>
                    <w:bottom w:val="single" w:color="auto" w:sz="4" w:space="0"/>
                    <w:right w:val="single" w:color="auto" w:sz="4" w:space="0"/>
                  </w:tcBorders>
                  <w:vAlign w:val="center"/>
                </w:tcPr>
                <w:p w14:paraId="24C21F91">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14:paraId="38B7CBA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Times New Roman" w:hAnsi="Times New Roman" w:eastAsia="宋体" w:cs="Times New Roman"/>
                      <w:color w:val="auto"/>
                      <w:kern w:val="0"/>
                      <w:sz w:val="21"/>
                      <w:szCs w:val="21"/>
                    </w:rPr>
                  </w:pPr>
                </w:p>
              </w:tc>
              <w:tc>
                <w:tcPr>
                  <w:tcW w:w="761" w:type="pct"/>
                  <w:tcBorders>
                    <w:top w:val="single" w:color="auto" w:sz="4" w:space="0"/>
                    <w:left w:val="single" w:color="auto" w:sz="4" w:space="0"/>
                    <w:bottom w:val="single" w:color="auto" w:sz="4" w:space="0"/>
                    <w:right w:val="single" w:color="auto" w:sz="4" w:space="0"/>
                  </w:tcBorders>
                  <w:vAlign w:val="center"/>
                </w:tcPr>
                <w:p w14:paraId="29B34882">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电动加重泵</w:t>
                  </w:r>
                </w:p>
              </w:tc>
              <w:tc>
                <w:tcPr>
                  <w:tcW w:w="1250" w:type="pct"/>
                  <w:tcBorders>
                    <w:top w:val="single" w:color="auto" w:sz="4" w:space="0"/>
                    <w:left w:val="single" w:color="auto" w:sz="4" w:space="0"/>
                    <w:bottom w:val="single" w:color="auto" w:sz="4" w:space="0"/>
                    <w:right w:val="single" w:color="auto" w:sz="4" w:space="0"/>
                  </w:tcBorders>
                  <w:vAlign w:val="center"/>
                </w:tcPr>
                <w:p w14:paraId="65F9F669">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JQB6</w:t>
                  </w:r>
                </w:p>
              </w:tc>
              <w:tc>
                <w:tcPr>
                  <w:tcW w:w="547" w:type="pct"/>
                  <w:tcBorders>
                    <w:top w:val="single" w:color="auto" w:sz="4" w:space="0"/>
                    <w:left w:val="single" w:color="auto" w:sz="4" w:space="0"/>
                    <w:bottom w:val="single" w:color="auto" w:sz="4" w:space="0"/>
                    <w:right w:val="single" w:color="auto" w:sz="4" w:space="0"/>
                  </w:tcBorders>
                  <w:vAlign w:val="center"/>
                </w:tcPr>
                <w:p w14:paraId="54DF86B4">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349" w:type="pct"/>
                  <w:tcBorders>
                    <w:top w:val="single" w:color="auto" w:sz="4" w:space="0"/>
                    <w:left w:val="single" w:color="auto" w:sz="4" w:space="0"/>
                    <w:bottom w:val="single" w:color="auto" w:sz="4" w:space="0"/>
                    <w:right w:val="single" w:color="auto" w:sz="4" w:space="0"/>
                  </w:tcBorders>
                  <w:vAlign w:val="center"/>
                </w:tcPr>
                <w:p w14:paraId="5CCF68E6">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117" w:type="pct"/>
                  <w:tcBorders>
                    <w:top w:val="single" w:color="auto" w:sz="4" w:space="0"/>
                    <w:left w:val="single" w:color="auto" w:sz="4" w:space="0"/>
                    <w:bottom w:val="single" w:color="auto" w:sz="4" w:space="0"/>
                    <w:right w:val="single" w:color="auto" w:sz="4" w:space="0"/>
                  </w:tcBorders>
                  <w:vAlign w:val="center"/>
                </w:tcPr>
                <w:p w14:paraId="6E70918C">
                  <w:pPr>
                    <w:pStyle w:val="40"/>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01B0D452">
              <w:trPr>
                <w:cantSplit/>
                <w:trHeight w:val="705"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5D101BA0">
                  <w:pPr>
                    <w:pStyle w:val="40"/>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注：以上规格型号为设备最低要求，施工方可以采用性能不低于表中的其他设备进行施工。</w:t>
                  </w:r>
                </w:p>
              </w:tc>
            </w:tr>
          </w:tbl>
          <w:p w14:paraId="5049958F">
            <w:pPr>
              <w:widowControl w:val="0"/>
              <w:kinsoku/>
              <w:spacing w:line="500" w:lineRule="exact"/>
              <w:jc w:val="center"/>
              <w:rPr>
                <w:rFonts w:hint="default" w:ascii="Times New Roman" w:hAnsi="Times New Roman" w:eastAsia="宋体" w:cs="Times New Roman"/>
                <w:b/>
                <w:bCs/>
                <w:color w:val="auto"/>
                <w:spacing w:val="5"/>
                <w:kern w:val="2"/>
                <w:lang w:eastAsia="zh-CN"/>
              </w:rPr>
            </w:pPr>
            <w:r>
              <w:rPr>
                <w:rFonts w:hint="default" w:ascii="Times New Roman" w:hAnsi="Times New Roman" w:eastAsia="宋体" w:cs="Times New Roman"/>
                <w:b/>
                <w:bCs/>
                <w:color w:val="auto"/>
                <w:spacing w:val="5"/>
                <w:kern w:val="2"/>
                <w:lang w:eastAsia="zh-CN"/>
              </w:rPr>
              <w:t>表2-8 单个试油工程主要设备</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17"/>
              <w:gridCol w:w="1770"/>
              <w:gridCol w:w="2952"/>
              <w:gridCol w:w="717"/>
              <w:gridCol w:w="717"/>
              <w:gridCol w:w="2265"/>
            </w:tblGrid>
            <w:tr w14:paraId="300DC1EB">
              <w:trPr>
                <w:trHeight w:val="206" w:hRule="atLeast"/>
                <w:jc w:val="center"/>
              </w:trPr>
              <w:tc>
                <w:tcPr>
                  <w:tcW w:w="392" w:type="pct"/>
                  <w:vAlign w:val="center"/>
                </w:tcPr>
                <w:p w14:paraId="31FB820A">
                  <w:pPr>
                    <w:kinsoku/>
                    <w:jc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序号</w:t>
                  </w:r>
                </w:p>
              </w:tc>
              <w:tc>
                <w:tcPr>
                  <w:tcW w:w="968" w:type="pct"/>
                  <w:vAlign w:val="center"/>
                </w:tcPr>
                <w:p w14:paraId="18B89379">
                  <w:pPr>
                    <w:kinsoku/>
                    <w:jc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设备名称</w:t>
                  </w:r>
                </w:p>
              </w:tc>
              <w:tc>
                <w:tcPr>
                  <w:tcW w:w="1614" w:type="pct"/>
                  <w:vAlign w:val="center"/>
                </w:tcPr>
                <w:p w14:paraId="7BFE5AA0">
                  <w:pPr>
                    <w:kinsoku/>
                    <w:jc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型号及规格</w:t>
                  </w:r>
                </w:p>
              </w:tc>
              <w:tc>
                <w:tcPr>
                  <w:tcW w:w="392" w:type="pct"/>
                  <w:vAlign w:val="center"/>
                </w:tcPr>
                <w:p w14:paraId="67E7ABE0">
                  <w:pPr>
                    <w:kinsoku/>
                    <w:jc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单位</w:t>
                  </w:r>
                </w:p>
              </w:tc>
              <w:tc>
                <w:tcPr>
                  <w:tcW w:w="392" w:type="pct"/>
                  <w:vAlign w:val="center"/>
                </w:tcPr>
                <w:p w14:paraId="3DB9A50A">
                  <w:pPr>
                    <w:kinsoku/>
                    <w:jc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数量</w:t>
                  </w:r>
                </w:p>
              </w:tc>
              <w:tc>
                <w:tcPr>
                  <w:tcW w:w="1238" w:type="pct"/>
                  <w:tcBorders>
                    <w:right w:val="single" w:color="000000" w:sz="4" w:space="0"/>
                  </w:tcBorders>
                  <w:vAlign w:val="center"/>
                </w:tcPr>
                <w:p w14:paraId="15FD435B">
                  <w:pPr>
                    <w:kinsoku/>
                    <w:jc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备注</w:t>
                  </w:r>
                </w:p>
              </w:tc>
            </w:tr>
            <w:tr w14:paraId="680AD59E">
              <w:trPr>
                <w:trHeight w:val="206" w:hRule="atLeast"/>
                <w:jc w:val="center"/>
              </w:trPr>
              <w:tc>
                <w:tcPr>
                  <w:tcW w:w="392" w:type="pct"/>
                  <w:vAlign w:val="center"/>
                </w:tcPr>
                <w:p w14:paraId="1AD50F44">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968" w:type="pct"/>
                  <w:vAlign w:val="center"/>
                </w:tcPr>
                <w:p w14:paraId="7AB774B3">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试油作业机</w:t>
                  </w:r>
                </w:p>
              </w:tc>
              <w:tc>
                <w:tcPr>
                  <w:tcW w:w="1614" w:type="pct"/>
                  <w:vAlign w:val="center"/>
                </w:tcPr>
                <w:p w14:paraId="6B04DE6D">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val="en-US" w:eastAsia="zh-CN" w:bidi="ar"/>
                    </w:rPr>
                    <w:t>XJ550</w:t>
                  </w:r>
                </w:p>
              </w:tc>
              <w:tc>
                <w:tcPr>
                  <w:tcW w:w="392" w:type="pct"/>
                  <w:vAlign w:val="center"/>
                </w:tcPr>
                <w:p w14:paraId="34D5EEEA">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部</w:t>
                  </w:r>
                </w:p>
              </w:tc>
              <w:tc>
                <w:tcPr>
                  <w:tcW w:w="392" w:type="pct"/>
                  <w:vAlign w:val="center"/>
                </w:tcPr>
                <w:p w14:paraId="0E3B4F78">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1238" w:type="pct"/>
                  <w:tcBorders>
                    <w:right w:val="single" w:color="000000" w:sz="4" w:space="0"/>
                  </w:tcBorders>
                  <w:vAlign w:val="center"/>
                </w:tcPr>
                <w:p w14:paraId="14645483">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r w14:paraId="7E528CB6">
              <w:trPr>
                <w:trHeight w:val="206" w:hRule="atLeast"/>
                <w:jc w:val="center"/>
              </w:trPr>
              <w:tc>
                <w:tcPr>
                  <w:tcW w:w="392" w:type="pct"/>
                  <w:vAlign w:val="center"/>
                </w:tcPr>
                <w:p w14:paraId="02B1F8CD">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2</w:t>
                  </w:r>
                </w:p>
              </w:tc>
              <w:tc>
                <w:tcPr>
                  <w:tcW w:w="968" w:type="pct"/>
                  <w:vAlign w:val="center"/>
                </w:tcPr>
                <w:p w14:paraId="00A28141">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试油井架</w:t>
                  </w:r>
                </w:p>
              </w:tc>
              <w:tc>
                <w:tcPr>
                  <w:tcW w:w="1614" w:type="pct"/>
                  <w:vAlign w:val="center"/>
                </w:tcPr>
                <w:p w14:paraId="7545579B">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c>
                <w:tcPr>
                  <w:tcW w:w="392" w:type="pct"/>
                  <w:vAlign w:val="center"/>
                </w:tcPr>
                <w:p w14:paraId="003EC09B">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部</w:t>
                  </w:r>
                </w:p>
              </w:tc>
              <w:tc>
                <w:tcPr>
                  <w:tcW w:w="392" w:type="pct"/>
                  <w:vAlign w:val="center"/>
                </w:tcPr>
                <w:p w14:paraId="026F9EF4">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1238" w:type="pct"/>
                  <w:tcBorders>
                    <w:right w:val="single" w:color="000000" w:sz="4" w:space="0"/>
                  </w:tcBorders>
                  <w:vAlign w:val="center"/>
                </w:tcPr>
                <w:p w14:paraId="0F31A34D">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r w14:paraId="40C938D2">
              <w:trPr>
                <w:trHeight w:val="405" w:hRule="atLeast"/>
                <w:jc w:val="center"/>
              </w:trPr>
              <w:tc>
                <w:tcPr>
                  <w:tcW w:w="392" w:type="pct"/>
                  <w:vAlign w:val="center"/>
                </w:tcPr>
                <w:p w14:paraId="3FED1492">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3</w:t>
                  </w:r>
                </w:p>
              </w:tc>
              <w:tc>
                <w:tcPr>
                  <w:tcW w:w="968" w:type="pct"/>
                  <w:vAlign w:val="center"/>
                </w:tcPr>
                <w:p w14:paraId="053AFD3C">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液压钳</w:t>
                  </w:r>
                </w:p>
              </w:tc>
              <w:tc>
                <w:tcPr>
                  <w:tcW w:w="1614" w:type="pct"/>
                  <w:vAlign w:val="center"/>
                </w:tcPr>
                <w:p w14:paraId="43119241">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600型或300型</w:t>
                  </w:r>
                </w:p>
              </w:tc>
              <w:tc>
                <w:tcPr>
                  <w:tcW w:w="392" w:type="pct"/>
                  <w:vAlign w:val="center"/>
                </w:tcPr>
                <w:p w14:paraId="1424AEF1">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台</w:t>
                  </w:r>
                </w:p>
              </w:tc>
              <w:tc>
                <w:tcPr>
                  <w:tcW w:w="392" w:type="pct"/>
                  <w:vAlign w:val="center"/>
                </w:tcPr>
                <w:p w14:paraId="5E581988">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1238" w:type="pct"/>
                  <w:tcBorders>
                    <w:right w:val="single" w:color="000000" w:sz="4" w:space="0"/>
                  </w:tcBorders>
                  <w:vAlign w:val="center"/>
                </w:tcPr>
                <w:p w14:paraId="74D8694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足够长的配套</w:t>
                  </w:r>
                </w:p>
                <w:p w14:paraId="2D4B675D">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管线</w:t>
                  </w:r>
                </w:p>
              </w:tc>
            </w:tr>
            <w:tr w14:paraId="11A0E07A">
              <w:trPr>
                <w:trHeight w:val="206" w:hRule="atLeast"/>
                <w:jc w:val="center"/>
              </w:trPr>
              <w:tc>
                <w:tcPr>
                  <w:tcW w:w="392" w:type="pct"/>
                  <w:vAlign w:val="center"/>
                </w:tcPr>
                <w:p w14:paraId="0295A88F">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4</w:t>
                  </w:r>
                </w:p>
              </w:tc>
              <w:tc>
                <w:tcPr>
                  <w:tcW w:w="968" w:type="pct"/>
                  <w:vAlign w:val="center"/>
                </w:tcPr>
                <w:p w14:paraId="42702860">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方罐</w:t>
                  </w:r>
                </w:p>
              </w:tc>
              <w:tc>
                <w:tcPr>
                  <w:tcW w:w="1614" w:type="pct"/>
                  <w:vAlign w:val="center"/>
                </w:tcPr>
                <w:p w14:paraId="63C9CE15">
                  <w:pPr>
                    <w:kinsoku/>
                    <w:jc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40m</w:t>
                  </w:r>
                  <w:r>
                    <w:rPr>
                      <w:rFonts w:hint="default" w:ascii="Times New Roman" w:hAnsi="Times New Roman" w:eastAsia="宋体" w:cs="Times New Roman"/>
                      <w:color w:val="auto"/>
                      <w:highlight w:val="none"/>
                      <w:vertAlign w:val="superscript"/>
                      <w:lang w:eastAsia="zh-CN" w:bidi="ar"/>
                    </w:rPr>
                    <w:t>3</w:t>
                  </w:r>
                </w:p>
              </w:tc>
              <w:tc>
                <w:tcPr>
                  <w:tcW w:w="392" w:type="pct"/>
                  <w:vAlign w:val="center"/>
                </w:tcPr>
                <w:p w14:paraId="4FF3D8FD">
                  <w:pPr>
                    <w:kinsoku/>
                    <w:jc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个</w:t>
                  </w:r>
                </w:p>
              </w:tc>
              <w:tc>
                <w:tcPr>
                  <w:tcW w:w="392" w:type="pct"/>
                  <w:vAlign w:val="center"/>
                </w:tcPr>
                <w:p w14:paraId="58D84830">
                  <w:pPr>
                    <w:kinsoku/>
                    <w:jc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4</w:t>
                  </w:r>
                </w:p>
              </w:tc>
              <w:tc>
                <w:tcPr>
                  <w:tcW w:w="1238" w:type="pct"/>
                  <w:tcBorders>
                    <w:right w:val="single" w:color="000000" w:sz="4" w:space="0"/>
                  </w:tcBorders>
                  <w:vAlign w:val="center"/>
                </w:tcPr>
                <w:p w14:paraId="7C5630F3">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r w14:paraId="5008D87F">
              <w:trPr>
                <w:trHeight w:val="206" w:hRule="atLeast"/>
                <w:jc w:val="center"/>
              </w:trPr>
              <w:tc>
                <w:tcPr>
                  <w:tcW w:w="392" w:type="pct"/>
                  <w:vAlign w:val="center"/>
                </w:tcPr>
                <w:p w14:paraId="63D0681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5</w:t>
                  </w:r>
                </w:p>
              </w:tc>
              <w:tc>
                <w:tcPr>
                  <w:tcW w:w="968" w:type="pct"/>
                  <w:vAlign w:val="center"/>
                </w:tcPr>
                <w:p w14:paraId="4D35DD92">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吊卡</w:t>
                  </w:r>
                </w:p>
              </w:tc>
              <w:tc>
                <w:tcPr>
                  <w:tcW w:w="1614" w:type="pct"/>
                  <w:vAlign w:val="center"/>
                </w:tcPr>
                <w:p w14:paraId="2682121E">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Φ73.0mm/Φ88.9mm</w:t>
                  </w:r>
                </w:p>
              </w:tc>
              <w:tc>
                <w:tcPr>
                  <w:tcW w:w="392" w:type="pct"/>
                  <w:vAlign w:val="center"/>
                </w:tcPr>
                <w:p w14:paraId="66FDC7D6">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只</w:t>
                  </w:r>
                </w:p>
              </w:tc>
              <w:tc>
                <w:tcPr>
                  <w:tcW w:w="392" w:type="pct"/>
                  <w:vAlign w:val="center"/>
                </w:tcPr>
                <w:p w14:paraId="30E84CC3">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2/2</w:t>
                  </w:r>
                </w:p>
              </w:tc>
              <w:tc>
                <w:tcPr>
                  <w:tcW w:w="1238" w:type="pct"/>
                  <w:tcBorders>
                    <w:right w:val="single" w:color="000000" w:sz="4" w:space="0"/>
                  </w:tcBorders>
                  <w:vAlign w:val="center"/>
                </w:tcPr>
                <w:p w14:paraId="5AD59D8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50t</w:t>
                  </w:r>
                </w:p>
              </w:tc>
            </w:tr>
            <w:tr w14:paraId="61D5B785">
              <w:trPr>
                <w:trHeight w:val="206" w:hRule="atLeast"/>
                <w:jc w:val="center"/>
              </w:trPr>
              <w:tc>
                <w:tcPr>
                  <w:tcW w:w="392" w:type="pct"/>
                  <w:vAlign w:val="center"/>
                </w:tcPr>
                <w:p w14:paraId="7E667087">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6</w:t>
                  </w:r>
                </w:p>
              </w:tc>
              <w:tc>
                <w:tcPr>
                  <w:tcW w:w="968" w:type="pct"/>
                  <w:vAlign w:val="center"/>
                </w:tcPr>
                <w:p w14:paraId="3AF7D691">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吊环</w:t>
                  </w:r>
                </w:p>
              </w:tc>
              <w:tc>
                <w:tcPr>
                  <w:tcW w:w="1614" w:type="pct"/>
                  <w:vAlign w:val="center"/>
                </w:tcPr>
                <w:p w14:paraId="50EF4554">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SH-80</w:t>
                  </w:r>
                </w:p>
              </w:tc>
              <w:tc>
                <w:tcPr>
                  <w:tcW w:w="392" w:type="pct"/>
                  <w:vAlign w:val="center"/>
                </w:tcPr>
                <w:p w14:paraId="06437A64">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副</w:t>
                  </w:r>
                </w:p>
              </w:tc>
              <w:tc>
                <w:tcPr>
                  <w:tcW w:w="392" w:type="pct"/>
                  <w:vAlign w:val="center"/>
                </w:tcPr>
                <w:p w14:paraId="65BAFDC1">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1238" w:type="pct"/>
                  <w:tcBorders>
                    <w:right w:val="single" w:color="000000" w:sz="4" w:space="0"/>
                  </w:tcBorders>
                  <w:vAlign w:val="center"/>
                </w:tcPr>
                <w:p w14:paraId="51A5D47E">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r w14:paraId="1F7D64AB">
              <w:trPr>
                <w:trHeight w:val="206" w:hRule="atLeast"/>
                <w:jc w:val="center"/>
              </w:trPr>
              <w:tc>
                <w:tcPr>
                  <w:tcW w:w="392" w:type="pct"/>
                  <w:vAlign w:val="center"/>
                </w:tcPr>
                <w:p w14:paraId="5EEE49AC">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7</w:t>
                  </w:r>
                </w:p>
              </w:tc>
              <w:tc>
                <w:tcPr>
                  <w:tcW w:w="968" w:type="pct"/>
                  <w:vAlign w:val="center"/>
                </w:tcPr>
                <w:p w14:paraId="768D3BF3">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通管规</w:t>
                  </w:r>
                </w:p>
              </w:tc>
              <w:tc>
                <w:tcPr>
                  <w:tcW w:w="1614" w:type="pct"/>
                  <w:vAlign w:val="center"/>
                </w:tcPr>
                <w:p w14:paraId="2341CBC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Φ730mm/580mm</w:t>
                  </w:r>
                </w:p>
              </w:tc>
              <w:tc>
                <w:tcPr>
                  <w:tcW w:w="392" w:type="pct"/>
                  <w:vAlign w:val="center"/>
                </w:tcPr>
                <w:p w14:paraId="2E330D06">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个</w:t>
                  </w:r>
                </w:p>
              </w:tc>
              <w:tc>
                <w:tcPr>
                  <w:tcW w:w="392" w:type="pct"/>
                  <w:vAlign w:val="center"/>
                </w:tcPr>
                <w:p w14:paraId="77876B74">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各2</w:t>
                  </w:r>
                </w:p>
              </w:tc>
              <w:tc>
                <w:tcPr>
                  <w:tcW w:w="1238" w:type="pct"/>
                  <w:tcBorders>
                    <w:right w:val="single" w:color="000000" w:sz="4" w:space="0"/>
                  </w:tcBorders>
                  <w:vAlign w:val="center"/>
                </w:tcPr>
                <w:p w14:paraId="21323DE6">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r w14:paraId="7FBE7F10">
              <w:trPr>
                <w:trHeight w:val="206" w:hRule="atLeast"/>
                <w:jc w:val="center"/>
              </w:trPr>
              <w:tc>
                <w:tcPr>
                  <w:tcW w:w="392" w:type="pct"/>
                  <w:vAlign w:val="center"/>
                </w:tcPr>
                <w:p w14:paraId="288BABDF">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8</w:t>
                  </w:r>
                </w:p>
              </w:tc>
              <w:tc>
                <w:tcPr>
                  <w:tcW w:w="968" w:type="pct"/>
                  <w:vAlign w:val="center"/>
                </w:tcPr>
                <w:p w14:paraId="114D42E3">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提升短节</w:t>
                  </w:r>
                </w:p>
              </w:tc>
              <w:tc>
                <w:tcPr>
                  <w:tcW w:w="1614" w:type="pct"/>
                  <w:vAlign w:val="center"/>
                </w:tcPr>
                <w:p w14:paraId="5C0BACC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Φ88.9mm</w:t>
                  </w:r>
                </w:p>
              </w:tc>
              <w:tc>
                <w:tcPr>
                  <w:tcW w:w="392" w:type="pct"/>
                  <w:vAlign w:val="center"/>
                </w:tcPr>
                <w:p w14:paraId="46EFE52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套</w:t>
                  </w:r>
                </w:p>
              </w:tc>
              <w:tc>
                <w:tcPr>
                  <w:tcW w:w="392" w:type="pct"/>
                  <w:vAlign w:val="center"/>
                </w:tcPr>
                <w:p w14:paraId="7C36A5A3">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1238" w:type="pct"/>
                  <w:tcBorders>
                    <w:right w:val="single" w:color="000000" w:sz="4" w:space="0"/>
                  </w:tcBorders>
                  <w:vAlign w:val="center"/>
                </w:tcPr>
                <w:p w14:paraId="577D5F51">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r w14:paraId="4AE05202">
              <w:trPr>
                <w:trHeight w:val="582" w:hRule="atLeast"/>
                <w:jc w:val="center"/>
              </w:trPr>
              <w:tc>
                <w:tcPr>
                  <w:tcW w:w="392" w:type="pct"/>
                  <w:vAlign w:val="center"/>
                </w:tcPr>
                <w:p w14:paraId="4A1D8472">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9</w:t>
                  </w:r>
                </w:p>
              </w:tc>
              <w:tc>
                <w:tcPr>
                  <w:tcW w:w="968" w:type="pct"/>
                  <w:vAlign w:val="center"/>
                </w:tcPr>
                <w:p w14:paraId="696ED829">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调整短节</w:t>
                  </w:r>
                </w:p>
              </w:tc>
              <w:tc>
                <w:tcPr>
                  <w:tcW w:w="1614" w:type="pct"/>
                  <w:vAlign w:val="center"/>
                </w:tcPr>
                <w:p w14:paraId="5C67996D">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Φ73.0mm</w:t>
                  </w:r>
                </w:p>
              </w:tc>
              <w:tc>
                <w:tcPr>
                  <w:tcW w:w="392" w:type="pct"/>
                  <w:vAlign w:val="center"/>
                </w:tcPr>
                <w:p w14:paraId="0D75C018">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m</w:t>
                  </w:r>
                </w:p>
              </w:tc>
              <w:tc>
                <w:tcPr>
                  <w:tcW w:w="392" w:type="pct"/>
                  <w:vAlign w:val="center"/>
                </w:tcPr>
                <w:p w14:paraId="795715DB">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1238" w:type="pct"/>
                  <w:tcBorders>
                    <w:right w:val="single" w:color="000000" w:sz="4" w:space="0"/>
                  </w:tcBorders>
                  <w:vAlign w:val="center"/>
                </w:tcPr>
                <w:p w14:paraId="1CEE7B28">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(0.3m、0.5m、</w:t>
                  </w:r>
                </w:p>
                <w:p w14:paraId="03F7661B">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1.0m、1.5m、</w:t>
                  </w:r>
                </w:p>
                <w:p w14:paraId="4514D29B">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2.0m)</w:t>
                  </w:r>
                </w:p>
              </w:tc>
            </w:tr>
            <w:tr w14:paraId="6B12D362">
              <w:trPr>
                <w:trHeight w:val="206" w:hRule="atLeast"/>
                <w:jc w:val="center"/>
              </w:trPr>
              <w:tc>
                <w:tcPr>
                  <w:tcW w:w="392" w:type="pct"/>
                  <w:vAlign w:val="center"/>
                </w:tcPr>
                <w:p w14:paraId="1AB6FE6E">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10</w:t>
                  </w:r>
                </w:p>
              </w:tc>
              <w:tc>
                <w:tcPr>
                  <w:tcW w:w="968" w:type="pct"/>
                  <w:vAlign w:val="center"/>
                </w:tcPr>
                <w:p w14:paraId="794B846B">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值班房</w:t>
                  </w:r>
                </w:p>
              </w:tc>
              <w:tc>
                <w:tcPr>
                  <w:tcW w:w="1614" w:type="pct"/>
                  <w:vAlign w:val="center"/>
                </w:tcPr>
                <w:p w14:paraId="6124017E">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c>
                <w:tcPr>
                  <w:tcW w:w="392" w:type="pct"/>
                  <w:vAlign w:val="center"/>
                </w:tcPr>
                <w:p w14:paraId="3D5A2C18">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套</w:t>
                  </w:r>
                </w:p>
              </w:tc>
              <w:tc>
                <w:tcPr>
                  <w:tcW w:w="392" w:type="pct"/>
                  <w:vAlign w:val="center"/>
                </w:tcPr>
                <w:p w14:paraId="475A6F1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1238" w:type="pct"/>
                  <w:tcBorders>
                    <w:right w:val="single" w:color="000000" w:sz="4" w:space="0"/>
                  </w:tcBorders>
                  <w:vAlign w:val="center"/>
                </w:tcPr>
                <w:p w14:paraId="736454B7">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r w14:paraId="0351B325">
              <w:trPr>
                <w:trHeight w:val="206" w:hRule="atLeast"/>
                <w:jc w:val="center"/>
              </w:trPr>
              <w:tc>
                <w:tcPr>
                  <w:tcW w:w="392" w:type="pct"/>
                  <w:vAlign w:val="center"/>
                </w:tcPr>
                <w:p w14:paraId="4C444DD0">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11</w:t>
                  </w:r>
                </w:p>
              </w:tc>
              <w:tc>
                <w:tcPr>
                  <w:tcW w:w="968" w:type="pct"/>
                  <w:vAlign w:val="center"/>
                </w:tcPr>
                <w:p w14:paraId="7369FE19">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发电房</w:t>
                  </w:r>
                </w:p>
              </w:tc>
              <w:tc>
                <w:tcPr>
                  <w:tcW w:w="1614" w:type="pct"/>
                  <w:vAlign w:val="center"/>
                </w:tcPr>
                <w:p w14:paraId="4446079B">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c>
                <w:tcPr>
                  <w:tcW w:w="392" w:type="pct"/>
                  <w:vAlign w:val="center"/>
                </w:tcPr>
                <w:p w14:paraId="4D9EAF5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套</w:t>
                  </w:r>
                </w:p>
              </w:tc>
              <w:tc>
                <w:tcPr>
                  <w:tcW w:w="392" w:type="pct"/>
                  <w:vAlign w:val="center"/>
                </w:tcPr>
                <w:p w14:paraId="5BB92A8A">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1238" w:type="pct"/>
                  <w:tcBorders>
                    <w:right w:val="single" w:color="000000" w:sz="4" w:space="0"/>
                  </w:tcBorders>
                  <w:vAlign w:val="center"/>
                </w:tcPr>
                <w:p w14:paraId="69A1E817">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r w14:paraId="7929DA66">
              <w:trPr>
                <w:trHeight w:val="206" w:hRule="atLeast"/>
                <w:jc w:val="center"/>
              </w:trPr>
              <w:tc>
                <w:tcPr>
                  <w:tcW w:w="392" w:type="pct"/>
                  <w:vAlign w:val="center"/>
                </w:tcPr>
                <w:p w14:paraId="70523E6C">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12</w:t>
                  </w:r>
                </w:p>
              </w:tc>
              <w:tc>
                <w:tcPr>
                  <w:tcW w:w="968" w:type="pct"/>
                  <w:vAlign w:val="center"/>
                </w:tcPr>
                <w:p w14:paraId="1E31A6FB">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柴油发电机</w:t>
                  </w:r>
                </w:p>
              </w:tc>
              <w:tc>
                <w:tcPr>
                  <w:tcW w:w="1614" w:type="pct"/>
                  <w:vAlign w:val="center"/>
                </w:tcPr>
                <w:p w14:paraId="71DFAB6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c>
                <w:tcPr>
                  <w:tcW w:w="392" w:type="pct"/>
                  <w:vAlign w:val="center"/>
                </w:tcPr>
                <w:p w14:paraId="2CBF351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台</w:t>
                  </w:r>
                </w:p>
              </w:tc>
              <w:tc>
                <w:tcPr>
                  <w:tcW w:w="392" w:type="pct"/>
                  <w:vAlign w:val="center"/>
                </w:tcPr>
                <w:p w14:paraId="3E6435FA">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2</w:t>
                  </w:r>
                </w:p>
              </w:tc>
              <w:tc>
                <w:tcPr>
                  <w:tcW w:w="1238" w:type="pct"/>
                  <w:tcBorders>
                    <w:right w:val="single" w:color="000000" w:sz="4" w:space="0"/>
                  </w:tcBorders>
                  <w:vAlign w:val="center"/>
                </w:tcPr>
                <w:p w14:paraId="25779F60">
                  <w:pPr>
                    <w:kinsoku/>
                    <w:jc w:val="center"/>
                    <w:rPr>
                      <w:rFonts w:hint="default" w:ascii="Times New Roman" w:hAnsi="Times New Roman" w:eastAsia="宋体" w:cs="Times New Roman"/>
                      <w:color w:val="auto"/>
                      <w:lang w:eastAsia="zh-CN" w:bidi="ar"/>
                    </w:rPr>
                  </w:pPr>
                  <w:r>
                    <w:rPr>
                      <w:rFonts w:hint="eastAsia" w:ascii="Times New Roman" w:hAnsi="Times New Roman" w:eastAsia="宋体" w:cs="Times New Roman"/>
                      <w:color w:val="auto"/>
                      <w:lang w:val="en-US" w:eastAsia="zh-CN" w:bidi="ar"/>
                    </w:rPr>
                    <w:t>应急备用</w:t>
                  </w:r>
                </w:p>
              </w:tc>
            </w:tr>
            <w:tr w14:paraId="5493A69A">
              <w:trPr>
                <w:trHeight w:val="206" w:hRule="atLeast"/>
                <w:jc w:val="center"/>
              </w:trPr>
              <w:tc>
                <w:tcPr>
                  <w:tcW w:w="392" w:type="pct"/>
                  <w:vAlign w:val="center"/>
                </w:tcPr>
                <w:p w14:paraId="55AC618E">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13</w:t>
                  </w:r>
                </w:p>
              </w:tc>
              <w:tc>
                <w:tcPr>
                  <w:tcW w:w="968" w:type="pct"/>
                  <w:vAlign w:val="center"/>
                </w:tcPr>
                <w:p w14:paraId="51277102">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泵车</w:t>
                  </w:r>
                </w:p>
              </w:tc>
              <w:tc>
                <w:tcPr>
                  <w:tcW w:w="1614" w:type="pct"/>
                  <w:vAlign w:val="center"/>
                </w:tcPr>
                <w:p w14:paraId="71272D32">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700型</w:t>
                  </w:r>
                </w:p>
              </w:tc>
              <w:tc>
                <w:tcPr>
                  <w:tcW w:w="392" w:type="pct"/>
                  <w:vAlign w:val="center"/>
                </w:tcPr>
                <w:p w14:paraId="06FDBE58">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台</w:t>
                  </w:r>
                </w:p>
              </w:tc>
              <w:tc>
                <w:tcPr>
                  <w:tcW w:w="392" w:type="pct"/>
                  <w:vAlign w:val="center"/>
                </w:tcPr>
                <w:p w14:paraId="4F7BEE17">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w:t>
                  </w:r>
                </w:p>
              </w:tc>
              <w:tc>
                <w:tcPr>
                  <w:tcW w:w="1238" w:type="pct"/>
                  <w:tcBorders>
                    <w:right w:val="single" w:color="000000" w:sz="4" w:space="0"/>
                  </w:tcBorders>
                  <w:vAlign w:val="center"/>
                </w:tcPr>
                <w:p w14:paraId="6069C411">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r w14:paraId="3EDC86D1">
              <w:trPr>
                <w:trHeight w:val="213" w:hRule="atLeast"/>
                <w:jc w:val="center"/>
              </w:trPr>
              <w:tc>
                <w:tcPr>
                  <w:tcW w:w="392" w:type="pct"/>
                  <w:vAlign w:val="center"/>
                </w:tcPr>
                <w:p w14:paraId="3F6B4766">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14</w:t>
                  </w:r>
                </w:p>
              </w:tc>
              <w:tc>
                <w:tcPr>
                  <w:tcW w:w="968" w:type="pct"/>
                  <w:vAlign w:val="center"/>
                </w:tcPr>
                <w:p w14:paraId="119EEBA6">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原油储罐</w:t>
                  </w:r>
                </w:p>
              </w:tc>
              <w:tc>
                <w:tcPr>
                  <w:tcW w:w="1614" w:type="pct"/>
                  <w:vAlign w:val="center"/>
                </w:tcPr>
                <w:p w14:paraId="18C2FFBF">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val="en-US" w:eastAsia="zh-CN" w:bidi="ar"/>
                    </w:rPr>
                    <w:t>80</w:t>
                  </w:r>
                  <w:r>
                    <w:rPr>
                      <w:rFonts w:hint="default" w:ascii="Times New Roman" w:hAnsi="Times New Roman" w:eastAsia="宋体" w:cs="Times New Roman"/>
                      <w:color w:val="auto"/>
                      <w:lang w:eastAsia="zh-CN" w:bidi="ar"/>
                    </w:rPr>
                    <w:t>m</w:t>
                  </w:r>
                  <w:r>
                    <w:rPr>
                      <w:rFonts w:hint="default" w:ascii="Times New Roman" w:hAnsi="Times New Roman" w:eastAsia="宋体" w:cs="Times New Roman"/>
                      <w:color w:val="auto"/>
                      <w:vertAlign w:val="superscript"/>
                      <w:lang w:eastAsia="zh-CN" w:bidi="ar"/>
                    </w:rPr>
                    <w:t>3</w:t>
                  </w:r>
                </w:p>
              </w:tc>
              <w:tc>
                <w:tcPr>
                  <w:tcW w:w="392" w:type="pct"/>
                  <w:vAlign w:val="center"/>
                </w:tcPr>
                <w:p w14:paraId="0BD9FDF5">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罐</w:t>
                  </w:r>
                </w:p>
              </w:tc>
              <w:tc>
                <w:tcPr>
                  <w:tcW w:w="392" w:type="pct"/>
                  <w:vAlign w:val="center"/>
                </w:tcPr>
                <w:p w14:paraId="44F062FD">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2</w:t>
                  </w:r>
                </w:p>
              </w:tc>
              <w:tc>
                <w:tcPr>
                  <w:tcW w:w="1238" w:type="pct"/>
                  <w:tcBorders>
                    <w:right w:val="single" w:color="000000" w:sz="4" w:space="0"/>
                  </w:tcBorders>
                  <w:vAlign w:val="center"/>
                </w:tcPr>
                <w:p w14:paraId="55126C96">
                  <w:pPr>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w:t>
                  </w:r>
                </w:p>
              </w:tc>
            </w:tr>
          </w:tbl>
          <w:p w14:paraId="2D2CCEFA">
            <w:pPr>
              <w:widowControl w:val="0"/>
              <w:kinsoku/>
              <w:spacing w:line="500" w:lineRule="exact"/>
              <w:jc w:val="center"/>
              <w:rPr>
                <w:rFonts w:hint="default" w:ascii="Times New Roman" w:hAnsi="Times New Roman" w:eastAsia="宋体" w:cs="Times New Roman"/>
                <w:b/>
                <w:bCs/>
                <w:color w:val="auto"/>
                <w:spacing w:val="5"/>
                <w:kern w:val="2"/>
                <w:lang w:eastAsia="zh-CN"/>
              </w:rPr>
            </w:pPr>
            <w:r>
              <w:rPr>
                <w:rFonts w:hint="default" w:ascii="Times New Roman" w:hAnsi="Times New Roman" w:eastAsia="宋体" w:cs="Times New Roman"/>
                <w:b/>
                <w:bCs/>
                <w:color w:val="auto"/>
                <w:spacing w:val="5"/>
                <w:kern w:val="2"/>
                <w:lang w:eastAsia="zh-CN"/>
              </w:rPr>
              <w:t>表2-9 单个钻井储层改造主要设备</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2567"/>
              <w:gridCol w:w="2149"/>
              <w:gridCol w:w="3123"/>
            </w:tblGrid>
            <w:tr w14:paraId="2D7FDCEF">
              <w:trPr>
                <w:trHeight w:val="193" w:hRule="atLeast"/>
                <w:jc w:val="center"/>
              </w:trPr>
              <w:tc>
                <w:tcPr>
                  <w:tcW w:w="708" w:type="pct"/>
                  <w:vAlign w:val="center"/>
                </w:tcPr>
                <w:p w14:paraId="2B0D1880">
                  <w:pPr>
                    <w:widowControl/>
                    <w:kinsoku/>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bidi="ar"/>
                    </w:rPr>
                    <w:t>阶段</w:t>
                  </w:r>
                </w:p>
              </w:tc>
              <w:tc>
                <w:tcPr>
                  <w:tcW w:w="1405" w:type="pct"/>
                  <w:vAlign w:val="center"/>
                </w:tcPr>
                <w:p w14:paraId="3071AB83">
                  <w:pPr>
                    <w:widowControl/>
                    <w:kinsoku/>
                    <w:jc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设备名称</w:t>
                  </w:r>
                </w:p>
              </w:tc>
              <w:tc>
                <w:tcPr>
                  <w:tcW w:w="1176" w:type="pct"/>
                  <w:vAlign w:val="center"/>
                </w:tcPr>
                <w:p w14:paraId="13CD7F3C">
                  <w:pPr>
                    <w:widowControl/>
                    <w:kinsoku/>
                    <w:jc w:val="center"/>
                    <w:rPr>
                      <w:rFonts w:hint="default" w:ascii="Times New Roman" w:hAnsi="Times New Roman" w:eastAsia="宋体" w:cs="Times New Roman"/>
                      <w:b/>
                      <w:bCs/>
                      <w:color w:val="auto"/>
                      <w:lang w:eastAsia="zh-CN" w:bidi="ar"/>
                    </w:rPr>
                  </w:pPr>
                  <w:r>
                    <w:rPr>
                      <w:rFonts w:hint="default" w:ascii="Times New Roman" w:hAnsi="Times New Roman" w:eastAsia="宋体" w:cs="Times New Roman"/>
                      <w:b/>
                      <w:bCs/>
                      <w:color w:val="auto"/>
                      <w:lang w:eastAsia="zh-CN" w:bidi="ar"/>
                    </w:rPr>
                    <w:t>主要型号</w:t>
                  </w:r>
                </w:p>
              </w:tc>
              <w:tc>
                <w:tcPr>
                  <w:tcW w:w="1709" w:type="pct"/>
                  <w:vAlign w:val="center"/>
                </w:tcPr>
                <w:p w14:paraId="4D96CE94">
                  <w:pPr>
                    <w:widowControl/>
                    <w:kinsoku/>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bidi="ar"/>
                    </w:rPr>
                    <w:t>数量（台/座）</w:t>
                  </w:r>
                </w:p>
              </w:tc>
            </w:tr>
            <w:tr w14:paraId="523E774A">
              <w:trPr>
                <w:trHeight w:val="193" w:hRule="atLeast"/>
                <w:jc w:val="center"/>
              </w:trPr>
              <w:tc>
                <w:tcPr>
                  <w:tcW w:w="708" w:type="pct"/>
                  <w:vMerge w:val="restart"/>
                  <w:vAlign w:val="center"/>
                </w:tcPr>
                <w:p w14:paraId="1D4B7626">
                  <w:pPr>
                    <w:widowControl/>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压裂</w:t>
                  </w:r>
                </w:p>
              </w:tc>
              <w:tc>
                <w:tcPr>
                  <w:tcW w:w="1405" w:type="pct"/>
                  <w:vAlign w:val="center"/>
                </w:tcPr>
                <w:p w14:paraId="7300418E">
                  <w:pPr>
                    <w:widowControl/>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压裂车</w:t>
                  </w:r>
                </w:p>
              </w:tc>
              <w:tc>
                <w:tcPr>
                  <w:tcW w:w="1176" w:type="pct"/>
                  <w:vAlign w:val="center"/>
                </w:tcPr>
                <w:p w14:paraId="6BDFD5CD">
                  <w:pPr>
                    <w:widowControl/>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2500型</w:t>
                  </w:r>
                </w:p>
              </w:tc>
              <w:tc>
                <w:tcPr>
                  <w:tcW w:w="1709" w:type="pct"/>
                  <w:vAlign w:val="center"/>
                </w:tcPr>
                <w:p w14:paraId="051A0500">
                  <w:pPr>
                    <w:widowControl w:val="0"/>
                    <w:kinsoku/>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w:t>
                  </w:r>
                </w:p>
              </w:tc>
            </w:tr>
            <w:tr w14:paraId="2924327E">
              <w:trPr>
                <w:trHeight w:val="193" w:hRule="atLeast"/>
                <w:jc w:val="center"/>
              </w:trPr>
              <w:tc>
                <w:tcPr>
                  <w:tcW w:w="708" w:type="pct"/>
                  <w:vMerge w:val="continue"/>
                  <w:vAlign w:val="center"/>
                </w:tcPr>
                <w:p w14:paraId="417324C1">
                  <w:pPr>
                    <w:widowControl w:val="0"/>
                    <w:kinsoku/>
                    <w:jc w:val="center"/>
                    <w:rPr>
                      <w:rFonts w:hint="default" w:ascii="Times New Roman" w:hAnsi="Times New Roman" w:eastAsia="宋体" w:cs="Times New Roman"/>
                      <w:color w:val="auto"/>
                      <w:lang w:eastAsia="zh-CN"/>
                    </w:rPr>
                  </w:pPr>
                </w:p>
              </w:tc>
              <w:tc>
                <w:tcPr>
                  <w:tcW w:w="1405" w:type="pct"/>
                  <w:vAlign w:val="center"/>
                </w:tcPr>
                <w:p w14:paraId="7955D5E7">
                  <w:pPr>
                    <w:widowControl/>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混砂车</w:t>
                  </w:r>
                </w:p>
              </w:tc>
              <w:tc>
                <w:tcPr>
                  <w:tcW w:w="1176" w:type="pct"/>
                  <w:vAlign w:val="center"/>
                </w:tcPr>
                <w:p w14:paraId="6CFBFE4B">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1709" w:type="pct"/>
                  <w:vAlign w:val="center"/>
                </w:tcPr>
                <w:p w14:paraId="1A577B5C">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r>
            <w:tr w14:paraId="11D9CA8A">
              <w:trPr>
                <w:trHeight w:val="193" w:hRule="atLeast"/>
                <w:jc w:val="center"/>
              </w:trPr>
              <w:tc>
                <w:tcPr>
                  <w:tcW w:w="708" w:type="pct"/>
                  <w:vMerge w:val="continue"/>
                  <w:vAlign w:val="center"/>
                </w:tcPr>
                <w:p w14:paraId="6CB1DCD8">
                  <w:pPr>
                    <w:widowControl w:val="0"/>
                    <w:kinsoku/>
                    <w:jc w:val="center"/>
                    <w:rPr>
                      <w:rFonts w:hint="default" w:ascii="Times New Roman" w:hAnsi="Times New Roman" w:eastAsia="宋体" w:cs="Times New Roman"/>
                      <w:color w:val="auto"/>
                      <w:lang w:eastAsia="zh-CN"/>
                    </w:rPr>
                  </w:pPr>
                </w:p>
              </w:tc>
              <w:tc>
                <w:tcPr>
                  <w:tcW w:w="1405" w:type="pct"/>
                  <w:vAlign w:val="center"/>
                </w:tcPr>
                <w:p w14:paraId="7E7238D6">
                  <w:pPr>
                    <w:widowControl/>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仪表车</w:t>
                  </w:r>
                </w:p>
              </w:tc>
              <w:tc>
                <w:tcPr>
                  <w:tcW w:w="1176" w:type="pct"/>
                  <w:vAlign w:val="center"/>
                </w:tcPr>
                <w:p w14:paraId="7EFB5902">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1709" w:type="pct"/>
                  <w:vAlign w:val="center"/>
                </w:tcPr>
                <w:p w14:paraId="0B9297E4">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r>
            <w:tr w14:paraId="032F3076">
              <w:trPr>
                <w:trHeight w:val="193" w:hRule="atLeast"/>
                <w:jc w:val="center"/>
              </w:trPr>
              <w:tc>
                <w:tcPr>
                  <w:tcW w:w="708" w:type="pct"/>
                  <w:vMerge w:val="continue"/>
                  <w:vAlign w:val="center"/>
                </w:tcPr>
                <w:p w14:paraId="6B3BD943">
                  <w:pPr>
                    <w:widowControl w:val="0"/>
                    <w:kinsoku/>
                    <w:jc w:val="center"/>
                    <w:rPr>
                      <w:rFonts w:hint="default" w:ascii="Times New Roman" w:hAnsi="Times New Roman" w:eastAsia="宋体" w:cs="Times New Roman"/>
                      <w:color w:val="auto"/>
                      <w:lang w:eastAsia="zh-CN"/>
                    </w:rPr>
                  </w:pPr>
                </w:p>
              </w:tc>
              <w:tc>
                <w:tcPr>
                  <w:tcW w:w="1405" w:type="pct"/>
                  <w:vAlign w:val="center"/>
                </w:tcPr>
                <w:p w14:paraId="720AC3F7">
                  <w:pPr>
                    <w:widowControl/>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砂罐车</w:t>
                  </w:r>
                </w:p>
              </w:tc>
              <w:tc>
                <w:tcPr>
                  <w:tcW w:w="1176" w:type="pct"/>
                  <w:vAlign w:val="center"/>
                </w:tcPr>
                <w:p w14:paraId="220CD8D6">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1709" w:type="pct"/>
                  <w:vAlign w:val="center"/>
                </w:tcPr>
                <w:p w14:paraId="61E75831">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w:t>
                  </w:r>
                </w:p>
              </w:tc>
            </w:tr>
            <w:tr w14:paraId="095AD67E">
              <w:trPr>
                <w:trHeight w:val="193" w:hRule="atLeast"/>
                <w:jc w:val="center"/>
              </w:trPr>
              <w:tc>
                <w:tcPr>
                  <w:tcW w:w="708" w:type="pct"/>
                  <w:vMerge w:val="continue"/>
                  <w:vAlign w:val="center"/>
                </w:tcPr>
                <w:p w14:paraId="760A99E8">
                  <w:pPr>
                    <w:widowControl w:val="0"/>
                    <w:kinsoku/>
                    <w:jc w:val="center"/>
                    <w:rPr>
                      <w:rFonts w:hint="default" w:ascii="Times New Roman" w:hAnsi="Times New Roman" w:eastAsia="宋体" w:cs="Times New Roman"/>
                      <w:color w:val="auto"/>
                      <w:lang w:eastAsia="zh-CN"/>
                    </w:rPr>
                  </w:pPr>
                </w:p>
              </w:tc>
              <w:tc>
                <w:tcPr>
                  <w:tcW w:w="1405" w:type="pct"/>
                  <w:vAlign w:val="center"/>
                </w:tcPr>
                <w:p w14:paraId="0FBF566A">
                  <w:pPr>
                    <w:widowControl w:val="0"/>
                    <w:kinsoku/>
                    <w:jc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砂漏</w:t>
                  </w:r>
                </w:p>
              </w:tc>
              <w:tc>
                <w:tcPr>
                  <w:tcW w:w="1176" w:type="pct"/>
                  <w:vAlign w:val="center"/>
                </w:tcPr>
                <w:p w14:paraId="3A62E12C">
                  <w:pPr>
                    <w:widowControl w:val="0"/>
                    <w:kinsoku/>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p>
              </w:tc>
              <w:tc>
                <w:tcPr>
                  <w:tcW w:w="1709" w:type="pct"/>
                  <w:vAlign w:val="center"/>
                </w:tcPr>
                <w:p w14:paraId="7E652574">
                  <w:pPr>
                    <w:widowControl w:val="0"/>
                    <w:kinsoku/>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w:t>
                  </w:r>
                </w:p>
              </w:tc>
            </w:tr>
            <w:tr w14:paraId="1EDE0EEA">
              <w:trPr>
                <w:trHeight w:val="193" w:hRule="atLeast"/>
                <w:jc w:val="center"/>
              </w:trPr>
              <w:tc>
                <w:tcPr>
                  <w:tcW w:w="708" w:type="pct"/>
                  <w:vMerge w:val="continue"/>
                  <w:vAlign w:val="center"/>
                </w:tcPr>
                <w:p w14:paraId="7CE36348">
                  <w:pPr>
                    <w:widowControl w:val="0"/>
                    <w:kinsoku/>
                    <w:jc w:val="center"/>
                    <w:rPr>
                      <w:rFonts w:hint="default" w:ascii="Times New Roman" w:hAnsi="Times New Roman" w:eastAsia="宋体" w:cs="Times New Roman"/>
                      <w:color w:val="auto"/>
                      <w:lang w:eastAsia="zh-CN"/>
                    </w:rPr>
                  </w:pPr>
                </w:p>
              </w:tc>
              <w:tc>
                <w:tcPr>
                  <w:tcW w:w="1405" w:type="pct"/>
                  <w:vAlign w:val="center"/>
                </w:tcPr>
                <w:p w14:paraId="3A64B43F">
                  <w:pPr>
                    <w:widowControl w:val="0"/>
                    <w:kinsoku/>
                    <w:jc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蓄水池</w:t>
                  </w:r>
                </w:p>
              </w:tc>
              <w:tc>
                <w:tcPr>
                  <w:tcW w:w="1176" w:type="pct"/>
                  <w:vAlign w:val="center"/>
                </w:tcPr>
                <w:p w14:paraId="4463AEBA">
                  <w:pPr>
                    <w:widowControl w:val="0"/>
                    <w:kinsoku/>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3000m</w:t>
                  </w:r>
                  <w:r>
                    <w:rPr>
                      <w:rFonts w:hint="default" w:ascii="Times New Roman" w:hAnsi="Times New Roman" w:eastAsia="宋体" w:cs="Times New Roman"/>
                      <w:color w:val="auto"/>
                      <w:highlight w:val="none"/>
                      <w:vertAlign w:val="superscript"/>
                      <w:lang w:eastAsia="zh-CN"/>
                    </w:rPr>
                    <w:t>3</w:t>
                  </w:r>
                </w:p>
              </w:tc>
              <w:tc>
                <w:tcPr>
                  <w:tcW w:w="1709" w:type="pct"/>
                  <w:vAlign w:val="center"/>
                </w:tcPr>
                <w:p w14:paraId="3F32E73E">
                  <w:pPr>
                    <w:widowControl w:val="0"/>
                    <w:kinsoku/>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w:t>
                  </w:r>
                </w:p>
              </w:tc>
            </w:tr>
            <w:tr w14:paraId="5EDCB6D3">
              <w:trPr>
                <w:trHeight w:val="193" w:hRule="atLeast"/>
                <w:jc w:val="center"/>
              </w:trPr>
              <w:tc>
                <w:tcPr>
                  <w:tcW w:w="708" w:type="pct"/>
                  <w:vMerge w:val="restart"/>
                  <w:vAlign w:val="center"/>
                </w:tcPr>
                <w:p w14:paraId="4462DE7B">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射孔</w:t>
                  </w:r>
                </w:p>
              </w:tc>
              <w:tc>
                <w:tcPr>
                  <w:tcW w:w="1405" w:type="pct"/>
                  <w:vAlign w:val="center"/>
                </w:tcPr>
                <w:p w14:paraId="1FFDF6B2">
                  <w:pPr>
                    <w:widowControl/>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射孔车</w:t>
                  </w:r>
                </w:p>
              </w:tc>
              <w:tc>
                <w:tcPr>
                  <w:tcW w:w="1176" w:type="pct"/>
                  <w:vAlign w:val="center"/>
                </w:tcPr>
                <w:p w14:paraId="6CEDC541">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1709" w:type="pct"/>
                  <w:vAlign w:val="center"/>
                </w:tcPr>
                <w:p w14:paraId="78B55076">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r>
            <w:tr w14:paraId="26F6287B">
              <w:trPr>
                <w:trHeight w:val="193" w:hRule="atLeast"/>
                <w:jc w:val="center"/>
              </w:trPr>
              <w:tc>
                <w:tcPr>
                  <w:tcW w:w="708" w:type="pct"/>
                  <w:vMerge w:val="continue"/>
                  <w:vAlign w:val="center"/>
                </w:tcPr>
                <w:p w14:paraId="545EB583">
                  <w:pPr>
                    <w:widowControl w:val="0"/>
                    <w:kinsoku/>
                    <w:jc w:val="center"/>
                    <w:rPr>
                      <w:rFonts w:hint="default" w:ascii="Times New Roman" w:hAnsi="Times New Roman" w:eastAsia="宋体" w:cs="Times New Roman"/>
                      <w:color w:val="auto"/>
                      <w:lang w:eastAsia="zh-CN"/>
                    </w:rPr>
                  </w:pPr>
                </w:p>
              </w:tc>
              <w:tc>
                <w:tcPr>
                  <w:tcW w:w="1405" w:type="pct"/>
                  <w:vAlign w:val="center"/>
                </w:tcPr>
                <w:p w14:paraId="50663BE7">
                  <w:pPr>
                    <w:widowControl/>
                    <w:kinsoku/>
                    <w:jc w:val="center"/>
                    <w:rPr>
                      <w:rFonts w:hint="default" w:ascii="Times New Roman" w:hAnsi="Times New Roman" w:eastAsia="宋体" w:cs="Times New Roman"/>
                      <w:color w:val="auto"/>
                      <w:lang w:eastAsia="zh-CN" w:bidi="ar"/>
                    </w:rPr>
                  </w:pPr>
                  <w:r>
                    <w:rPr>
                      <w:rFonts w:hint="default" w:ascii="Times New Roman" w:hAnsi="Times New Roman" w:eastAsia="宋体" w:cs="Times New Roman"/>
                      <w:color w:val="auto"/>
                      <w:lang w:eastAsia="zh-CN" w:bidi="ar"/>
                    </w:rPr>
                    <w:t>射孔工具车</w:t>
                  </w:r>
                </w:p>
              </w:tc>
              <w:tc>
                <w:tcPr>
                  <w:tcW w:w="1176" w:type="pct"/>
                  <w:vAlign w:val="center"/>
                </w:tcPr>
                <w:p w14:paraId="7D14FA89">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1709" w:type="pct"/>
                  <w:vAlign w:val="center"/>
                </w:tcPr>
                <w:p w14:paraId="28DC5002">
                  <w:pPr>
                    <w:widowControl w:val="0"/>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r>
          </w:tbl>
          <w:p w14:paraId="4C7BC2A9">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6.钻井液体系</w:t>
            </w:r>
          </w:p>
          <w:p w14:paraId="42E7AE47">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6.1钻井液体系及用量</w:t>
            </w:r>
          </w:p>
          <w:p w14:paraId="4D15AE50">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bidi="ar"/>
              </w:rPr>
              <w:t>根据建设单位提供的设计资料可知，钻井过程中需要使用钻井液，结合井身结构，不同井段采用的钻井液体系有所不同</w:t>
            </w:r>
            <w:bookmarkStart w:id="9" w:name="_Hlk183359743"/>
            <w:bookmarkStart w:id="10" w:name="_Hlk167901113"/>
            <w:bookmarkStart w:id="11" w:name="_Hlk176173839"/>
            <w:bookmarkStart w:id="12" w:name="_Hlk186373794"/>
            <w:r>
              <w:rPr>
                <w:rFonts w:hint="default" w:ascii="Times New Roman" w:hAnsi="Times New Roman" w:eastAsia="宋体" w:cs="Times New Roman"/>
                <w:color w:val="auto"/>
                <w:sz w:val="24"/>
                <w:szCs w:val="24"/>
                <w:lang w:eastAsia="zh-CN" w:bidi="ar"/>
              </w:rPr>
              <w:t>；</w:t>
            </w:r>
            <w:bookmarkEnd w:id="9"/>
            <w:r>
              <w:rPr>
                <w:rFonts w:hint="default" w:ascii="Times New Roman" w:hAnsi="Times New Roman" w:eastAsia="宋体" w:cs="Times New Roman"/>
                <w:color w:val="auto"/>
                <w:sz w:val="24"/>
                <w:szCs w:val="24"/>
                <w:lang w:eastAsia="zh-CN"/>
              </w:rPr>
              <w:t>单井设计钻井液体系见表2-10。</w:t>
            </w:r>
            <w:bookmarkEnd w:id="10"/>
            <w:bookmarkEnd w:id="11"/>
            <w:bookmarkStart w:id="13" w:name="_Ref66721972"/>
            <w:bookmarkStart w:id="14" w:name="_Hlk176173812"/>
          </w:p>
          <w:bookmarkEnd w:id="13"/>
          <w:p w14:paraId="53CD08B4">
            <w:pPr>
              <w:widowControl w:val="0"/>
              <w:kinsoku/>
              <w:spacing w:line="5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表2-10 钻井液体系</w:t>
            </w:r>
          </w:p>
          <w:bookmarkEnd w:id="12"/>
          <w:bookmarkEnd w:id="14"/>
          <w:tbl>
            <w:tblPr>
              <w:tblStyle w:val="17"/>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92"/>
              <w:gridCol w:w="1104"/>
              <w:gridCol w:w="802"/>
              <w:gridCol w:w="1338"/>
              <w:gridCol w:w="5053"/>
            </w:tblGrid>
            <w:tr w14:paraId="0E45C7EF">
              <w:trPr>
                <w:trHeight w:val="582" w:hRule="atLeast"/>
                <w:jc w:val="center"/>
              </w:trPr>
              <w:tc>
                <w:tcPr>
                  <w:tcW w:w="385" w:type="pct"/>
                  <w:vAlign w:val="center"/>
                </w:tcPr>
                <w:p w14:paraId="7BD3D2D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bookmarkStart w:id="15" w:name="OLE_LINK71"/>
                  <w:r>
                    <w:rPr>
                      <w:rFonts w:hint="default" w:ascii="Times New Roman" w:hAnsi="Times New Roman" w:eastAsia="宋体" w:cs="Times New Roman"/>
                      <w:b w:val="0"/>
                      <w:bCs w:val="0"/>
                      <w:color w:val="auto"/>
                      <w:lang w:eastAsia="zh-CN"/>
                    </w:rPr>
                    <w:t>开钻次序</w:t>
                  </w:r>
                </w:p>
              </w:tc>
              <w:tc>
                <w:tcPr>
                  <w:tcW w:w="614" w:type="pct"/>
                  <w:vAlign w:val="center"/>
                </w:tcPr>
                <w:p w14:paraId="084C0F5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井段</w:t>
                  </w:r>
                </w:p>
                <w:p w14:paraId="68F668D4">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（m）</w:t>
                  </w:r>
                </w:p>
              </w:tc>
              <w:tc>
                <w:tcPr>
                  <w:tcW w:w="446" w:type="pct"/>
                  <w:vAlign w:val="center"/>
                </w:tcPr>
                <w:p w14:paraId="50208B7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密度</w:t>
                  </w:r>
                </w:p>
                <w:p w14:paraId="0B9451FE">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g/cm</w:t>
                  </w:r>
                  <w:r>
                    <w:rPr>
                      <w:rFonts w:hint="default" w:ascii="Times New Roman" w:hAnsi="Times New Roman" w:eastAsia="宋体" w:cs="Times New Roman"/>
                      <w:b w:val="0"/>
                      <w:bCs w:val="0"/>
                      <w:color w:val="auto"/>
                      <w:vertAlign w:val="superscript"/>
                      <w:lang w:eastAsia="zh-CN"/>
                    </w:rPr>
                    <w:t>3</w:t>
                  </w:r>
                </w:p>
              </w:tc>
              <w:tc>
                <w:tcPr>
                  <w:tcW w:w="744" w:type="pct"/>
                  <w:vAlign w:val="center"/>
                </w:tcPr>
                <w:p w14:paraId="541A425B">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钻井液类型</w:t>
                  </w:r>
                </w:p>
              </w:tc>
              <w:tc>
                <w:tcPr>
                  <w:tcW w:w="2809" w:type="pct"/>
                  <w:vAlign w:val="center"/>
                </w:tcPr>
                <w:p w14:paraId="0E70890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钻井液配方</w:t>
                  </w:r>
                </w:p>
              </w:tc>
            </w:tr>
            <w:tr w14:paraId="1EE1B605">
              <w:trPr>
                <w:trHeight w:val="1345" w:hRule="atLeast"/>
                <w:jc w:val="center"/>
              </w:trPr>
              <w:tc>
                <w:tcPr>
                  <w:tcW w:w="385" w:type="pct"/>
                  <w:vAlign w:val="center"/>
                </w:tcPr>
                <w:p w14:paraId="2613CF01">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导眼/</w:t>
                  </w:r>
                </w:p>
                <w:p w14:paraId="60F90F2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一开</w:t>
                  </w:r>
                </w:p>
              </w:tc>
              <w:tc>
                <w:tcPr>
                  <w:tcW w:w="614" w:type="pct"/>
                  <w:vAlign w:val="center"/>
                </w:tcPr>
                <w:p w14:paraId="4DC781C5">
                  <w:pPr>
                    <w:keepNext w:val="0"/>
                    <w:keepLines w:val="0"/>
                    <w:pageBreakBefore w:val="0"/>
                    <w:widowControl/>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kern w:val="0"/>
                      <w:sz w:val="21"/>
                      <w:szCs w:val="21"/>
                    </w:rPr>
                    <w:t>0-1000</w:t>
                  </w:r>
                </w:p>
              </w:tc>
              <w:tc>
                <w:tcPr>
                  <w:tcW w:w="446" w:type="pct"/>
                  <w:vAlign w:val="center"/>
                </w:tcPr>
                <w:p w14:paraId="79CA2F4A">
                  <w:pPr>
                    <w:keepNext w:val="0"/>
                    <w:keepLines w:val="0"/>
                    <w:pageBreakBefore w:val="0"/>
                    <w:widowControl/>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kern w:val="0"/>
                      <w:sz w:val="21"/>
                      <w:szCs w:val="21"/>
                    </w:rPr>
                    <w:t>1.10-1.15</w:t>
                  </w:r>
                </w:p>
              </w:tc>
              <w:tc>
                <w:tcPr>
                  <w:tcW w:w="744" w:type="pct"/>
                  <w:vAlign w:val="center"/>
                </w:tcPr>
                <w:p w14:paraId="5C852A15">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膨润土-聚合物钻井液</w:t>
                  </w:r>
                </w:p>
              </w:tc>
              <w:tc>
                <w:tcPr>
                  <w:tcW w:w="2809" w:type="pct"/>
                  <w:vAlign w:val="center"/>
                </w:tcPr>
                <w:p w14:paraId="35A71533">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left"/>
                    <w:textAlignment w:val="baseline"/>
                    <w:rPr>
                      <w:rFonts w:hint="default" w:ascii="Times New Roman" w:hAnsi="Times New Roman" w:eastAsia="宋体" w:cs="Times New Roman"/>
                      <w:b w:val="0"/>
                      <w:bCs w:val="0"/>
                      <w:color w:val="auto"/>
                      <w:vertAlign w:val="subscript"/>
                    </w:rPr>
                  </w:pPr>
                  <w:r>
                    <w:rPr>
                      <w:rFonts w:hint="default" w:ascii="Times New Roman" w:hAnsi="Times New Roman" w:eastAsia="宋体" w:cs="Times New Roman"/>
                      <w:b w:val="0"/>
                      <w:bCs w:val="0"/>
                      <w:color w:val="auto"/>
                    </w:rPr>
                    <w:t>清水+(8-12)%膨润土+(0.2-0.3)%NaOH/Na</w:t>
                  </w:r>
                  <w:r>
                    <w:rPr>
                      <w:rFonts w:hint="default" w:ascii="Times New Roman" w:hAnsi="Times New Roman" w:eastAsia="宋体" w:cs="Times New Roman"/>
                      <w:b w:val="0"/>
                      <w:bCs w:val="0"/>
                      <w:color w:val="auto"/>
                      <w:vertAlign w:val="subscript"/>
                    </w:rPr>
                    <w:t>2</w:t>
                  </w:r>
                  <w:r>
                    <w:rPr>
                      <w:rFonts w:hint="default" w:ascii="Times New Roman" w:hAnsi="Times New Roman" w:eastAsia="宋体" w:cs="Times New Roman"/>
                      <w:b w:val="0"/>
                      <w:bCs w:val="0"/>
                      <w:color w:val="auto"/>
                    </w:rPr>
                    <w:t>CO</w:t>
                  </w:r>
                  <w:r>
                    <w:rPr>
                      <w:rFonts w:hint="default" w:ascii="Times New Roman" w:hAnsi="Times New Roman" w:eastAsia="宋体" w:cs="Times New Roman"/>
                      <w:b w:val="0"/>
                      <w:bCs w:val="0"/>
                      <w:color w:val="auto"/>
                      <w:vertAlign w:val="subscript"/>
                    </w:rPr>
                    <w:t>3</w:t>
                  </w:r>
                </w:p>
                <w:p w14:paraId="0C994521">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+(0.2-0.3)%IND10/FA367</w:t>
                  </w:r>
                </w:p>
                <w:p w14:paraId="4711E205">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+(0.2-0.3)%CMC-HV</w:t>
                  </w:r>
                </w:p>
                <w:p w14:paraId="571B81A4">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+(0.3-0.5)%NH</w:t>
                  </w:r>
                  <w:r>
                    <w:rPr>
                      <w:rFonts w:hint="default" w:ascii="Times New Roman" w:hAnsi="Times New Roman" w:eastAsia="宋体" w:cs="Times New Roman"/>
                      <w:b w:val="0"/>
                      <w:bCs w:val="0"/>
                      <w:color w:val="auto"/>
                      <w:vertAlign w:val="subscript"/>
                    </w:rPr>
                    <w:t>4</w:t>
                  </w:r>
                  <w:r>
                    <w:rPr>
                      <w:rFonts w:hint="default" w:ascii="Times New Roman" w:hAnsi="Times New Roman" w:eastAsia="宋体" w:cs="Times New Roman"/>
                      <w:b w:val="0"/>
                      <w:bCs w:val="0"/>
                      <w:color w:val="auto"/>
                    </w:rPr>
                    <w:t>-HPAN</w:t>
                  </w:r>
                </w:p>
                <w:p w14:paraId="33FB94B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rPr>
                    <w:t>+重晶石粉</w:t>
                  </w:r>
                </w:p>
              </w:tc>
            </w:tr>
            <w:tr w14:paraId="20CEFF00">
              <w:trPr>
                <w:trHeight w:val="517" w:hRule="atLeast"/>
                <w:jc w:val="center"/>
              </w:trPr>
              <w:tc>
                <w:tcPr>
                  <w:tcW w:w="385" w:type="pct"/>
                  <w:vMerge w:val="restart"/>
                  <w:vAlign w:val="center"/>
                </w:tcPr>
                <w:p w14:paraId="5410A81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二开</w:t>
                  </w:r>
                </w:p>
              </w:tc>
              <w:tc>
                <w:tcPr>
                  <w:tcW w:w="614" w:type="pct"/>
                  <w:vAlign w:val="center"/>
                </w:tcPr>
                <w:p w14:paraId="1E0C949B">
                  <w:pPr>
                    <w:pStyle w:val="26"/>
                    <w:keepNext w:val="0"/>
                    <w:keepLines w:val="0"/>
                    <w:pageBreakBefore w:val="0"/>
                    <w:widowControl/>
                    <w:wordWrap/>
                    <w:overflowPunct/>
                    <w:topLinePunct w:val="0"/>
                    <w:autoSpaceDE w:val="0"/>
                    <w:autoSpaceDN w:val="0"/>
                    <w:bidi w:val="0"/>
                    <w:adjustRightInd w:val="0"/>
                    <w:snapToGrid w:val="0"/>
                    <w:spacing w:line="240" w:lineRule="auto"/>
                    <w:ind w:left="0" w:right="0"/>
                    <w:textAlignment w:val="baseline"/>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szCs w:val="21"/>
                    </w:rPr>
                    <w:t>1000-</w:t>
                  </w:r>
                  <w:r>
                    <w:rPr>
                      <w:rFonts w:hint="eastAsia" w:eastAsia="宋体" w:cs="Times New Roman"/>
                      <w:b w:val="0"/>
                      <w:bCs w:val="0"/>
                      <w:color w:val="auto"/>
                      <w:lang w:val="en-US" w:eastAsia="zh-CN"/>
                    </w:rPr>
                    <w:t>2300</w:t>
                  </w:r>
                </w:p>
              </w:tc>
              <w:tc>
                <w:tcPr>
                  <w:tcW w:w="446" w:type="pct"/>
                  <w:vAlign w:val="center"/>
                </w:tcPr>
                <w:p w14:paraId="63ADBE85">
                  <w:pPr>
                    <w:keepNext w:val="0"/>
                    <w:keepLines w:val="0"/>
                    <w:pageBreakBefore w:val="0"/>
                    <w:widowControl/>
                    <w:wordWrap/>
                    <w:overflowPunct/>
                    <w:topLinePunct w:val="0"/>
                    <w:autoSpaceDE w:val="0"/>
                    <w:autoSpaceDN w:val="0"/>
                    <w:bidi w:val="0"/>
                    <w:adjustRightInd w:val="0"/>
                    <w:snapToGrid w:val="0"/>
                    <w:spacing w:line="240" w:lineRule="auto"/>
                    <w:ind w:left="0" w:right="0"/>
                    <w:jc w:val="center"/>
                    <w:textAlignment w:val="baseline"/>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kern w:val="0"/>
                      <w:sz w:val="21"/>
                      <w:szCs w:val="21"/>
                    </w:rPr>
                    <w:t>1.20</w:t>
                  </w:r>
                  <w:r>
                    <w:rPr>
                      <w:rFonts w:hint="default" w:ascii="Times New Roman" w:hAnsi="Times New Roman" w:eastAsia="宋体" w:cs="Times New Roman"/>
                      <w:b w:val="0"/>
                      <w:bCs w:val="0"/>
                      <w:color w:val="auto"/>
                      <w:kern w:val="0"/>
                      <w:sz w:val="21"/>
                      <w:szCs w:val="22"/>
                    </w:rPr>
                    <w:t>-</w:t>
                  </w:r>
                  <w:r>
                    <w:rPr>
                      <w:rFonts w:hint="default" w:ascii="Times New Roman" w:hAnsi="Times New Roman" w:eastAsia="宋体" w:cs="Times New Roman"/>
                      <w:b w:val="0"/>
                      <w:bCs w:val="0"/>
                      <w:color w:val="auto"/>
                      <w:kern w:val="0"/>
                      <w:sz w:val="21"/>
                      <w:szCs w:val="21"/>
                    </w:rPr>
                    <w:t>1.</w:t>
                  </w:r>
                  <w:r>
                    <w:rPr>
                      <w:rFonts w:hint="eastAsia" w:ascii="Times New Roman" w:hAnsi="Times New Roman" w:eastAsia="宋体" w:cs="Times New Roman"/>
                      <w:b w:val="0"/>
                      <w:bCs w:val="0"/>
                      <w:color w:val="auto"/>
                      <w:kern w:val="0"/>
                      <w:sz w:val="21"/>
                      <w:szCs w:val="21"/>
                      <w:lang w:val="en-US" w:eastAsia="zh-CN"/>
                    </w:rPr>
                    <w:t>6</w:t>
                  </w:r>
                </w:p>
              </w:tc>
              <w:tc>
                <w:tcPr>
                  <w:tcW w:w="744" w:type="pct"/>
                  <w:vMerge w:val="restart"/>
                  <w:vAlign w:val="center"/>
                </w:tcPr>
                <w:p w14:paraId="5B6B777F">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r>
                    <w:rPr>
                      <w:rFonts w:hint="eastAsia" w:ascii="Times New Roman" w:hAnsi="Times New Roman" w:eastAsia="宋体" w:cs="Times New Roman"/>
                      <w:b w:val="0"/>
                      <w:bCs w:val="0"/>
                      <w:color w:val="auto"/>
                      <w:lang w:val="en-US" w:eastAsia="zh-CN"/>
                    </w:rPr>
                    <w:t>油基钻井液</w:t>
                  </w:r>
                </w:p>
              </w:tc>
              <w:tc>
                <w:tcPr>
                  <w:tcW w:w="2809" w:type="pct"/>
                  <w:vMerge w:val="restart"/>
                  <w:vAlign w:val="center"/>
                </w:tcPr>
                <w:p w14:paraId="79EA3CA4">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白油/柴油:30%CaCl2水溶液(80:20)</w:t>
                  </w:r>
                </w:p>
                <w:p w14:paraId="73051A5E">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+(2-3)%TYODF-301/XZ-OZR</w:t>
                  </w:r>
                </w:p>
                <w:p w14:paraId="5558C80B">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+(2-3)%TYODF-401/XZ-OFR</w:t>
                  </w:r>
                </w:p>
                <w:p w14:paraId="4BED4CD4">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+(1-2)%TYODF-501/XZ-ORS</w:t>
                  </w:r>
                </w:p>
                <w:p w14:paraId="0856AF8A">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+(2-3)%TYODF-601/LH-OC</w:t>
                  </w:r>
                </w:p>
                <w:p w14:paraId="46C43650">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+(2-3)%XZ-OJL+(0.5-2)%CaO</w:t>
                  </w:r>
                </w:p>
                <w:p w14:paraId="2BB9D81A">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+(3-5)%超细碳酸钙/ZS-3/ZS-5</w:t>
                  </w:r>
                </w:p>
                <w:p w14:paraId="5F1B314A">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+(2-5)%FT-401/LH-LQ/ZK601</w:t>
                  </w:r>
                </w:p>
                <w:p w14:paraId="7A758639">
                  <w:pPr>
                    <w:pStyle w:val="26"/>
                    <w:keepNext w:val="0"/>
                    <w:keepLines w:val="0"/>
                    <w:pageBreakBefore w:val="0"/>
                    <w:widowControl/>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auto"/>
                      <w:lang w:eastAsia="zh-CN"/>
                    </w:rPr>
                  </w:pPr>
                  <w:r>
                    <w:rPr>
                      <w:rFonts w:hint="eastAsia" w:ascii="Times New Roman" w:hAnsi="Times New Roman" w:eastAsia="宋体" w:cs="Times New Roman"/>
                      <w:b w:val="0"/>
                      <w:bCs w:val="0"/>
                      <w:color w:val="auto"/>
                      <w:lang w:val="en-US" w:eastAsia="zh-CN"/>
                    </w:rPr>
                    <w:t>+(1-3)%YL-XD/XZ-DL8+重晶石粉</w:t>
                  </w:r>
                </w:p>
              </w:tc>
            </w:tr>
            <w:tr w14:paraId="47620F73">
              <w:trPr>
                <w:trHeight w:val="0" w:hRule="atLeast"/>
                <w:jc w:val="center"/>
              </w:trPr>
              <w:tc>
                <w:tcPr>
                  <w:tcW w:w="385" w:type="pct"/>
                  <w:vMerge w:val="continue"/>
                  <w:vAlign w:val="center"/>
                </w:tcPr>
                <w:p w14:paraId="6ED759A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p>
              </w:tc>
              <w:tc>
                <w:tcPr>
                  <w:tcW w:w="614" w:type="pct"/>
                  <w:vAlign w:val="center"/>
                </w:tcPr>
                <w:p w14:paraId="6BBB3157">
                  <w:pPr>
                    <w:keepNext w:val="0"/>
                    <w:keepLines w:val="0"/>
                    <w:pageBreakBefore w:val="0"/>
                    <w:widowControl/>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szCs w:val="21"/>
                      <w:lang w:val="en-US" w:eastAsia="zh-CN"/>
                    </w:rPr>
                    <w:t>2300</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kern w:val="0"/>
                      <w:sz w:val="21"/>
                      <w:szCs w:val="21"/>
                    </w:rPr>
                    <w:t>3827.83</w:t>
                  </w:r>
                </w:p>
              </w:tc>
              <w:tc>
                <w:tcPr>
                  <w:tcW w:w="446" w:type="pct"/>
                  <w:vAlign w:val="center"/>
                </w:tcPr>
                <w:p w14:paraId="34A47F16">
                  <w:pPr>
                    <w:keepNext w:val="0"/>
                    <w:keepLines w:val="0"/>
                    <w:pageBreakBefore w:val="0"/>
                    <w:widowControl/>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kern w:val="0"/>
                      <w:sz w:val="21"/>
                      <w:szCs w:val="21"/>
                      <w:lang w:val="en-US" w:eastAsia="zh-CN"/>
                    </w:rPr>
                    <w:t>1.6-1.85</w:t>
                  </w:r>
                </w:p>
              </w:tc>
              <w:tc>
                <w:tcPr>
                  <w:tcW w:w="744" w:type="pct"/>
                  <w:vMerge w:val="continue"/>
                  <w:vAlign w:val="center"/>
                </w:tcPr>
                <w:p w14:paraId="1E48CA62">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p>
              </w:tc>
              <w:tc>
                <w:tcPr>
                  <w:tcW w:w="2809" w:type="pct"/>
                  <w:vMerge w:val="continue"/>
                  <w:vAlign w:val="center"/>
                </w:tcPr>
                <w:p w14:paraId="3DB7DBF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auto"/>
                      <w:lang w:eastAsia="zh-CN"/>
                    </w:rPr>
                  </w:pPr>
                </w:p>
              </w:tc>
            </w:tr>
          </w:tbl>
          <w:p w14:paraId="65141C52">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6.2钻井液材料用量测算</w:t>
            </w:r>
          </w:p>
          <w:p w14:paraId="4F8F6056">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单井使用各类钻井液材料的用量具体见表2-11。</w:t>
            </w:r>
          </w:p>
          <w:p w14:paraId="4A6FA852">
            <w:pPr>
              <w:widowControl w:val="0"/>
              <w:kinsoku/>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表2-11 单井钻井液材料用量</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912"/>
              <w:gridCol w:w="1115"/>
              <w:gridCol w:w="1427"/>
              <w:gridCol w:w="2111"/>
              <w:gridCol w:w="1438"/>
              <w:gridCol w:w="1442"/>
            </w:tblGrid>
            <w:tr w14:paraId="2EC660BE">
              <w:trPr>
                <w:trHeight w:val="274" w:hRule="atLeast"/>
                <w:jc w:val="center"/>
              </w:trPr>
              <w:tc>
                <w:tcPr>
                  <w:tcW w:w="878" w:type="pct"/>
                  <w:gridSpan w:val="2"/>
                  <w:vAlign w:val="center"/>
                </w:tcPr>
                <w:p w14:paraId="49BE54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开钻次序</w:t>
                  </w:r>
                </w:p>
              </w:tc>
              <w:tc>
                <w:tcPr>
                  <w:tcW w:w="610" w:type="pct"/>
                  <w:vAlign w:val="center"/>
                </w:tcPr>
                <w:p w14:paraId="76E501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导眼</w:t>
                  </w:r>
                </w:p>
              </w:tc>
              <w:tc>
                <w:tcPr>
                  <w:tcW w:w="781" w:type="pct"/>
                  <w:vAlign w:val="center"/>
                </w:tcPr>
                <w:p w14:paraId="121E82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一开</w:t>
                  </w:r>
                </w:p>
              </w:tc>
              <w:tc>
                <w:tcPr>
                  <w:tcW w:w="1154" w:type="pct"/>
                  <w:vAlign w:val="center"/>
                </w:tcPr>
                <w:p w14:paraId="496507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二开</w:t>
                  </w:r>
                </w:p>
              </w:tc>
              <w:tc>
                <w:tcPr>
                  <w:tcW w:w="1575" w:type="pct"/>
                  <w:gridSpan w:val="2"/>
                  <w:vAlign w:val="center"/>
                </w:tcPr>
                <w:p w14:paraId="1A5D83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合计</w:t>
                  </w:r>
                </w:p>
              </w:tc>
            </w:tr>
            <w:tr w14:paraId="1955081D">
              <w:trPr>
                <w:trHeight w:val="274" w:hRule="atLeast"/>
                <w:jc w:val="center"/>
              </w:trPr>
              <w:tc>
                <w:tcPr>
                  <w:tcW w:w="878" w:type="pct"/>
                  <w:gridSpan w:val="2"/>
                  <w:vAlign w:val="center"/>
                </w:tcPr>
                <w:p w14:paraId="3BCFD4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钻头尺寸mm</w:t>
                  </w:r>
                </w:p>
              </w:tc>
              <w:tc>
                <w:tcPr>
                  <w:tcW w:w="610" w:type="pct"/>
                  <w:vAlign w:val="center"/>
                </w:tcPr>
                <w:p w14:paraId="741C2E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Φ660</w:t>
                  </w:r>
                </w:p>
              </w:tc>
              <w:tc>
                <w:tcPr>
                  <w:tcW w:w="781" w:type="pct"/>
                  <w:vAlign w:val="center"/>
                </w:tcPr>
                <w:p w14:paraId="0F6250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Φ375</w:t>
                  </w:r>
                </w:p>
              </w:tc>
              <w:tc>
                <w:tcPr>
                  <w:tcW w:w="1154" w:type="pct"/>
                  <w:vAlign w:val="center"/>
                </w:tcPr>
                <w:p w14:paraId="2DB627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Φ241/Φ216</w:t>
                  </w:r>
                </w:p>
              </w:tc>
              <w:tc>
                <w:tcPr>
                  <w:tcW w:w="1575" w:type="pct"/>
                  <w:gridSpan w:val="2"/>
                  <w:vAlign w:val="center"/>
                </w:tcPr>
                <w:p w14:paraId="2E3BCF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14:paraId="07F33702">
              <w:trPr>
                <w:trHeight w:val="274" w:hRule="atLeast"/>
                <w:jc w:val="center"/>
              </w:trPr>
              <w:tc>
                <w:tcPr>
                  <w:tcW w:w="878" w:type="pct"/>
                  <w:gridSpan w:val="2"/>
                  <w:vAlign w:val="center"/>
                </w:tcPr>
                <w:p w14:paraId="4DFFB1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井段m</w:t>
                  </w:r>
                </w:p>
              </w:tc>
              <w:tc>
                <w:tcPr>
                  <w:tcW w:w="610" w:type="pct"/>
                  <w:vAlign w:val="center"/>
                </w:tcPr>
                <w:p w14:paraId="791647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0-30</w:t>
                  </w:r>
                </w:p>
              </w:tc>
              <w:tc>
                <w:tcPr>
                  <w:tcW w:w="781" w:type="pct"/>
                  <w:vAlign w:val="center"/>
                </w:tcPr>
                <w:p w14:paraId="4FB81C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30-1000</w:t>
                  </w:r>
                </w:p>
              </w:tc>
              <w:tc>
                <w:tcPr>
                  <w:tcW w:w="1154" w:type="pct"/>
                  <w:vAlign w:val="center"/>
                </w:tcPr>
                <w:p w14:paraId="5AA2529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1000-3827.83</w:t>
                  </w:r>
                </w:p>
              </w:tc>
              <w:tc>
                <w:tcPr>
                  <w:tcW w:w="1575" w:type="pct"/>
                  <w:gridSpan w:val="2"/>
                  <w:vAlign w:val="center"/>
                </w:tcPr>
                <w:p w14:paraId="2666ADE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14:paraId="3307D7F1">
              <w:trPr>
                <w:trHeight w:val="274" w:hRule="atLeast"/>
                <w:jc w:val="center"/>
              </w:trPr>
              <w:tc>
                <w:tcPr>
                  <w:tcW w:w="878" w:type="pct"/>
                  <w:gridSpan w:val="2"/>
                  <w:vAlign w:val="center"/>
                </w:tcPr>
                <w:p w14:paraId="11B7FA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井筒容积m3</w:t>
                  </w:r>
                </w:p>
              </w:tc>
              <w:tc>
                <w:tcPr>
                  <w:tcW w:w="610" w:type="pct"/>
                  <w:vAlign w:val="center"/>
                </w:tcPr>
                <w:p w14:paraId="11871E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w:t>
                  </w:r>
                </w:p>
              </w:tc>
              <w:tc>
                <w:tcPr>
                  <w:tcW w:w="781" w:type="pct"/>
                  <w:vAlign w:val="center"/>
                </w:tcPr>
                <w:p w14:paraId="7D414B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63</w:t>
                  </w:r>
                </w:p>
              </w:tc>
              <w:tc>
                <w:tcPr>
                  <w:tcW w:w="1154" w:type="pct"/>
                  <w:vAlign w:val="center"/>
                </w:tcPr>
                <w:p w14:paraId="0249DB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168</w:t>
                  </w:r>
                </w:p>
              </w:tc>
              <w:tc>
                <w:tcPr>
                  <w:tcW w:w="1575" w:type="pct"/>
                  <w:gridSpan w:val="2"/>
                  <w:vAlign w:val="center"/>
                </w:tcPr>
                <w:p w14:paraId="103558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14:paraId="5841E9D9">
              <w:trPr>
                <w:trHeight w:val="274" w:hRule="atLeast"/>
                <w:jc w:val="center"/>
              </w:trPr>
              <w:tc>
                <w:tcPr>
                  <w:tcW w:w="878" w:type="pct"/>
                  <w:gridSpan w:val="2"/>
                  <w:vAlign w:val="center"/>
                </w:tcPr>
                <w:p w14:paraId="7A76CAD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钻井液循环量m3</w:t>
                  </w:r>
                </w:p>
              </w:tc>
              <w:tc>
                <w:tcPr>
                  <w:tcW w:w="610" w:type="pct"/>
                  <w:vAlign w:val="center"/>
                </w:tcPr>
                <w:p w14:paraId="3ACA64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117</w:t>
                  </w:r>
                </w:p>
              </w:tc>
              <w:tc>
                <w:tcPr>
                  <w:tcW w:w="781" w:type="pct"/>
                  <w:vAlign w:val="center"/>
                </w:tcPr>
                <w:p w14:paraId="4E09B1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195</w:t>
                  </w:r>
                </w:p>
              </w:tc>
              <w:tc>
                <w:tcPr>
                  <w:tcW w:w="1154" w:type="pct"/>
                  <w:vAlign w:val="center"/>
                </w:tcPr>
                <w:p w14:paraId="1535AE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350</w:t>
                  </w:r>
                </w:p>
              </w:tc>
              <w:tc>
                <w:tcPr>
                  <w:tcW w:w="1575" w:type="pct"/>
                  <w:gridSpan w:val="2"/>
                  <w:vAlign w:val="center"/>
                </w:tcPr>
                <w:p w14:paraId="4D7FA4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14:paraId="28500351">
              <w:trPr>
                <w:trHeight w:val="274" w:hRule="atLeast"/>
                <w:jc w:val="center"/>
              </w:trPr>
              <w:tc>
                <w:tcPr>
                  <w:tcW w:w="379" w:type="pct"/>
                  <w:vMerge w:val="restart"/>
                  <w:vAlign w:val="center"/>
                </w:tcPr>
                <w:p w14:paraId="72BE09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储备钻井液</w:t>
                  </w:r>
                </w:p>
              </w:tc>
              <w:tc>
                <w:tcPr>
                  <w:tcW w:w="498" w:type="pct"/>
                  <w:vAlign w:val="center"/>
                </w:tcPr>
                <w:p w14:paraId="060A39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密度g/cm3</w:t>
                  </w:r>
                </w:p>
              </w:tc>
              <w:tc>
                <w:tcPr>
                  <w:tcW w:w="1391" w:type="pct"/>
                  <w:gridSpan w:val="2"/>
                  <w:vAlign w:val="center"/>
                </w:tcPr>
                <w:p w14:paraId="7E3577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vAlign w:val="center"/>
                </w:tcPr>
                <w:p w14:paraId="734C24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575" w:type="pct"/>
                  <w:gridSpan w:val="2"/>
                  <w:vAlign w:val="center"/>
                </w:tcPr>
                <w:p w14:paraId="655388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14:paraId="140CE19A">
              <w:trPr>
                <w:trHeight w:val="274" w:hRule="atLeast"/>
                <w:jc w:val="center"/>
              </w:trPr>
              <w:tc>
                <w:tcPr>
                  <w:tcW w:w="379" w:type="pct"/>
                  <w:vMerge w:val="continue"/>
                  <w:vAlign w:val="center"/>
                </w:tcPr>
                <w:p w14:paraId="0E6BA6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98" w:type="pct"/>
                  <w:vAlign w:val="center"/>
                </w:tcPr>
                <w:p w14:paraId="4BE6AC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体积m3</w:t>
                  </w:r>
                </w:p>
              </w:tc>
              <w:tc>
                <w:tcPr>
                  <w:tcW w:w="1391" w:type="pct"/>
                  <w:gridSpan w:val="2"/>
                  <w:vAlign w:val="center"/>
                </w:tcPr>
                <w:p w14:paraId="7F31CF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vAlign w:val="center"/>
                </w:tcPr>
                <w:p w14:paraId="1F2D71D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575" w:type="pct"/>
                  <w:gridSpan w:val="2"/>
                  <w:vAlign w:val="center"/>
                </w:tcPr>
                <w:p w14:paraId="4855A8C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14:paraId="229B2CBE">
              <w:trPr>
                <w:trHeight w:val="538" w:hRule="atLeast"/>
                <w:jc w:val="center"/>
              </w:trPr>
              <w:tc>
                <w:tcPr>
                  <w:tcW w:w="878" w:type="pct"/>
                  <w:gridSpan w:val="2"/>
                  <w:vAlign w:val="center"/>
                </w:tcPr>
                <w:p w14:paraId="4268A1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材料名称(代号)</w:t>
                  </w:r>
                </w:p>
              </w:tc>
              <w:tc>
                <w:tcPr>
                  <w:tcW w:w="2546" w:type="pct"/>
                  <w:gridSpan w:val="3"/>
                  <w:vAlign w:val="center"/>
                </w:tcPr>
                <w:p w14:paraId="1769BC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用  量   (t或m3)</w:t>
                  </w:r>
                </w:p>
              </w:tc>
              <w:tc>
                <w:tcPr>
                  <w:tcW w:w="787" w:type="pct"/>
                  <w:vAlign w:val="center"/>
                </w:tcPr>
                <w:p w14:paraId="5C8D4B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储备</w:t>
                  </w:r>
                </w:p>
                <w:p w14:paraId="2683DA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(t或m3)</w:t>
                  </w:r>
                </w:p>
              </w:tc>
              <w:tc>
                <w:tcPr>
                  <w:tcW w:w="787" w:type="pct"/>
                  <w:vAlign w:val="center"/>
                </w:tcPr>
                <w:p w14:paraId="2CCA17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合计</w:t>
                  </w:r>
                </w:p>
                <w:p w14:paraId="74B8C5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(t或m3)</w:t>
                  </w:r>
                </w:p>
              </w:tc>
            </w:tr>
            <w:tr w14:paraId="3307F786">
              <w:trPr>
                <w:trHeight w:val="339" w:hRule="atLeast"/>
                <w:jc w:val="center"/>
              </w:trPr>
              <w:tc>
                <w:tcPr>
                  <w:tcW w:w="878" w:type="pct"/>
                  <w:gridSpan w:val="2"/>
                  <w:tcBorders>
                    <w:bottom w:val="single" w:color="auto" w:sz="4" w:space="0"/>
                  </w:tcBorders>
                  <w:vAlign w:val="center"/>
                </w:tcPr>
                <w:p w14:paraId="345995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膨润土</w:t>
                  </w:r>
                </w:p>
              </w:tc>
              <w:tc>
                <w:tcPr>
                  <w:tcW w:w="1391" w:type="pct"/>
                  <w:gridSpan w:val="2"/>
                  <w:tcBorders>
                    <w:bottom w:val="single" w:color="auto" w:sz="4" w:space="0"/>
                  </w:tcBorders>
                  <w:vAlign w:val="center"/>
                </w:tcPr>
                <w:p w14:paraId="620AF6E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1154" w:type="pct"/>
                  <w:tcBorders>
                    <w:top w:val="single" w:color="auto" w:sz="4" w:space="0"/>
                    <w:left w:val="single" w:color="auto" w:sz="4" w:space="0"/>
                    <w:bottom w:val="single" w:color="auto" w:sz="4" w:space="0"/>
                    <w:right w:val="single" w:color="auto" w:sz="4" w:space="0"/>
                  </w:tcBorders>
                  <w:vAlign w:val="center"/>
                </w:tcPr>
                <w:p w14:paraId="2E4CF8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5C6CBB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6AE6D5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r>
            <w:tr w14:paraId="7B8C29C4">
              <w:trPr>
                <w:trHeight w:val="339" w:hRule="atLeast"/>
                <w:jc w:val="center"/>
              </w:trPr>
              <w:tc>
                <w:tcPr>
                  <w:tcW w:w="878" w:type="pct"/>
                  <w:gridSpan w:val="2"/>
                  <w:tcBorders>
                    <w:top w:val="single" w:color="auto" w:sz="4" w:space="0"/>
                    <w:bottom w:val="single" w:color="auto" w:sz="4" w:space="0"/>
                  </w:tcBorders>
                  <w:vAlign w:val="center"/>
                </w:tcPr>
                <w:p w14:paraId="7B8AF7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重晶石粉</w:t>
                  </w:r>
                </w:p>
              </w:tc>
              <w:tc>
                <w:tcPr>
                  <w:tcW w:w="1391" w:type="pct"/>
                  <w:gridSpan w:val="2"/>
                  <w:tcBorders>
                    <w:top w:val="single" w:color="auto" w:sz="4" w:space="0"/>
                    <w:bottom w:val="single" w:color="auto" w:sz="4" w:space="0"/>
                  </w:tcBorders>
                  <w:vAlign w:val="center"/>
                </w:tcPr>
                <w:p w14:paraId="697C60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1154" w:type="pct"/>
                  <w:tcBorders>
                    <w:top w:val="single" w:color="auto" w:sz="4" w:space="0"/>
                    <w:left w:val="single" w:color="auto" w:sz="4" w:space="0"/>
                    <w:bottom w:val="single" w:color="auto" w:sz="4" w:space="0"/>
                    <w:right w:val="single" w:color="auto" w:sz="4" w:space="0"/>
                  </w:tcBorders>
                  <w:vAlign w:val="center"/>
                </w:tcPr>
                <w:p w14:paraId="06D2EE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787" w:type="pct"/>
                  <w:tcBorders>
                    <w:top w:val="single" w:color="auto" w:sz="4" w:space="0"/>
                    <w:left w:val="single" w:color="auto" w:sz="4" w:space="0"/>
                    <w:bottom w:val="single" w:color="auto" w:sz="4" w:space="0"/>
                    <w:right w:val="single" w:color="auto" w:sz="4" w:space="0"/>
                  </w:tcBorders>
                  <w:vAlign w:val="center"/>
                </w:tcPr>
                <w:p w14:paraId="18D88A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w:t>
                  </w:r>
                </w:p>
              </w:tc>
              <w:tc>
                <w:tcPr>
                  <w:tcW w:w="787" w:type="pct"/>
                  <w:tcBorders>
                    <w:top w:val="single" w:color="auto" w:sz="4" w:space="0"/>
                    <w:left w:val="single" w:color="auto" w:sz="4" w:space="0"/>
                    <w:bottom w:val="single" w:color="auto" w:sz="4" w:space="0"/>
                    <w:right w:val="single" w:color="auto" w:sz="4" w:space="0"/>
                  </w:tcBorders>
                  <w:vAlign w:val="center"/>
                </w:tcPr>
                <w:p w14:paraId="3A44BB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570</w:t>
                  </w:r>
                </w:p>
              </w:tc>
            </w:tr>
            <w:tr w14:paraId="5D2C20CD">
              <w:trPr>
                <w:trHeight w:val="339" w:hRule="atLeast"/>
                <w:jc w:val="center"/>
              </w:trPr>
              <w:tc>
                <w:tcPr>
                  <w:tcW w:w="878" w:type="pct"/>
                  <w:gridSpan w:val="2"/>
                  <w:tcBorders>
                    <w:top w:val="single" w:color="auto" w:sz="4" w:space="0"/>
                    <w:bottom w:val="single" w:color="auto" w:sz="4" w:space="0"/>
                  </w:tcBorders>
                  <w:vAlign w:val="center"/>
                </w:tcPr>
                <w:p w14:paraId="5960DE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Na2CO3</w:t>
                  </w:r>
                </w:p>
              </w:tc>
              <w:tc>
                <w:tcPr>
                  <w:tcW w:w="1391" w:type="pct"/>
                  <w:gridSpan w:val="2"/>
                  <w:tcBorders>
                    <w:top w:val="single" w:color="auto" w:sz="4" w:space="0"/>
                    <w:bottom w:val="single" w:color="auto" w:sz="4" w:space="0"/>
                  </w:tcBorders>
                  <w:vAlign w:val="center"/>
                </w:tcPr>
                <w:p w14:paraId="02C580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0.6</w:t>
                  </w:r>
                </w:p>
              </w:tc>
              <w:tc>
                <w:tcPr>
                  <w:tcW w:w="1154" w:type="pct"/>
                  <w:tcBorders>
                    <w:top w:val="single" w:color="auto" w:sz="4" w:space="0"/>
                    <w:left w:val="single" w:color="auto" w:sz="4" w:space="0"/>
                    <w:bottom w:val="single" w:color="auto" w:sz="4" w:space="0"/>
                    <w:right w:val="single" w:color="auto" w:sz="4" w:space="0"/>
                  </w:tcBorders>
                  <w:vAlign w:val="center"/>
                </w:tcPr>
                <w:p w14:paraId="040AF5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6998ED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7504C4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0.6</w:t>
                  </w:r>
                </w:p>
              </w:tc>
            </w:tr>
            <w:tr w14:paraId="1B2B85CD">
              <w:trPr>
                <w:trHeight w:val="339" w:hRule="atLeast"/>
                <w:jc w:val="center"/>
              </w:trPr>
              <w:tc>
                <w:tcPr>
                  <w:tcW w:w="878" w:type="pct"/>
                  <w:gridSpan w:val="2"/>
                  <w:tcBorders>
                    <w:top w:val="single" w:color="auto" w:sz="4" w:space="0"/>
                    <w:bottom w:val="single" w:color="auto" w:sz="4" w:space="0"/>
                  </w:tcBorders>
                  <w:vAlign w:val="center"/>
                </w:tcPr>
                <w:p w14:paraId="204880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NaOH</w:t>
                  </w:r>
                </w:p>
              </w:tc>
              <w:tc>
                <w:tcPr>
                  <w:tcW w:w="1391" w:type="pct"/>
                  <w:gridSpan w:val="2"/>
                  <w:tcBorders>
                    <w:top w:val="single" w:color="auto" w:sz="4" w:space="0"/>
                    <w:bottom w:val="single" w:color="auto" w:sz="4" w:space="0"/>
                  </w:tcBorders>
                  <w:vAlign w:val="center"/>
                </w:tcPr>
                <w:p w14:paraId="61C87B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154" w:type="pct"/>
                  <w:tcBorders>
                    <w:top w:val="single" w:color="auto" w:sz="4" w:space="0"/>
                    <w:left w:val="single" w:color="auto" w:sz="4" w:space="0"/>
                    <w:bottom w:val="single" w:color="auto" w:sz="4" w:space="0"/>
                    <w:right w:val="single" w:color="auto" w:sz="4" w:space="0"/>
                  </w:tcBorders>
                  <w:vAlign w:val="center"/>
                </w:tcPr>
                <w:p w14:paraId="784D15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52E738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6A589D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r>
            <w:tr w14:paraId="68B6243E">
              <w:trPr>
                <w:trHeight w:val="339" w:hRule="atLeast"/>
                <w:jc w:val="center"/>
              </w:trPr>
              <w:tc>
                <w:tcPr>
                  <w:tcW w:w="878" w:type="pct"/>
                  <w:gridSpan w:val="2"/>
                  <w:tcBorders>
                    <w:top w:val="single" w:color="auto" w:sz="4" w:space="0"/>
                    <w:bottom w:val="single" w:color="auto" w:sz="4" w:space="0"/>
                  </w:tcBorders>
                  <w:vAlign w:val="center"/>
                </w:tcPr>
                <w:p w14:paraId="176D1F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CMC-HV/CMC-LV</w:t>
                  </w:r>
                </w:p>
              </w:tc>
              <w:tc>
                <w:tcPr>
                  <w:tcW w:w="1391" w:type="pct"/>
                  <w:gridSpan w:val="2"/>
                  <w:tcBorders>
                    <w:top w:val="single" w:color="auto" w:sz="4" w:space="0"/>
                    <w:bottom w:val="single" w:color="auto" w:sz="4" w:space="0"/>
                  </w:tcBorders>
                  <w:vAlign w:val="center"/>
                </w:tcPr>
                <w:p w14:paraId="74D51F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154" w:type="pct"/>
                  <w:tcBorders>
                    <w:top w:val="single" w:color="auto" w:sz="4" w:space="0"/>
                    <w:left w:val="single" w:color="auto" w:sz="4" w:space="0"/>
                    <w:bottom w:val="single" w:color="auto" w:sz="4" w:space="0"/>
                    <w:right w:val="single" w:color="auto" w:sz="4" w:space="0"/>
                  </w:tcBorders>
                  <w:vAlign w:val="center"/>
                </w:tcPr>
                <w:p w14:paraId="29C3D6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186EBC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1708D1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r>
            <w:tr w14:paraId="1F58E5BC">
              <w:trPr>
                <w:trHeight w:val="339" w:hRule="atLeast"/>
                <w:jc w:val="center"/>
              </w:trPr>
              <w:tc>
                <w:tcPr>
                  <w:tcW w:w="878" w:type="pct"/>
                  <w:gridSpan w:val="2"/>
                  <w:tcBorders>
                    <w:top w:val="single" w:color="auto" w:sz="4" w:space="0"/>
                    <w:bottom w:val="single" w:color="auto" w:sz="4" w:space="0"/>
                  </w:tcBorders>
                  <w:vAlign w:val="center"/>
                </w:tcPr>
                <w:p w14:paraId="278C61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FA367/IND10</w:t>
                  </w:r>
                </w:p>
              </w:tc>
              <w:tc>
                <w:tcPr>
                  <w:tcW w:w="1391" w:type="pct"/>
                  <w:gridSpan w:val="2"/>
                  <w:tcBorders>
                    <w:top w:val="single" w:color="auto" w:sz="4" w:space="0"/>
                    <w:bottom w:val="single" w:color="auto" w:sz="4" w:space="0"/>
                  </w:tcBorders>
                  <w:vAlign w:val="center"/>
                </w:tcPr>
                <w:p w14:paraId="427AEE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c>
                <w:tcPr>
                  <w:tcW w:w="1154" w:type="pct"/>
                  <w:tcBorders>
                    <w:top w:val="single" w:color="auto" w:sz="4" w:space="0"/>
                    <w:left w:val="single" w:color="auto" w:sz="4" w:space="0"/>
                    <w:bottom w:val="single" w:color="auto" w:sz="4" w:space="0"/>
                    <w:right w:val="single" w:color="auto" w:sz="4" w:space="0"/>
                  </w:tcBorders>
                  <w:vAlign w:val="center"/>
                </w:tcPr>
                <w:p w14:paraId="032CB3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7247C2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39FBCA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r>
            <w:tr w14:paraId="6984BF0B">
              <w:trPr>
                <w:trHeight w:val="339" w:hRule="atLeast"/>
                <w:jc w:val="center"/>
              </w:trPr>
              <w:tc>
                <w:tcPr>
                  <w:tcW w:w="878" w:type="pct"/>
                  <w:gridSpan w:val="2"/>
                  <w:tcBorders>
                    <w:top w:val="single" w:color="auto" w:sz="4" w:space="0"/>
                    <w:bottom w:val="single" w:color="auto" w:sz="4" w:space="0"/>
                  </w:tcBorders>
                  <w:vAlign w:val="center"/>
                </w:tcPr>
                <w:p w14:paraId="2B7062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NH4HPAN</w:t>
                  </w:r>
                </w:p>
              </w:tc>
              <w:tc>
                <w:tcPr>
                  <w:tcW w:w="1391" w:type="pct"/>
                  <w:gridSpan w:val="2"/>
                  <w:tcBorders>
                    <w:top w:val="single" w:color="auto" w:sz="4" w:space="0"/>
                    <w:bottom w:val="single" w:color="auto" w:sz="4" w:space="0"/>
                  </w:tcBorders>
                  <w:vAlign w:val="center"/>
                </w:tcPr>
                <w:p w14:paraId="4A6247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c>
                <w:tcPr>
                  <w:tcW w:w="1154" w:type="pct"/>
                  <w:tcBorders>
                    <w:top w:val="single" w:color="auto" w:sz="4" w:space="0"/>
                    <w:left w:val="single" w:color="auto" w:sz="4" w:space="0"/>
                    <w:bottom w:val="single" w:color="auto" w:sz="4" w:space="0"/>
                    <w:right w:val="single" w:color="auto" w:sz="4" w:space="0"/>
                  </w:tcBorders>
                  <w:vAlign w:val="center"/>
                </w:tcPr>
                <w:p w14:paraId="1EB886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4987AA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0F4A7C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r>
            <w:tr w14:paraId="4FD7DF6A">
              <w:trPr>
                <w:trHeight w:val="339" w:hRule="atLeast"/>
                <w:jc w:val="center"/>
              </w:trPr>
              <w:tc>
                <w:tcPr>
                  <w:tcW w:w="878" w:type="pct"/>
                  <w:gridSpan w:val="2"/>
                  <w:tcBorders>
                    <w:top w:val="single" w:color="auto" w:sz="4" w:space="0"/>
                    <w:bottom w:val="single" w:color="auto" w:sz="4" w:space="0"/>
                  </w:tcBorders>
                  <w:vAlign w:val="center"/>
                </w:tcPr>
                <w:p w14:paraId="3F301F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柴油/白油</w:t>
                  </w:r>
                </w:p>
              </w:tc>
              <w:tc>
                <w:tcPr>
                  <w:tcW w:w="1391" w:type="pct"/>
                  <w:gridSpan w:val="2"/>
                  <w:tcBorders>
                    <w:top w:val="single" w:color="auto" w:sz="4" w:space="0"/>
                    <w:bottom w:val="single" w:color="auto" w:sz="4" w:space="0"/>
                  </w:tcBorders>
                  <w:vAlign w:val="center"/>
                </w:tcPr>
                <w:p w14:paraId="5698FA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48520F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230</w:t>
                  </w:r>
                </w:p>
              </w:tc>
              <w:tc>
                <w:tcPr>
                  <w:tcW w:w="787" w:type="pct"/>
                  <w:tcBorders>
                    <w:top w:val="single" w:color="auto" w:sz="4" w:space="0"/>
                    <w:left w:val="single" w:color="auto" w:sz="4" w:space="0"/>
                    <w:bottom w:val="single" w:color="auto" w:sz="4" w:space="0"/>
                    <w:right w:val="single" w:color="auto" w:sz="4" w:space="0"/>
                  </w:tcBorders>
                  <w:vAlign w:val="center"/>
                </w:tcPr>
                <w:p w14:paraId="7C95F7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674276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230</w:t>
                  </w:r>
                </w:p>
              </w:tc>
            </w:tr>
            <w:tr w14:paraId="3E9A0056">
              <w:trPr>
                <w:trHeight w:val="339" w:hRule="atLeast"/>
                <w:jc w:val="center"/>
              </w:trPr>
              <w:tc>
                <w:tcPr>
                  <w:tcW w:w="878" w:type="pct"/>
                  <w:gridSpan w:val="2"/>
                  <w:tcBorders>
                    <w:top w:val="single" w:color="auto" w:sz="4" w:space="0"/>
                    <w:bottom w:val="single" w:color="auto" w:sz="4" w:space="0"/>
                  </w:tcBorders>
                  <w:vAlign w:val="center"/>
                </w:tcPr>
                <w:p w14:paraId="672F51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TYODF-301/XZ-OZR</w:t>
                  </w:r>
                </w:p>
              </w:tc>
              <w:tc>
                <w:tcPr>
                  <w:tcW w:w="1391" w:type="pct"/>
                  <w:gridSpan w:val="2"/>
                  <w:tcBorders>
                    <w:top w:val="single" w:color="auto" w:sz="4" w:space="0"/>
                    <w:bottom w:val="single" w:color="auto" w:sz="4" w:space="0"/>
                  </w:tcBorders>
                  <w:vAlign w:val="center"/>
                </w:tcPr>
                <w:p w14:paraId="35B3A2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5507CC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787" w:type="pct"/>
                  <w:tcBorders>
                    <w:top w:val="single" w:color="auto" w:sz="4" w:space="0"/>
                    <w:left w:val="single" w:color="auto" w:sz="4" w:space="0"/>
                    <w:bottom w:val="single" w:color="auto" w:sz="4" w:space="0"/>
                    <w:right w:val="single" w:color="auto" w:sz="4" w:space="0"/>
                  </w:tcBorders>
                  <w:vAlign w:val="center"/>
                </w:tcPr>
                <w:p w14:paraId="512A6C1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203EC1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r>
            <w:tr w14:paraId="56EACCF1">
              <w:trPr>
                <w:trHeight w:val="339" w:hRule="atLeast"/>
                <w:jc w:val="center"/>
              </w:trPr>
              <w:tc>
                <w:tcPr>
                  <w:tcW w:w="878" w:type="pct"/>
                  <w:gridSpan w:val="2"/>
                  <w:tcBorders>
                    <w:top w:val="single" w:color="auto" w:sz="4" w:space="0"/>
                    <w:bottom w:val="single" w:color="auto" w:sz="4" w:space="0"/>
                  </w:tcBorders>
                  <w:vAlign w:val="center"/>
                </w:tcPr>
                <w:p w14:paraId="70B5CD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TYODF-401/XZ-OFR</w:t>
                  </w:r>
                </w:p>
              </w:tc>
              <w:tc>
                <w:tcPr>
                  <w:tcW w:w="1391" w:type="pct"/>
                  <w:gridSpan w:val="2"/>
                  <w:tcBorders>
                    <w:top w:val="single" w:color="auto" w:sz="4" w:space="0"/>
                    <w:bottom w:val="single" w:color="auto" w:sz="4" w:space="0"/>
                  </w:tcBorders>
                  <w:vAlign w:val="center"/>
                </w:tcPr>
                <w:p w14:paraId="43D0E1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6D49DD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787" w:type="pct"/>
                  <w:tcBorders>
                    <w:top w:val="single" w:color="auto" w:sz="4" w:space="0"/>
                    <w:left w:val="single" w:color="auto" w:sz="4" w:space="0"/>
                    <w:bottom w:val="single" w:color="auto" w:sz="4" w:space="0"/>
                    <w:right w:val="single" w:color="auto" w:sz="4" w:space="0"/>
                  </w:tcBorders>
                  <w:vAlign w:val="center"/>
                </w:tcPr>
                <w:p w14:paraId="087F65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649E79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r>
            <w:tr w14:paraId="01591FB2">
              <w:trPr>
                <w:trHeight w:val="339" w:hRule="atLeast"/>
                <w:jc w:val="center"/>
              </w:trPr>
              <w:tc>
                <w:tcPr>
                  <w:tcW w:w="878" w:type="pct"/>
                  <w:gridSpan w:val="2"/>
                  <w:tcBorders>
                    <w:top w:val="single" w:color="auto" w:sz="4" w:space="0"/>
                    <w:bottom w:val="single" w:color="auto" w:sz="4" w:space="0"/>
                  </w:tcBorders>
                  <w:vAlign w:val="center"/>
                </w:tcPr>
                <w:p w14:paraId="285E7A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TYODF-501/XZ-ORS</w:t>
                  </w:r>
                </w:p>
              </w:tc>
              <w:tc>
                <w:tcPr>
                  <w:tcW w:w="1391" w:type="pct"/>
                  <w:gridSpan w:val="2"/>
                  <w:tcBorders>
                    <w:top w:val="single" w:color="auto" w:sz="4" w:space="0"/>
                    <w:bottom w:val="single" w:color="auto" w:sz="4" w:space="0"/>
                  </w:tcBorders>
                  <w:vAlign w:val="center"/>
                </w:tcPr>
                <w:p w14:paraId="2E5C25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2B511D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787" w:type="pct"/>
                  <w:tcBorders>
                    <w:top w:val="single" w:color="auto" w:sz="4" w:space="0"/>
                    <w:left w:val="single" w:color="auto" w:sz="4" w:space="0"/>
                    <w:bottom w:val="single" w:color="auto" w:sz="4" w:space="0"/>
                    <w:right w:val="single" w:color="auto" w:sz="4" w:space="0"/>
                  </w:tcBorders>
                  <w:vAlign w:val="center"/>
                </w:tcPr>
                <w:p w14:paraId="2AE948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03E344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r>
            <w:tr w14:paraId="5522C5ED">
              <w:trPr>
                <w:trHeight w:val="339" w:hRule="atLeast"/>
                <w:jc w:val="center"/>
              </w:trPr>
              <w:tc>
                <w:tcPr>
                  <w:tcW w:w="878" w:type="pct"/>
                  <w:gridSpan w:val="2"/>
                  <w:tcBorders>
                    <w:top w:val="single" w:color="auto" w:sz="4" w:space="0"/>
                    <w:bottom w:val="single" w:color="auto" w:sz="4" w:space="0"/>
                  </w:tcBorders>
                  <w:vAlign w:val="center"/>
                </w:tcPr>
                <w:p w14:paraId="413D5E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TYODF-601/LH-OC</w:t>
                  </w:r>
                </w:p>
              </w:tc>
              <w:tc>
                <w:tcPr>
                  <w:tcW w:w="1391" w:type="pct"/>
                  <w:gridSpan w:val="2"/>
                  <w:tcBorders>
                    <w:top w:val="single" w:color="auto" w:sz="4" w:space="0"/>
                    <w:bottom w:val="single" w:color="auto" w:sz="4" w:space="0"/>
                  </w:tcBorders>
                  <w:vAlign w:val="center"/>
                </w:tcPr>
                <w:p w14:paraId="746C79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52342B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787" w:type="pct"/>
                  <w:tcBorders>
                    <w:top w:val="single" w:color="auto" w:sz="4" w:space="0"/>
                    <w:left w:val="single" w:color="auto" w:sz="4" w:space="0"/>
                    <w:bottom w:val="single" w:color="auto" w:sz="4" w:space="0"/>
                    <w:right w:val="single" w:color="auto" w:sz="4" w:space="0"/>
                  </w:tcBorders>
                  <w:vAlign w:val="center"/>
                </w:tcPr>
                <w:p w14:paraId="27C336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214398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r>
            <w:tr w14:paraId="128062A4">
              <w:trPr>
                <w:trHeight w:val="339" w:hRule="atLeast"/>
                <w:jc w:val="center"/>
              </w:trPr>
              <w:tc>
                <w:tcPr>
                  <w:tcW w:w="878" w:type="pct"/>
                  <w:gridSpan w:val="2"/>
                  <w:tcBorders>
                    <w:top w:val="single" w:color="auto" w:sz="4" w:space="0"/>
                    <w:bottom w:val="single" w:color="auto" w:sz="4" w:space="0"/>
                  </w:tcBorders>
                  <w:vAlign w:val="center"/>
                </w:tcPr>
                <w:p w14:paraId="16533C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XZ-OJL</w:t>
                  </w:r>
                </w:p>
              </w:tc>
              <w:tc>
                <w:tcPr>
                  <w:tcW w:w="1391" w:type="pct"/>
                  <w:gridSpan w:val="2"/>
                  <w:tcBorders>
                    <w:top w:val="single" w:color="auto" w:sz="4" w:space="0"/>
                    <w:bottom w:val="single" w:color="auto" w:sz="4" w:space="0"/>
                  </w:tcBorders>
                  <w:vAlign w:val="center"/>
                </w:tcPr>
                <w:p w14:paraId="298D05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0160C8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787" w:type="pct"/>
                  <w:tcBorders>
                    <w:top w:val="single" w:color="auto" w:sz="4" w:space="0"/>
                    <w:left w:val="single" w:color="auto" w:sz="4" w:space="0"/>
                    <w:bottom w:val="single" w:color="auto" w:sz="4" w:space="0"/>
                    <w:right w:val="single" w:color="auto" w:sz="4" w:space="0"/>
                  </w:tcBorders>
                  <w:vAlign w:val="center"/>
                </w:tcPr>
                <w:p w14:paraId="2DAD7D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14A9EE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r>
            <w:tr w14:paraId="627E581B">
              <w:trPr>
                <w:trHeight w:val="339" w:hRule="atLeast"/>
                <w:jc w:val="center"/>
              </w:trPr>
              <w:tc>
                <w:tcPr>
                  <w:tcW w:w="878" w:type="pct"/>
                  <w:gridSpan w:val="2"/>
                  <w:tcBorders>
                    <w:top w:val="single" w:color="auto" w:sz="4" w:space="0"/>
                    <w:bottom w:val="single" w:color="auto" w:sz="4" w:space="0"/>
                  </w:tcBorders>
                  <w:vAlign w:val="center"/>
                </w:tcPr>
                <w:p w14:paraId="43EB39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CaO</w:t>
                  </w:r>
                </w:p>
              </w:tc>
              <w:tc>
                <w:tcPr>
                  <w:tcW w:w="1391" w:type="pct"/>
                  <w:gridSpan w:val="2"/>
                  <w:tcBorders>
                    <w:top w:val="single" w:color="auto" w:sz="4" w:space="0"/>
                    <w:bottom w:val="single" w:color="auto" w:sz="4" w:space="0"/>
                  </w:tcBorders>
                  <w:vAlign w:val="center"/>
                </w:tcPr>
                <w:p w14:paraId="6C36DA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0DFD1E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787" w:type="pct"/>
                  <w:tcBorders>
                    <w:top w:val="single" w:color="auto" w:sz="4" w:space="0"/>
                    <w:left w:val="single" w:color="auto" w:sz="4" w:space="0"/>
                    <w:bottom w:val="single" w:color="auto" w:sz="4" w:space="0"/>
                    <w:right w:val="single" w:color="auto" w:sz="4" w:space="0"/>
                  </w:tcBorders>
                  <w:vAlign w:val="center"/>
                </w:tcPr>
                <w:p w14:paraId="4C4D362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01EE4A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r>
            <w:tr w14:paraId="7645537B">
              <w:trPr>
                <w:trHeight w:val="339" w:hRule="atLeast"/>
                <w:jc w:val="center"/>
              </w:trPr>
              <w:tc>
                <w:tcPr>
                  <w:tcW w:w="878" w:type="pct"/>
                  <w:gridSpan w:val="2"/>
                  <w:tcBorders>
                    <w:top w:val="single" w:color="auto" w:sz="4" w:space="0"/>
                    <w:bottom w:val="single" w:color="auto" w:sz="4" w:space="0"/>
                  </w:tcBorders>
                  <w:vAlign w:val="center"/>
                </w:tcPr>
                <w:p w14:paraId="2B6EE8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CaCl2</w:t>
                  </w:r>
                </w:p>
              </w:tc>
              <w:tc>
                <w:tcPr>
                  <w:tcW w:w="1391" w:type="pct"/>
                  <w:gridSpan w:val="2"/>
                  <w:tcBorders>
                    <w:top w:val="single" w:color="auto" w:sz="4" w:space="0"/>
                    <w:bottom w:val="single" w:color="auto" w:sz="4" w:space="0"/>
                  </w:tcBorders>
                  <w:vAlign w:val="center"/>
                </w:tcPr>
                <w:p w14:paraId="76A9A3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53D33F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w:t>
                  </w:r>
                </w:p>
              </w:tc>
              <w:tc>
                <w:tcPr>
                  <w:tcW w:w="787" w:type="pct"/>
                  <w:tcBorders>
                    <w:top w:val="single" w:color="auto" w:sz="4" w:space="0"/>
                    <w:left w:val="single" w:color="auto" w:sz="4" w:space="0"/>
                    <w:bottom w:val="single" w:color="auto" w:sz="4" w:space="0"/>
                    <w:right w:val="single" w:color="auto" w:sz="4" w:space="0"/>
                  </w:tcBorders>
                  <w:vAlign w:val="center"/>
                </w:tcPr>
                <w:p w14:paraId="54C997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622150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w:t>
                  </w:r>
                </w:p>
              </w:tc>
            </w:tr>
            <w:tr w14:paraId="1617DB4D">
              <w:trPr>
                <w:trHeight w:val="340" w:hRule="atLeast"/>
                <w:jc w:val="center"/>
              </w:trPr>
              <w:tc>
                <w:tcPr>
                  <w:tcW w:w="878" w:type="pct"/>
                  <w:gridSpan w:val="2"/>
                  <w:tcBorders>
                    <w:top w:val="single" w:color="auto" w:sz="4" w:space="0"/>
                    <w:bottom w:val="single" w:color="auto" w:sz="4" w:space="0"/>
                  </w:tcBorders>
                  <w:vAlign w:val="center"/>
                </w:tcPr>
                <w:p w14:paraId="2FF7820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FT-401/LH-LQ//ZK601</w:t>
                  </w:r>
                </w:p>
              </w:tc>
              <w:tc>
                <w:tcPr>
                  <w:tcW w:w="1391" w:type="pct"/>
                  <w:gridSpan w:val="2"/>
                  <w:tcBorders>
                    <w:top w:val="single" w:color="auto" w:sz="4" w:space="0"/>
                    <w:bottom w:val="single" w:color="auto" w:sz="4" w:space="0"/>
                  </w:tcBorders>
                  <w:vAlign w:val="center"/>
                </w:tcPr>
                <w:p w14:paraId="394119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21313B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c>
                <w:tcPr>
                  <w:tcW w:w="787" w:type="pct"/>
                  <w:tcBorders>
                    <w:top w:val="single" w:color="auto" w:sz="4" w:space="0"/>
                    <w:left w:val="single" w:color="auto" w:sz="4" w:space="0"/>
                    <w:bottom w:val="single" w:color="auto" w:sz="4" w:space="0"/>
                    <w:right w:val="single" w:color="auto" w:sz="4" w:space="0"/>
                  </w:tcBorders>
                  <w:vAlign w:val="center"/>
                </w:tcPr>
                <w:p w14:paraId="6EE5FC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7841FC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r>
            <w:tr w14:paraId="7AB1403C">
              <w:trPr>
                <w:trHeight w:val="339" w:hRule="atLeast"/>
                <w:jc w:val="center"/>
              </w:trPr>
              <w:tc>
                <w:tcPr>
                  <w:tcW w:w="878" w:type="pct"/>
                  <w:gridSpan w:val="2"/>
                  <w:tcBorders>
                    <w:top w:val="single" w:color="auto" w:sz="4" w:space="0"/>
                    <w:bottom w:val="single" w:color="auto" w:sz="4" w:space="0"/>
                  </w:tcBorders>
                  <w:vAlign w:val="center"/>
                </w:tcPr>
                <w:p w14:paraId="1DBA3C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超细碳酸钙/ZS-3/ZS-5</w:t>
                  </w:r>
                </w:p>
              </w:tc>
              <w:tc>
                <w:tcPr>
                  <w:tcW w:w="1391" w:type="pct"/>
                  <w:gridSpan w:val="2"/>
                  <w:tcBorders>
                    <w:top w:val="single" w:color="auto" w:sz="4" w:space="0"/>
                    <w:bottom w:val="single" w:color="auto" w:sz="4" w:space="0"/>
                  </w:tcBorders>
                  <w:vAlign w:val="center"/>
                </w:tcPr>
                <w:p w14:paraId="5A8B85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69AB83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c>
                <w:tcPr>
                  <w:tcW w:w="787" w:type="pct"/>
                  <w:tcBorders>
                    <w:top w:val="single" w:color="auto" w:sz="4" w:space="0"/>
                    <w:left w:val="single" w:color="auto" w:sz="4" w:space="0"/>
                    <w:bottom w:val="single" w:color="auto" w:sz="4" w:space="0"/>
                    <w:right w:val="single" w:color="auto" w:sz="4" w:space="0"/>
                  </w:tcBorders>
                  <w:vAlign w:val="center"/>
                </w:tcPr>
                <w:p w14:paraId="2544C8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4FF344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r>
            <w:tr w14:paraId="1D78FF43">
              <w:trPr>
                <w:trHeight w:val="339" w:hRule="atLeast"/>
                <w:jc w:val="center"/>
              </w:trPr>
              <w:tc>
                <w:tcPr>
                  <w:tcW w:w="878" w:type="pct"/>
                  <w:gridSpan w:val="2"/>
                  <w:tcBorders>
                    <w:top w:val="single" w:color="auto" w:sz="4" w:space="0"/>
                    <w:bottom w:val="single" w:color="auto" w:sz="4" w:space="0"/>
                  </w:tcBorders>
                  <w:vAlign w:val="center"/>
                </w:tcPr>
                <w:p w14:paraId="7C3F2B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YL-XD/XZ-DL8</w:t>
                  </w:r>
                </w:p>
              </w:tc>
              <w:tc>
                <w:tcPr>
                  <w:tcW w:w="1391" w:type="pct"/>
                  <w:gridSpan w:val="2"/>
                  <w:tcBorders>
                    <w:top w:val="single" w:color="auto" w:sz="4" w:space="0"/>
                    <w:bottom w:val="single" w:color="auto" w:sz="4" w:space="0"/>
                  </w:tcBorders>
                  <w:vAlign w:val="center"/>
                </w:tcPr>
                <w:p w14:paraId="27102C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187CC8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787" w:type="pct"/>
                  <w:tcBorders>
                    <w:top w:val="single" w:color="auto" w:sz="4" w:space="0"/>
                    <w:left w:val="single" w:color="auto" w:sz="4" w:space="0"/>
                    <w:bottom w:val="single" w:color="auto" w:sz="4" w:space="0"/>
                    <w:right w:val="single" w:color="auto" w:sz="4" w:space="0"/>
                  </w:tcBorders>
                  <w:vAlign w:val="center"/>
                </w:tcPr>
                <w:p w14:paraId="075247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02A689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r>
            <w:tr w14:paraId="768A743C">
              <w:trPr>
                <w:trHeight w:val="339" w:hRule="atLeast"/>
                <w:jc w:val="center"/>
              </w:trPr>
              <w:tc>
                <w:tcPr>
                  <w:tcW w:w="878" w:type="pct"/>
                  <w:gridSpan w:val="2"/>
                  <w:tcBorders>
                    <w:top w:val="single" w:color="auto" w:sz="4" w:space="0"/>
                    <w:bottom w:val="single" w:color="auto" w:sz="4" w:space="0"/>
                  </w:tcBorders>
                  <w:vAlign w:val="center"/>
                </w:tcPr>
                <w:p w14:paraId="622AEF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堵漏剂</w:t>
                  </w:r>
                </w:p>
              </w:tc>
              <w:tc>
                <w:tcPr>
                  <w:tcW w:w="1391" w:type="pct"/>
                  <w:gridSpan w:val="2"/>
                  <w:tcBorders>
                    <w:top w:val="single" w:color="auto" w:sz="4" w:space="0"/>
                    <w:bottom w:val="single" w:color="auto" w:sz="4" w:space="0"/>
                  </w:tcBorders>
                  <w:vAlign w:val="center"/>
                </w:tcPr>
                <w:p w14:paraId="24A003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4" w:type="pct"/>
                  <w:tcBorders>
                    <w:top w:val="single" w:color="auto" w:sz="4" w:space="0"/>
                    <w:left w:val="single" w:color="auto" w:sz="4" w:space="0"/>
                    <w:bottom w:val="single" w:color="auto" w:sz="4" w:space="0"/>
                    <w:right w:val="single" w:color="auto" w:sz="4" w:space="0"/>
                  </w:tcBorders>
                  <w:vAlign w:val="center"/>
                </w:tcPr>
                <w:p w14:paraId="616204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7" w:type="pct"/>
                  <w:tcBorders>
                    <w:top w:val="single" w:color="auto" w:sz="4" w:space="0"/>
                    <w:left w:val="single" w:color="auto" w:sz="4" w:space="0"/>
                    <w:bottom w:val="single" w:color="auto" w:sz="4" w:space="0"/>
                    <w:right w:val="single" w:color="auto" w:sz="4" w:space="0"/>
                  </w:tcBorders>
                  <w:vAlign w:val="center"/>
                </w:tcPr>
                <w:p w14:paraId="65DA0E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c>
                <w:tcPr>
                  <w:tcW w:w="787" w:type="pct"/>
                  <w:tcBorders>
                    <w:top w:val="single" w:color="auto" w:sz="4" w:space="0"/>
                    <w:left w:val="single" w:color="auto" w:sz="4" w:space="0"/>
                    <w:bottom w:val="single" w:color="auto" w:sz="4" w:space="0"/>
                    <w:right w:val="single" w:color="auto" w:sz="4" w:space="0"/>
                  </w:tcBorders>
                  <w:vAlign w:val="center"/>
                </w:tcPr>
                <w:p w14:paraId="1D6E45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r>
            <w:tr w14:paraId="3F0168FC">
              <w:trPr>
                <w:trHeight w:val="1255" w:hRule="atLeast"/>
                <w:jc w:val="center"/>
              </w:trPr>
              <w:tc>
                <w:tcPr>
                  <w:tcW w:w="878" w:type="pct"/>
                  <w:gridSpan w:val="2"/>
                  <w:tcBorders>
                    <w:top w:val="single" w:color="auto" w:sz="4" w:space="0"/>
                    <w:bottom w:val="single" w:color="auto" w:sz="4" w:space="0"/>
                  </w:tcBorders>
                  <w:vAlign w:val="center"/>
                </w:tcPr>
                <w:p w14:paraId="6F45F8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可选材料</w:t>
                  </w:r>
                </w:p>
              </w:tc>
              <w:tc>
                <w:tcPr>
                  <w:tcW w:w="4121" w:type="pct"/>
                  <w:gridSpan w:val="5"/>
                  <w:tcBorders>
                    <w:top w:val="single" w:color="auto" w:sz="4" w:space="0"/>
                    <w:bottom w:val="single" w:color="auto" w:sz="4" w:space="0"/>
                    <w:right w:val="single" w:color="auto" w:sz="4" w:space="0"/>
                  </w:tcBorders>
                  <w:vAlign w:val="center"/>
                </w:tcPr>
                <w:p w14:paraId="2D3C7E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YLHP-1、PMHA-2、AHB、LH-YZJ、IND30、KPAM、ZNP-1、BAN-01、XC-HV、NaHPAN、JHS-01、XY-27、ZX-2、PAC-LV、DRGJ-1、AP220、TF-A、DFK-7、SP-8、SP-9、KB、RF-9、DPFT-1、KR-n、KH-n、PHT、YN-YL、FT-1、SMP-II、SPNH、PSC-1、DFK-14、DFK-17、LFRH-1、LFRH-2、TC-WET、TC-OL、TC-PEM、ALS-3、TC-7、DRGF-1、LH-OFL、JHEMUL、JHCOAT、DF-1、GFD-1、WR-1、DRCH-S、OSD-1、RH220、LUBE</w:t>
                  </w:r>
                </w:p>
              </w:tc>
            </w:tr>
            <w:tr w14:paraId="75A1FEB0">
              <w:trPr>
                <w:trHeight w:val="468" w:hRule="atLeast"/>
                <w:jc w:val="center"/>
              </w:trPr>
              <w:tc>
                <w:tcPr>
                  <w:tcW w:w="5000" w:type="pct"/>
                  <w:gridSpan w:val="7"/>
                  <w:tcBorders>
                    <w:top w:val="single" w:color="auto" w:sz="4" w:space="0"/>
                    <w:bottom w:val="single" w:color="auto" w:sz="4" w:space="0"/>
                    <w:right w:val="single" w:color="auto" w:sz="4" w:space="0"/>
                  </w:tcBorders>
                  <w:vAlign w:val="center"/>
                </w:tcPr>
                <w:p w14:paraId="6C57D7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钻井液材料具体用量根据实际情况决定。</w:t>
                  </w:r>
                </w:p>
              </w:tc>
            </w:tr>
          </w:tbl>
          <w:p w14:paraId="4A08FA18">
            <w:pPr>
              <w:pStyle w:val="8"/>
              <w:widowControl w:val="0"/>
              <w:kinsoku/>
              <w:jc w:val="both"/>
              <w:rPr>
                <w:rFonts w:hint="default" w:ascii="Times New Roman" w:hAnsi="Times New Roman" w:eastAsia="宋体" w:cs="Times New Roman"/>
                <w:color w:val="auto"/>
                <w:lang w:eastAsia="zh-CN"/>
              </w:rPr>
            </w:pPr>
          </w:p>
          <w:p w14:paraId="675C6EF6">
            <w:pPr>
              <w:pStyle w:val="8"/>
              <w:widowControl w:val="0"/>
              <w:kinsoku/>
              <w:spacing w:line="281" w:lineRule="auto"/>
              <w:jc w:val="both"/>
              <w:rPr>
                <w:rFonts w:hint="default" w:ascii="Times New Roman" w:hAnsi="Times New Roman" w:eastAsia="宋体" w:cs="Times New Roman"/>
                <w:color w:val="auto"/>
                <w:lang w:eastAsia="zh-CN"/>
              </w:rPr>
            </w:pPr>
          </w:p>
          <w:p w14:paraId="3B0CFDF5">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7.压裂液成分</w:t>
            </w:r>
          </w:p>
          <w:p w14:paraId="7C7779EA">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根据建设单位提供的资料，压裂液主要成分为胍胶、复合添加剂及交联剂等，压裂液成分见表2-12。</w:t>
            </w:r>
          </w:p>
          <w:p w14:paraId="0E8D0504">
            <w:pPr>
              <w:widowControl w:val="0"/>
              <w:kinsoku/>
              <w:spacing w:line="5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表2-12 压裂液成分表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381"/>
              <w:gridCol w:w="6236"/>
            </w:tblGrid>
            <w:tr w14:paraId="49F4F515">
              <w:trPr>
                <w:trHeight w:val="193" w:hRule="atLeast"/>
                <w:jc w:val="center"/>
              </w:trPr>
              <w:tc>
                <w:tcPr>
                  <w:tcW w:w="283" w:type="pct"/>
                  <w:tcBorders>
                    <w:top w:val="single" w:color="auto" w:sz="4" w:space="0"/>
                    <w:left w:val="single" w:color="auto" w:sz="0" w:space="0"/>
                    <w:tl2br w:val="nil"/>
                  </w:tcBorders>
                  <w:shd w:val="clear" w:color="auto" w:fill="FFFFFF"/>
                  <w:vAlign w:val="center"/>
                </w:tcPr>
                <w:p w14:paraId="5306196F">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c>
                <w:tcPr>
                  <w:tcW w:w="1303" w:type="pct"/>
                  <w:tcBorders>
                    <w:top w:val="single" w:color="auto" w:sz="4" w:space="0"/>
                  </w:tcBorders>
                  <w:shd w:val="clear" w:color="auto" w:fill="FFFFFF"/>
                  <w:vAlign w:val="center"/>
                </w:tcPr>
                <w:p w14:paraId="2C0A8CE5">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压裂基液配方</w:t>
                  </w:r>
                </w:p>
              </w:tc>
              <w:tc>
                <w:tcPr>
                  <w:tcW w:w="3413" w:type="pct"/>
                  <w:tcBorders>
                    <w:top w:val="single" w:color="auto" w:sz="4" w:space="0"/>
                    <w:right w:val="single" w:color="auto" w:sz="4" w:space="0"/>
                  </w:tcBorders>
                  <w:shd w:val="clear" w:color="auto" w:fill="FFFFFF"/>
                  <w:vAlign w:val="center"/>
                </w:tcPr>
                <w:p w14:paraId="2BCBF14E">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0.4%胍胶+0.2%复合添加剂+0.3%交联剂</w:t>
                  </w:r>
                </w:p>
              </w:tc>
            </w:tr>
            <w:tr w14:paraId="0A008C8C">
              <w:trPr>
                <w:trHeight w:val="193" w:hRule="atLeast"/>
                <w:jc w:val="center"/>
              </w:trPr>
              <w:tc>
                <w:tcPr>
                  <w:tcW w:w="283" w:type="pct"/>
                  <w:tcBorders>
                    <w:left w:val="single" w:color="auto" w:sz="4" w:space="0"/>
                  </w:tcBorders>
                  <w:shd w:val="clear" w:color="auto" w:fill="FFFFFF"/>
                  <w:vAlign w:val="center"/>
                </w:tcPr>
                <w:p w14:paraId="556B05DD">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w:t>
                  </w:r>
                </w:p>
              </w:tc>
              <w:tc>
                <w:tcPr>
                  <w:tcW w:w="1303" w:type="pct"/>
                  <w:shd w:val="clear" w:color="auto" w:fill="FFFFFF"/>
                  <w:vAlign w:val="center"/>
                </w:tcPr>
                <w:p w14:paraId="05CCC3F5">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交联比</w:t>
                  </w:r>
                </w:p>
              </w:tc>
              <w:tc>
                <w:tcPr>
                  <w:tcW w:w="3413" w:type="pct"/>
                  <w:tcBorders>
                    <w:right w:val="single" w:color="auto" w:sz="4" w:space="0"/>
                  </w:tcBorders>
                  <w:shd w:val="clear" w:color="auto" w:fill="FFFFFF"/>
                  <w:vAlign w:val="center"/>
                </w:tcPr>
                <w:p w14:paraId="1B864B39">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0.3%交联剂</w:t>
                  </w:r>
                </w:p>
              </w:tc>
            </w:tr>
            <w:tr w14:paraId="7144E1B6">
              <w:trPr>
                <w:trHeight w:val="193" w:hRule="atLeast"/>
                <w:jc w:val="center"/>
              </w:trPr>
              <w:tc>
                <w:tcPr>
                  <w:tcW w:w="283" w:type="pct"/>
                  <w:tcBorders>
                    <w:left w:val="single" w:color="auto" w:sz="4" w:space="0"/>
                  </w:tcBorders>
                  <w:shd w:val="clear" w:color="auto" w:fill="FFFFFF"/>
                  <w:vAlign w:val="center"/>
                </w:tcPr>
                <w:p w14:paraId="521C8B3C">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w:t>
                  </w:r>
                </w:p>
              </w:tc>
              <w:tc>
                <w:tcPr>
                  <w:tcW w:w="1303" w:type="pct"/>
                  <w:shd w:val="clear" w:color="auto" w:fill="FFFFFF"/>
                  <w:vAlign w:val="center"/>
                </w:tcPr>
                <w:p w14:paraId="2C16555D">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基液粘度</w:t>
                  </w:r>
                </w:p>
              </w:tc>
              <w:tc>
                <w:tcPr>
                  <w:tcW w:w="3413" w:type="pct"/>
                  <w:tcBorders>
                    <w:right w:val="single" w:color="auto" w:sz="4" w:space="0"/>
                  </w:tcBorders>
                  <w:shd w:val="clear" w:color="auto" w:fill="FFFFFF"/>
                  <w:vAlign w:val="center"/>
                </w:tcPr>
                <w:p w14:paraId="6FD59F15">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30~40mPa·s</w:t>
                  </w:r>
                </w:p>
              </w:tc>
            </w:tr>
            <w:tr w14:paraId="48FD754D">
              <w:trPr>
                <w:trHeight w:val="193" w:hRule="atLeast"/>
                <w:jc w:val="center"/>
              </w:trPr>
              <w:tc>
                <w:tcPr>
                  <w:tcW w:w="283" w:type="pct"/>
                  <w:tcBorders>
                    <w:left w:val="single" w:color="auto" w:sz="4" w:space="0"/>
                  </w:tcBorders>
                  <w:shd w:val="clear" w:color="auto" w:fill="FFFFFF"/>
                  <w:vAlign w:val="center"/>
                </w:tcPr>
                <w:p w14:paraId="7A93F155">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4</w:t>
                  </w:r>
                </w:p>
              </w:tc>
              <w:tc>
                <w:tcPr>
                  <w:tcW w:w="1303" w:type="pct"/>
                  <w:shd w:val="clear" w:color="auto" w:fill="FFFFFF"/>
                  <w:vAlign w:val="center"/>
                </w:tcPr>
                <w:p w14:paraId="189E5194">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冻胶粘度</w:t>
                  </w:r>
                </w:p>
              </w:tc>
              <w:tc>
                <w:tcPr>
                  <w:tcW w:w="3413" w:type="pct"/>
                  <w:tcBorders>
                    <w:right w:val="single" w:color="auto" w:sz="4" w:space="0"/>
                  </w:tcBorders>
                  <w:shd w:val="clear" w:color="auto" w:fill="FFFFFF"/>
                  <w:vAlign w:val="center"/>
                </w:tcPr>
                <w:p w14:paraId="0CAC4C72">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220mPa·s</w:t>
                  </w:r>
                </w:p>
              </w:tc>
            </w:tr>
            <w:tr w14:paraId="44E3A6A6">
              <w:trPr>
                <w:trHeight w:val="193" w:hRule="atLeast"/>
                <w:jc w:val="center"/>
              </w:trPr>
              <w:tc>
                <w:tcPr>
                  <w:tcW w:w="283" w:type="pct"/>
                  <w:tcBorders>
                    <w:left w:val="single" w:color="auto" w:sz="4" w:space="0"/>
                  </w:tcBorders>
                  <w:shd w:val="clear" w:color="auto" w:fill="FFFFFF"/>
                  <w:vAlign w:val="center"/>
                </w:tcPr>
                <w:p w14:paraId="3E89D42E">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5</w:t>
                  </w:r>
                </w:p>
              </w:tc>
              <w:tc>
                <w:tcPr>
                  <w:tcW w:w="1303" w:type="pct"/>
                  <w:shd w:val="clear" w:color="auto" w:fill="FFFFFF"/>
                  <w:vAlign w:val="center"/>
                </w:tcPr>
                <w:p w14:paraId="489DADF2">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pH值</w:t>
                  </w:r>
                </w:p>
              </w:tc>
              <w:tc>
                <w:tcPr>
                  <w:tcW w:w="3413" w:type="pct"/>
                  <w:tcBorders>
                    <w:right w:val="single" w:color="auto" w:sz="4" w:space="0"/>
                  </w:tcBorders>
                  <w:shd w:val="clear" w:color="auto" w:fill="FFFFFF"/>
                  <w:vAlign w:val="center"/>
                </w:tcPr>
                <w:p w14:paraId="6426F075">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9~10</w:t>
                  </w:r>
                </w:p>
              </w:tc>
            </w:tr>
            <w:tr w14:paraId="29442D8B">
              <w:trPr>
                <w:trHeight w:val="193" w:hRule="atLeast"/>
                <w:jc w:val="center"/>
              </w:trPr>
              <w:tc>
                <w:tcPr>
                  <w:tcW w:w="283" w:type="pct"/>
                  <w:tcBorders>
                    <w:left w:val="single" w:color="auto" w:sz="4" w:space="0"/>
                    <w:bottom w:val="single" w:color="auto" w:sz="4" w:space="0"/>
                  </w:tcBorders>
                  <w:shd w:val="clear" w:color="auto" w:fill="FFFFFF"/>
                  <w:vAlign w:val="center"/>
                </w:tcPr>
                <w:p w14:paraId="6C7D0897">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6</w:t>
                  </w:r>
                </w:p>
              </w:tc>
              <w:tc>
                <w:tcPr>
                  <w:tcW w:w="1303" w:type="pct"/>
                  <w:tcBorders>
                    <w:bottom w:val="single" w:color="auto" w:sz="4" w:space="0"/>
                  </w:tcBorders>
                  <w:shd w:val="clear" w:color="auto" w:fill="FFFFFF"/>
                  <w:vAlign w:val="center"/>
                </w:tcPr>
                <w:p w14:paraId="13BF8457">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滑溜水配方</w:t>
                  </w:r>
                </w:p>
              </w:tc>
              <w:tc>
                <w:tcPr>
                  <w:tcW w:w="3413" w:type="pct"/>
                  <w:tcBorders>
                    <w:bottom w:val="single" w:color="auto" w:sz="4" w:space="0"/>
                    <w:right w:val="single" w:color="auto" w:sz="4" w:space="0"/>
                  </w:tcBorders>
                  <w:shd w:val="clear" w:color="auto" w:fill="FFFFFF"/>
                  <w:vAlign w:val="center"/>
                </w:tcPr>
                <w:p w14:paraId="3544BE45">
                  <w:pPr>
                    <w:widowControl w:val="0"/>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0.05%～0.2%环保型减阻剂</w:t>
                  </w:r>
                </w:p>
              </w:tc>
            </w:tr>
            <w:bookmarkEnd w:id="15"/>
          </w:tbl>
          <w:p w14:paraId="3FBF31A9">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8.主要原辅材料消耗情况</w:t>
            </w:r>
          </w:p>
          <w:p w14:paraId="6C65978A">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根据建设单位提供的设计资料，本项目钻井过程中使用钻井液，不同井段采用不同钻井液体系。单井钻井液循环量分别为导眼117m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、一开195m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、二开350m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，单井钻井液循环总量为662m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。单井钻井液材料用量分别为：膨润土20t、重晶石粉570t、Na2CO3 0.6t、NaOH 1t、CMC-HV/CMC-LV 1t、FA367/IND10 1.5t、NH4HPAN 1.5t、柴油/白油230m3、TYODF-301/XZ-OZR 9t、TYODF-401/XZ-OFR 9t、TYODF-501/XZ-ORS 7t、TYODF-601/LH-OC 9t、XZ-OJL 9t、CaO 7t、CaCl2 17t、FT-401/LH-LQ/ZK601 18t、超细碳酸钙/ZS-3/ZS-5 18t、YL-XD/XZ-DL8 9t、堵漏剂10t。本项目共部署2口评价井，2口井钻井液循环总量为1324m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，各类钻井液材料总用量按单井用量的2倍计。</w:t>
            </w:r>
          </w:p>
          <w:p w14:paraId="108CF07C">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压裂液主要成分为胍胶、复合添加剂及交联剂，其中压裂基液配方为0.4%胍胶+0.2%复合添加剂+0.3%交联剂。根据建设单位提供资料，本项目每口井压裂用水量为5000m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，两口井共需压裂用水10000m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；洗井水用量按83m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/口计，两口井共需洗井用水166m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；钻井期单井泥浆配比用水500m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/井，本工程2口井钻井液配比用水1000m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w:t>
            </w:r>
          </w:p>
          <w:p w14:paraId="2906B877">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本项目施工动力主要依靠工业用电，柴油发电机仅作为备用电源。</w:t>
            </w:r>
          </w:p>
          <w:p w14:paraId="1896A93F">
            <w:pPr>
              <w:pStyle w:val="23"/>
              <w:widowControl w:val="0"/>
              <w:kinsoku/>
              <w:spacing w:before="65" w:line="228" w:lineRule="auto"/>
              <w:jc w:val="both"/>
              <w:rPr>
                <w:rFonts w:hint="default" w:ascii="Times New Roman" w:hAnsi="Times New Roman" w:eastAsia="宋体" w:cs="Times New Roman"/>
                <w:color w:val="auto"/>
                <w:sz w:val="24"/>
                <w:szCs w:val="24"/>
                <w:lang w:eastAsia="zh-CN"/>
              </w:rPr>
            </w:pPr>
            <w:r>
              <w:rPr>
                <w:rFonts w:hint="eastAsia" w:ascii="Times New Roman" w:hAnsi="Times New Roman" w:cs="Times New Roman"/>
                <w:b/>
                <w:bCs/>
                <w:color w:val="auto"/>
                <w:spacing w:val="2"/>
                <w:sz w:val="24"/>
                <w:szCs w:val="24"/>
                <w:lang w:val="en-US" w:eastAsia="zh-CN"/>
              </w:rPr>
              <w:t>9</w:t>
            </w:r>
            <w:r>
              <w:rPr>
                <w:rFonts w:hint="default" w:ascii="Times New Roman" w:hAnsi="Times New Roman" w:eastAsia="宋体" w:cs="Times New Roman"/>
                <w:b/>
                <w:bCs/>
                <w:color w:val="auto"/>
                <w:spacing w:val="2"/>
                <w:sz w:val="24"/>
                <w:szCs w:val="24"/>
                <w:lang w:eastAsia="zh-CN"/>
              </w:rPr>
              <w:t>.公用工程</w:t>
            </w:r>
          </w:p>
          <w:p w14:paraId="66E79F3D">
            <w:pPr>
              <w:pStyle w:val="23"/>
              <w:widowControl w:val="0"/>
              <w:kinsoku/>
              <w:spacing w:before="160" w:line="360" w:lineRule="auto"/>
              <w:jc w:val="both"/>
              <w:rPr>
                <w:rFonts w:hint="default" w:ascii="Times New Roman" w:hAnsi="Times New Roman" w:eastAsia="宋体" w:cs="Times New Roman"/>
                <w:color w:val="auto"/>
                <w:sz w:val="24"/>
                <w:szCs w:val="24"/>
                <w:lang w:eastAsia="zh-CN"/>
              </w:rPr>
            </w:pPr>
            <w:r>
              <w:rPr>
                <w:rFonts w:hint="eastAsia" w:ascii="Times New Roman" w:hAnsi="Times New Roman" w:cs="Times New Roman"/>
                <w:b/>
                <w:bCs/>
                <w:color w:val="auto"/>
                <w:spacing w:val="4"/>
                <w:sz w:val="24"/>
                <w:szCs w:val="24"/>
                <w:lang w:val="en-US" w:eastAsia="zh-CN"/>
              </w:rPr>
              <w:t>9</w:t>
            </w:r>
            <w:r>
              <w:rPr>
                <w:rFonts w:hint="default" w:ascii="Times New Roman" w:hAnsi="Times New Roman" w:eastAsia="宋体" w:cs="Times New Roman"/>
                <w:b/>
                <w:bCs/>
                <w:color w:val="auto"/>
                <w:spacing w:val="4"/>
                <w:sz w:val="24"/>
                <w:szCs w:val="24"/>
                <w:lang w:eastAsia="zh-CN"/>
              </w:rPr>
              <w:t>.1给水</w:t>
            </w:r>
          </w:p>
          <w:p w14:paraId="5ED4E0B1">
            <w:pPr>
              <w:pStyle w:val="23"/>
              <w:widowControl w:val="0"/>
              <w:kinsoku/>
              <w:spacing w:line="360" w:lineRule="auto"/>
              <w:ind w:firstLine="496" w:firstLineChars="200"/>
              <w:jc w:val="both"/>
              <w:rPr>
                <w:rFonts w:hint="default" w:ascii="Times New Roman" w:hAnsi="Times New Roman" w:eastAsia="宋体" w:cs="Times New Roman"/>
                <w:color w:val="auto"/>
                <w:spacing w:val="4"/>
                <w:sz w:val="24"/>
                <w:szCs w:val="24"/>
                <w:highlight w:val="none"/>
                <w:lang w:eastAsia="zh-CN"/>
              </w:rPr>
            </w:pPr>
            <w:r>
              <w:rPr>
                <w:rFonts w:hint="default" w:ascii="Times New Roman" w:hAnsi="Times New Roman" w:eastAsia="宋体" w:cs="Times New Roman"/>
                <w:color w:val="auto"/>
                <w:spacing w:val="4"/>
                <w:sz w:val="24"/>
                <w:szCs w:val="24"/>
                <w:lang w:eastAsia="zh-CN"/>
              </w:rPr>
              <w:t>本工程在钻井过程中用水主要为钻井液配比用水。根据建设单位提供的资料，钻井期单井泥浆配比用水500m</w:t>
            </w:r>
            <w:r>
              <w:rPr>
                <w:rFonts w:hint="default" w:ascii="Times New Roman" w:hAnsi="Times New Roman" w:eastAsia="宋体" w:cs="Times New Roman"/>
                <w:color w:val="auto"/>
                <w:spacing w:val="4"/>
                <w:sz w:val="24"/>
                <w:szCs w:val="24"/>
                <w:vertAlign w:val="superscript"/>
                <w:lang w:eastAsia="zh-CN"/>
              </w:rPr>
              <w:t>3</w:t>
            </w:r>
            <w:r>
              <w:rPr>
                <w:rFonts w:hint="default" w:ascii="Times New Roman" w:hAnsi="Times New Roman" w:eastAsia="宋体" w:cs="Times New Roman"/>
                <w:color w:val="auto"/>
                <w:spacing w:val="4"/>
                <w:sz w:val="24"/>
                <w:szCs w:val="24"/>
                <w:lang w:eastAsia="zh-CN"/>
              </w:rPr>
              <w:t>/井，本工程2口井，钻井液配比用水1000m</w:t>
            </w:r>
            <w:r>
              <w:rPr>
                <w:rFonts w:hint="default" w:ascii="Times New Roman" w:hAnsi="Times New Roman" w:eastAsia="宋体" w:cs="Times New Roman"/>
                <w:color w:val="auto"/>
                <w:spacing w:val="4"/>
                <w:sz w:val="24"/>
                <w:szCs w:val="24"/>
                <w:vertAlign w:val="superscript"/>
                <w:lang w:eastAsia="zh-CN"/>
              </w:rPr>
              <w:t>3</w:t>
            </w:r>
            <w:r>
              <w:rPr>
                <w:rFonts w:hint="default" w:ascii="Times New Roman" w:hAnsi="Times New Roman" w:eastAsia="宋体" w:cs="Times New Roman"/>
                <w:color w:val="auto"/>
                <w:spacing w:val="4"/>
                <w:sz w:val="24"/>
                <w:szCs w:val="24"/>
                <w:lang w:eastAsia="zh-CN"/>
              </w:rPr>
              <w:t>。</w:t>
            </w:r>
          </w:p>
          <w:p w14:paraId="27BCD7F8">
            <w:pPr>
              <w:pStyle w:val="23"/>
              <w:widowControl w:val="0"/>
              <w:kinsoku/>
              <w:spacing w:line="360" w:lineRule="auto"/>
              <w:ind w:firstLine="496" w:firstLineChars="200"/>
              <w:jc w:val="both"/>
              <w:rPr>
                <w:rFonts w:hint="default" w:ascii="Times New Roman" w:hAnsi="Times New Roman" w:eastAsia="宋体" w:cs="Times New Roman"/>
                <w:color w:val="auto"/>
                <w:spacing w:val="4"/>
                <w:sz w:val="24"/>
                <w:szCs w:val="24"/>
                <w:highlight w:val="none"/>
                <w:lang w:eastAsia="zh-CN"/>
              </w:rPr>
            </w:pPr>
            <w:r>
              <w:rPr>
                <w:rFonts w:hint="default" w:ascii="Times New Roman" w:hAnsi="Times New Roman" w:eastAsia="宋体" w:cs="Times New Roman"/>
                <w:color w:val="auto"/>
                <w:spacing w:val="4"/>
                <w:sz w:val="24"/>
                <w:szCs w:val="24"/>
                <w:highlight w:val="none"/>
                <w:lang w:eastAsia="zh-CN"/>
              </w:rPr>
              <w:t>钻井期钻井人数</w:t>
            </w:r>
            <w:r>
              <w:rPr>
                <w:rFonts w:hint="default" w:ascii="Times New Roman" w:hAnsi="Times New Roman" w:eastAsia="宋体" w:cs="Times New Roman"/>
                <w:color w:val="auto"/>
                <w:spacing w:val="4"/>
                <w:sz w:val="24"/>
                <w:szCs w:val="24"/>
                <w:highlight w:val="none"/>
                <w:lang w:val="en-US" w:eastAsia="zh-CN"/>
              </w:rPr>
              <w:t>50</w:t>
            </w:r>
            <w:r>
              <w:rPr>
                <w:rFonts w:hint="default" w:ascii="Times New Roman" w:hAnsi="Times New Roman" w:eastAsia="宋体" w:cs="Times New Roman"/>
                <w:color w:val="auto"/>
                <w:spacing w:val="4"/>
                <w:sz w:val="24"/>
                <w:szCs w:val="24"/>
                <w:highlight w:val="none"/>
                <w:lang w:eastAsia="zh-CN"/>
              </w:rPr>
              <w:t>人，单井钻井天数90天，本工程设置2口评价井，按每人每天用水80L计算，钻井期生活用水</w:t>
            </w:r>
            <w:r>
              <w:rPr>
                <w:rFonts w:hint="default" w:ascii="Times New Roman" w:hAnsi="Times New Roman" w:eastAsia="宋体" w:cs="Times New Roman"/>
                <w:color w:val="auto"/>
                <w:spacing w:val="4"/>
                <w:sz w:val="24"/>
                <w:szCs w:val="24"/>
                <w:highlight w:val="none"/>
                <w:lang w:val="en-US" w:eastAsia="zh-CN"/>
              </w:rPr>
              <w:t>720</w:t>
            </w:r>
            <w:r>
              <w:rPr>
                <w:rFonts w:hint="default" w:ascii="Times New Roman" w:hAnsi="Times New Roman" w:eastAsia="宋体" w:cs="Times New Roman"/>
                <w:color w:val="auto"/>
                <w:spacing w:val="4"/>
                <w:sz w:val="24"/>
                <w:szCs w:val="24"/>
                <w:highlight w:val="none"/>
                <w:lang w:eastAsia="zh-CN"/>
              </w:rPr>
              <w:t>m</w:t>
            </w:r>
            <w:r>
              <w:rPr>
                <w:rFonts w:hint="default" w:ascii="Times New Roman" w:hAnsi="Times New Roman" w:eastAsia="宋体" w:cs="Times New Roman"/>
                <w:color w:val="auto"/>
                <w:spacing w:val="4"/>
                <w:sz w:val="24"/>
                <w:szCs w:val="24"/>
                <w:highlight w:val="none"/>
                <w:vertAlign w:val="superscript"/>
                <w:lang w:eastAsia="zh-CN"/>
              </w:rPr>
              <w:t>3</w:t>
            </w:r>
            <w:r>
              <w:rPr>
                <w:rFonts w:hint="default" w:ascii="Times New Roman" w:hAnsi="Times New Roman" w:eastAsia="宋体" w:cs="Times New Roman"/>
                <w:color w:val="auto"/>
                <w:spacing w:val="4"/>
                <w:sz w:val="24"/>
                <w:szCs w:val="24"/>
                <w:highlight w:val="none"/>
                <w:lang w:eastAsia="zh-CN"/>
              </w:rPr>
              <w:t>。本工程用水由罐车就近拉运至钻井</w:t>
            </w:r>
            <w:r>
              <w:rPr>
                <w:rFonts w:hint="default" w:ascii="Times New Roman" w:hAnsi="Times New Roman" w:eastAsia="宋体" w:cs="Times New Roman"/>
                <w:color w:val="auto"/>
                <w:spacing w:val="4"/>
                <w:sz w:val="24"/>
                <w:szCs w:val="24"/>
                <w:highlight w:val="none"/>
                <w:lang w:val="en-US" w:eastAsia="zh-CN"/>
              </w:rPr>
              <w:t>井场</w:t>
            </w:r>
            <w:r>
              <w:rPr>
                <w:rFonts w:hint="default" w:ascii="Times New Roman" w:hAnsi="Times New Roman" w:eastAsia="宋体" w:cs="Times New Roman"/>
                <w:color w:val="auto"/>
                <w:spacing w:val="4"/>
                <w:sz w:val="24"/>
                <w:szCs w:val="24"/>
                <w:highlight w:val="none"/>
                <w:lang w:eastAsia="zh-CN"/>
              </w:rPr>
              <w:t>；因本工程钻井期用水量较小，供水可满足其需求量。试油期，设2人巡井，不在钻井</w:t>
            </w:r>
            <w:r>
              <w:rPr>
                <w:rFonts w:hint="default" w:ascii="Times New Roman" w:hAnsi="Times New Roman" w:eastAsia="宋体" w:cs="Times New Roman"/>
                <w:color w:val="auto"/>
                <w:spacing w:val="4"/>
                <w:sz w:val="24"/>
                <w:szCs w:val="24"/>
                <w:highlight w:val="none"/>
                <w:lang w:val="en-US" w:eastAsia="zh-CN"/>
              </w:rPr>
              <w:t>井场</w:t>
            </w:r>
            <w:r>
              <w:rPr>
                <w:rFonts w:hint="default" w:ascii="Times New Roman" w:hAnsi="Times New Roman" w:eastAsia="宋体" w:cs="Times New Roman"/>
                <w:color w:val="auto"/>
                <w:spacing w:val="4"/>
                <w:sz w:val="24"/>
                <w:szCs w:val="24"/>
                <w:highlight w:val="none"/>
                <w:lang w:eastAsia="zh-CN"/>
              </w:rPr>
              <w:t>食宿。</w:t>
            </w:r>
          </w:p>
          <w:p w14:paraId="12B60DA1">
            <w:pPr>
              <w:pStyle w:val="23"/>
              <w:widowControl w:val="0"/>
              <w:kinsoku/>
              <w:spacing w:line="360" w:lineRule="auto"/>
              <w:ind w:firstLine="480" w:firstLineChars="200"/>
              <w:jc w:val="both"/>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z w:val="24"/>
                <w:szCs w:val="24"/>
                <w:highlight w:val="none"/>
                <w:lang w:eastAsia="zh-CN" w:bidi="ar"/>
              </w:rPr>
              <w:t>根据建设单位提供的资料，</w:t>
            </w:r>
            <w:r>
              <w:rPr>
                <w:rFonts w:hint="default" w:ascii="Times New Roman" w:hAnsi="Times New Roman" w:eastAsia="宋体" w:cs="Times New Roman"/>
                <w:color w:val="auto"/>
                <w:spacing w:val="4"/>
                <w:sz w:val="24"/>
                <w:szCs w:val="24"/>
                <w:highlight w:val="none"/>
                <w:lang w:eastAsia="zh-CN"/>
              </w:rPr>
              <w:t>本项目</w:t>
            </w:r>
            <w:r>
              <w:rPr>
                <w:rFonts w:hint="default" w:ascii="Times New Roman" w:hAnsi="Times New Roman" w:eastAsia="宋体" w:cs="Times New Roman"/>
                <w:color w:val="auto"/>
                <w:spacing w:val="4"/>
                <w:sz w:val="24"/>
                <w:szCs w:val="24"/>
                <w:highlight w:val="none"/>
                <w:lang w:val="en-US" w:eastAsia="zh-CN"/>
              </w:rPr>
              <w:t>洗井水用量83</w:t>
            </w:r>
            <w:r>
              <w:rPr>
                <w:rFonts w:hint="default" w:ascii="Times New Roman" w:hAnsi="Times New Roman" w:eastAsia="宋体" w:cs="Times New Roman"/>
                <w:color w:val="auto"/>
                <w:spacing w:val="4"/>
                <w:sz w:val="24"/>
                <w:szCs w:val="24"/>
                <w:highlight w:val="none"/>
                <w:lang w:eastAsia="zh-CN"/>
              </w:rPr>
              <w:t>m</w:t>
            </w:r>
            <w:r>
              <w:rPr>
                <w:rFonts w:hint="default" w:ascii="Times New Roman" w:hAnsi="Times New Roman" w:eastAsia="宋体" w:cs="Times New Roman"/>
                <w:color w:val="auto"/>
                <w:spacing w:val="4"/>
                <w:sz w:val="24"/>
                <w:szCs w:val="24"/>
                <w:highlight w:val="none"/>
                <w:vertAlign w:val="superscript"/>
                <w:lang w:eastAsia="zh-CN"/>
              </w:rPr>
              <w:t>3</w:t>
            </w:r>
            <w:r>
              <w:rPr>
                <w:rFonts w:hint="default" w:ascii="Times New Roman" w:hAnsi="Times New Roman" w:eastAsia="宋体" w:cs="Times New Roman"/>
                <w:color w:val="auto"/>
                <w:spacing w:val="4"/>
                <w:sz w:val="24"/>
                <w:szCs w:val="24"/>
                <w:highlight w:val="none"/>
                <w:lang w:val="en-US" w:eastAsia="zh-CN"/>
              </w:rPr>
              <w:t>/口计，</w:t>
            </w:r>
            <w:r>
              <w:rPr>
                <w:rFonts w:hint="default" w:ascii="Times New Roman" w:hAnsi="Times New Roman" w:eastAsia="宋体" w:cs="Times New Roman"/>
                <w:color w:val="auto"/>
                <w:spacing w:val="4"/>
                <w:sz w:val="24"/>
                <w:szCs w:val="24"/>
                <w:highlight w:val="none"/>
                <w:lang w:eastAsia="zh-CN"/>
              </w:rPr>
              <w:t>两口井共需洗井用水166m</w:t>
            </w:r>
            <w:r>
              <w:rPr>
                <w:rFonts w:hint="default" w:ascii="Times New Roman" w:hAnsi="Times New Roman" w:eastAsia="宋体" w:cs="Times New Roman"/>
                <w:color w:val="auto"/>
                <w:spacing w:val="4"/>
                <w:sz w:val="24"/>
                <w:szCs w:val="24"/>
                <w:highlight w:val="none"/>
                <w:vertAlign w:val="superscript"/>
                <w:lang w:eastAsia="zh-CN"/>
              </w:rPr>
              <w:t>3</w:t>
            </w:r>
            <w:r>
              <w:rPr>
                <w:rFonts w:hint="default" w:ascii="Times New Roman" w:hAnsi="Times New Roman" w:eastAsia="宋体" w:cs="Times New Roman"/>
                <w:color w:val="auto"/>
                <w:spacing w:val="4"/>
                <w:sz w:val="24"/>
                <w:szCs w:val="24"/>
                <w:highlight w:val="none"/>
                <w:lang w:eastAsia="zh-CN"/>
              </w:rPr>
              <w:t>。</w:t>
            </w:r>
          </w:p>
          <w:p w14:paraId="6D35865E">
            <w:pPr>
              <w:pStyle w:val="23"/>
              <w:widowControl w:val="0"/>
              <w:kinsoku/>
              <w:spacing w:line="360" w:lineRule="auto"/>
              <w:ind w:firstLine="480" w:firstLineChars="200"/>
              <w:jc w:val="both"/>
              <w:rPr>
                <w:rFonts w:hint="default" w:ascii="Times New Roman" w:hAnsi="Times New Roman" w:eastAsia="宋体" w:cs="Times New Roman"/>
                <w:color w:val="auto"/>
                <w:spacing w:val="4"/>
                <w:sz w:val="24"/>
                <w:szCs w:val="24"/>
                <w:highlight w:val="none"/>
                <w:lang w:eastAsia="zh-CN"/>
              </w:rPr>
            </w:pPr>
            <w:r>
              <w:rPr>
                <w:rFonts w:hint="default" w:ascii="Times New Roman" w:hAnsi="Times New Roman" w:eastAsia="宋体" w:cs="Times New Roman"/>
                <w:color w:val="auto"/>
                <w:sz w:val="24"/>
                <w:szCs w:val="24"/>
                <w:highlight w:val="none"/>
                <w:lang w:eastAsia="zh-CN" w:bidi="ar"/>
              </w:rPr>
              <w:t>根据建设单位提供资料，本项目每口井压裂用水为5000m</w:t>
            </w:r>
            <w:r>
              <w:rPr>
                <w:rFonts w:hint="default" w:ascii="Times New Roman" w:hAnsi="Times New Roman" w:eastAsia="宋体" w:cs="Times New Roman"/>
                <w:color w:val="auto"/>
                <w:sz w:val="24"/>
                <w:szCs w:val="24"/>
                <w:highlight w:val="none"/>
                <w:vertAlign w:val="superscript"/>
                <w:lang w:eastAsia="zh-CN" w:bidi="ar"/>
              </w:rPr>
              <w:t>3</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pacing w:val="4"/>
                <w:sz w:val="24"/>
                <w:szCs w:val="24"/>
                <w:highlight w:val="none"/>
                <w:lang w:eastAsia="zh-CN"/>
              </w:rPr>
              <w:t>两口井共需</w:t>
            </w:r>
            <w:r>
              <w:rPr>
                <w:rFonts w:hint="default" w:ascii="Times New Roman" w:hAnsi="Times New Roman" w:eastAsia="宋体" w:cs="Times New Roman"/>
                <w:color w:val="auto"/>
                <w:sz w:val="24"/>
                <w:szCs w:val="24"/>
                <w:highlight w:val="none"/>
                <w:lang w:eastAsia="zh-CN" w:bidi="ar"/>
              </w:rPr>
              <w:t>压裂用水为</w:t>
            </w:r>
            <w:r>
              <w:rPr>
                <w:rFonts w:hint="eastAsia" w:ascii="Times New Roman" w:hAnsi="Times New Roman" w:cs="Times New Roman"/>
                <w:color w:val="auto"/>
                <w:sz w:val="24"/>
                <w:szCs w:val="24"/>
                <w:highlight w:val="none"/>
                <w:lang w:val="en-US" w:eastAsia="zh-CN" w:bidi="ar"/>
              </w:rPr>
              <w:t>10000</w:t>
            </w:r>
            <w:r>
              <w:rPr>
                <w:rFonts w:hint="default" w:ascii="Times New Roman" w:hAnsi="Times New Roman" w:eastAsia="宋体" w:cs="Times New Roman"/>
                <w:color w:val="auto"/>
                <w:sz w:val="24"/>
                <w:szCs w:val="24"/>
                <w:highlight w:val="none"/>
                <w:lang w:eastAsia="zh-CN" w:bidi="ar"/>
              </w:rPr>
              <w:t>m</w:t>
            </w:r>
            <w:r>
              <w:rPr>
                <w:rFonts w:hint="default" w:ascii="Times New Roman" w:hAnsi="Times New Roman" w:eastAsia="宋体" w:cs="Times New Roman"/>
                <w:color w:val="auto"/>
                <w:sz w:val="24"/>
                <w:szCs w:val="24"/>
                <w:highlight w:val="none"/>
                <w:vertAlign w:val="superscript"/>
                <w:lang w:eastAsia="zh-CN" w:bidi="ar"/>
              </w:rPr>
              <w:t>3</w:t>
            </w:r>
            <w:r>
              <w:rPr>
                <w:rFonts w:hint="default" w:ascii="Times New Roman" w:hAnsi="Times New Roman" w:eastAsia="宋体" w:cs="Times New Roman"/>
                <w:color w:val="auto"/>
                <w:sz w:val="24"/>
                <w:szCs w:val="24"/>
                <w:highlight w:val="none"/>
                <w:lang w:eastAsia="zh-CN" w:bidi="ar"/>
              </w:rPr>
              <w:t>。</w:t>
            </w:r>
          </w:p>
          <w:p w14:paraId="3970BCC9">
            <w:pPr>
              <w:pStyle w:val="23"/>
              <w:widowControl w:val="0"/>
              <w:kinsoku/>
              <w:spacing w:line="360" w:lineRule="auto"/>
              <w:jc w:val="both"/>
              <w:rPr>
                <w:rFonts w:hint="default" w:ascii="Times New Roman" w:hAnsi="Times New Roman" w:eastAsia="宋体" w:cs="Times New Roman"/>
                <w:color w:val="auto"/>
                <w:sz w:val="24"/>
                <w:szCs w:val="24"/>
                <w:lang w:eastAsia="zh-CN"/>
              </w:rPr>
            </w:pPr>
            <w:r>
              <w:rPr>
                <w:rFonts w:hint="eastAsia" w:ascii="Times New Roman" w:hAnsi="Times New Roman" w:cs="Times New Roman"/>
                <w:b/>
                <w:bCs/>
                <w:color w:val="auto"/>
                <w:spacing w:val="4"/>
                <w:sz w:val="24"/>
                <w:szCs w:val="24"/>
                <w:lang w:val="en-US" w:eastAsia="zh-CN"/>
              </w:rPr>
              <w:t>9</w:t>
            </w:r>
            <w:r>
              <w:rPr>
                <w:rFonts w:hint="default" w:ascii="Times New Roman" w:hAnsi="Times New Roman" w:eastAsia="宋体" w:cs="Times New Roman"/>
                <w:b/>
                <w:bCs/>
                <w:color w:val="auto"/>
                <w:spacing w:val="4"/>
                <w:sz w:val="24"/>
                <w:szCs w:val="24"/>
                <w:lang w:eastAsia="zh-CN"/>
              </w:rPr>
              <w:t>.2排水</w:t>
            </w:r>
          </w:p>
          <w:p w14:paraId="35072F94">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rPr>
              <w:t>本项目在钻井过程中，钻井液经固控系统（泥浆不落地设备）处理后循环利用，不直接外排；经固液分离后的钻井岩屑及完井后无法回用的废弃钻井液，采用专用车辆拉运至</w:t>
            </w:r>
            <w:r>
              <w:rPr>
                <w:rFonts w:hint="default" w:ascii="Times New Roman" w:hAnsi="Times New Roman" w:eastAsia="宋体" w:cs="Times New Roman"/>
                <w:color w:val="auto"/>
                <w:sz w:val="24"/>
                <w:szCs w:val="24"/>
                <w:lang w:val="en-US" w:eastAsia="zh-CN"/>
              </w:rPr>
              <w:t>有资质的</w:t>
            </w:r>
            <w:r>
              <w:rPr>
                <w:rFonts w:hint="default" w:ascii="Times New Roman" w:hAnsi="Times New Roman" w:eastAsia="宋体" w:cs="Times New Roman"/>
                <w:color w:val="auto"/>
                <w:sz w:val="24"/>
                <w:szCs w:val="24"/>
              </w:rPr>
              <w:t>环保处置单位集中处理。本项目废水主要为钻井期生活污水，以及试油期产生的井下作业洗井废水、压裂返排液</w:t>
            </w:r>
            <w:r>
              <w:rPr>
                <w:rFonts w:hint="default" w:ascii="Times New Roman" w:hAnsi="Times New Roman" w:eastAsia="宋体" w:cs="Times New Roman"/>
                <w:color w:val="auto"/>
                <w:sz w:val="24"/>
                <w:szCs w:val="24"/>
                <w:lang w:eastAsia="zh-CN" w:bidi="ar"/>
              </w:rPr>
              <w:t>。</w:t>
            </w:r>
          </w:p>
          <w:p w14:paraId="6FB92252">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eastAsia="zh-CN" w:bidi="ar"/>
              </w:rPr>
              <w:t>（1）生</w:t>
            </w:r>
            <w:r>
              <w:rPr>
                <w:rFonts w:hint="default" w:ascii="Times New Roman" w:hAnsi="Times New Roman" w:eastAsia="宋体" w:cs="Times New Roman"/>
                <w:color w:val="auto"/>
                <w:sz w:val="24"/>
                <w:szCs w:val="24"/>
                <w:highlight w:val="none"/>
                <w:lang w:eastAsia="zh-CN" w:bidi="ar"/>
              </w:rPr>
              <w:t>活污水：本项目施工期生活污水产生量为用水量的80%，预计生活污水产生量为</w:t>
            </w:r>
            <w:r>
              <w:rPr>
                <w:rFonts w:hint="default" w:ascii="Times New Roman" w:hAnsi="Times New Roman" w:eastAsia="宋体" w:cs="Times New Roman"/>
                <w:color w:val="auto"/>
                <w:sz w:val="24"/>
                <w:szCs w:val="24"/>
                <w:highlight w:val="none"/>
                <w:lang w:val="en-US" w:eastAsia="zh-CN" w:bidi="ar"/>
              </w:rPr>
              <w:t>576</w:t>
            </w:r>
            <w:r>
              <w:rPr>
                <w:rFonts w:hint="default" w:ascii="Times New Roman" w:hAnsi="Times New Roman" w:eastAsia="宋体" w:cs="Times New Roman"/>
                <w:color w:val="auto"/>
                <w:sz w:val="24"/>
                <w:szCs w:val="24"/>
                <w:highlight w:val="none"/>
                <w:lang w:eastAsia="zh-CN" w:bidi="ar"/>
              </w:rPr>
              <w:t>m</w:t>
            </w:r>
            <w:r>
              <w:rPr>
                <w:rFonts w:hint="default" w:ascii="Times New Roman" w:hAnsi="Times New Roman" w:eastAsia="宋体" w:cs="Times New Roman"/>
                <w:color w:val="auto"/>
                <w:sz w:val="24"/>
                <w:szCs w:val="24"/>
                <w:highlight w:val="none"/>
                <w:vertAlign w:val="superscript"/>
                <w:lang w:eastAsia="zh-CN" w:bidi="ar"/>
              </w:rPr>
              <w:t>3</w:t>
            </w:r>
            <w:r>
              <w:rPr>
                <w:rFonts w:hint="default" w:ascii="Times New Roman" w:hAnsi="Times New Roman" w:eastAsia="宋体" w:cs="Times New Roman"/>
                <w:color w:val="auto"/>
                <w:sz w:val="24"/>
                <w:szCs w:val="24"/>
                <w:highlight w:val="none"/>
                <w:lang w:eastAsia="zh-CN" w:bidi="ar"/>
              </w:rPr>
              <w:t>。施工期生活营地设置1个</w:t>
            </w:r>
            <w:r>
              <w:rPr>
                <w:rFonts w:hint="eastAsia" w:ascii="Times New Roman" w:hAnsi="Times New Roman" w:eastAsia="宋体" w:cs="Times New Roman"/>
                <w:color w:val="auto"/>
                <w:sz w:val="24"/>
                <w:szCs w:val="24"/>
                <w:highlight w:val="none"/>
                <w:lang w:eastAsia="zh-CN" w:bidi="ar"/>
              </w:rPr>
              <w:t>防渗收集池</w:t>
            </w:r>
            <w:r>
              <w:rPr>
                <w:rFonts w:hint="default" w:ascii="Times New Roman" w:hAnsi="Times New Roman" w:eastAsia="宋体" w:cs="Times New Roman"/>
                <w:color w:val="auto"/>
                <w:sz w:val="24"/>
                <w:szCs w:val="24"/>
                <w:highlight w:val="none"/>
                <w:lang w:eastAsia="zh-CN" w:bidi="ar"/>
              </w:rPr>
              <w:t>，下垫防渗层，生活污水排入</w:t>
            </w:r>
            <w:r>
              <w:rPr>
                <w:rFonts w:hint="eastAsia" w:ascii="Times New Roman" w:hAnsi="Times New Roman" w:eastAsia="宋体" w:cs="Times New Roman"/>
                <w:color w:val="auto"/>
                <w:sz w:val="24"/>
                <w:szCs w:val="24"/>
                <w:highlight w:val="none"/>
                <w:lang w:eastAsia="zh-CN" w:bidi="ar"/>
              </w:rPr>
              <w:t>防渗收集池</w:t>
            </w:r>
            <w:r>
              <w:rPr>
                <w:rFonts w:hint="default" w:ascii="Times New Roman" w:hAnsi="Times New Roman" w:eastAsia="宋体" w:cs="Times New Roman"/>
                <w:color w:val="auto"/>
                <w:sz w:val="24"/>
                <w:szCs w:val="24"/>
                <w:highlight w:val="none"/>
                <w:lang w:eastAsia="zh-CN" w:bidi="ar"/>
              </w:rPr>
              <w:t>，采取密闭式吸污罐车定期拉运至</w:t>
            </w:r>
            <w:r>
              <w:rPr>
                <w:rFonts w:hint="eastAsia" w:ascii="Times New Roman" w:hAnsi="Times New Roman" w:eastAsia="宋体" w:cs="Times New Roman"/>
                <w:color w:val="auto"/>
                <w:sz w:val="24"/>
                <w:szCs w:val="24"/>
                <w:highlight w:val="none"/>
                <w:lang w:val="en-US" w:eastAsia="zh-CN" w:bidi="ar"/>
              </w:rPr>
              <w:t>吉木萨尔县</w:t>
            </w:r>
            <w:r>
              <w:rPr>
                <w:rFonts w:hint="default" w:ascii="Times New Roman" w:hAnsi="Times New Roman" w:eastAsia="宋体" w:cs="Times New Roman"/>
                <w:color w:val="auto"/>
                <w:sz w:val="24"/>
                <w:szCs w:val="24"/>
                <w:highlight w:val="none"/>
                <w:lang w:eastAsia="zh-CN" w:bidi="ar"/>
              </w:rPr>
              <w:t>市政污水处理厂进行</w:t>
            </w:r>
            <w:r>
              <w:rPr>
                <w:rFonts w:hint="default" w:ascii="Times New Roman" w:hAnsi="Times New Roman" w:eastAsia="宋体" w:cs="Times New Roman"/>
                <w:color w:val="auto"/>
                <w:sz w:val="24"/>
                <w:szCs w:val="24"/>
                <w:lang w:eastAsia="zh-CN" w:bidi="ar"/>
              </w:rPr>
              <w:t>处理，确保生活污水不外排。</w:t>
            </w:r>
          </w:p>
          <w:p w14:paraId="2C6690A9">
            <w:pPr>
              <w:widowControl w:val="0"/>
              <w:kinsoku/>
              <w:spacing w:line="500" w:lineRule="exact"/>
              <w:ind w:firstLine="480" w:firstLineChars="200"/>
              <w:jc w:val="both"/>
              <w:rPr>
                <w:rFonts w:hint="default" w:ascii="Times New Roman" w:hAnsi="Times New Roman" w:eastAsia="宋体" w:cs="Times New Roman"/>
                <w:b w:val="0"/>
                <w:bCs w:val="0"/>
                <w:color w:val="auto"/>
                <w:sz w:val="24"/>
                <w:szCs w:val="24"/>
                <w:lang w:eastAsia="zh-CN" w:bidi="ar"/>
              </w:rPr>
            </w:pPr>
            <w:r>
              <w:rPr>
                <w:rFonts w:hint="default" w:ascii="Times New Roman" w:hAnsi="Times New Roman" w:eastAsia="宋体" w:cs="Times New Roman"/>
                <w:color w:val="auto"/>
                <w:sz w:val="24"/>
                <w:szCs w:val="24"/>
                <w:lang w:eastAsia="zh-CN" w:bidi="ar"/>
              </w:rPr>
              <w:t>（2）</w:t>
            </w:r>
            <w:r>
              <w:rPr>
                <w:rFonts w:hint="default" w:ascii="Times New Roman" w:hAnsi="Times New Roman" w:eastAsia="宋体" w:cs="Times New Roman"/>
                <w:b w:val="0"/>
                <w:bCs w:val="0"/>
                <w:color w:val="auto"/>
                <w:sz w:val="24"/>
                <w:szCs w:val="24"/>
                <w:lang w:eastAsia="zh-CN" w:bidi="ar"/>
              </w:rPr>
              <w:t>压裂返排液：</w:t>
            </w:r>
            <w:r>
              <w:rPr>
                <w:rFonts w:hint="default" w:ascii="Times New Roman" w:hAnsi="Times New Roman" w:eastAsia="宋体" w:cs="Times New Roman"/>
                <w:b w:val="0"/>
                <w:bCs w:val="0"/>
                <w:color w:val="auto"/>
                <w:sz w:val="24"/>
                <w:szCs w:val="24"/>
              </w:rPr>
              <w:t>根据建设单位提供资料，本项目单井压裂用水量为5000m³，两口井共需压裂用水</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0000m³。</w:t>
            </w:r>
            <w:r>
              <w:rPr>
                <w:rFonts w:hint="default" w:ascii="Times New Roman" w:hAnsi="Times New Roman" w:eastAsia="宋体" w:cs="Times New Roman"/>
                <w:b w:val="0"/>
                <w:bCs w:val="0"/>
                <w:color w:val="auto"/>
                <w:sz w:val="24"/>
                <w:szCs w:val="24"/>
                <w:lang w:val="en-US" w:eastAsia="zh-CN"/>
              </w:rPr>
              <w:t>根据建设单位提供资料，同时</w:t>
            </w:r>
            <w:r>
              <w:rPr>
                <w:rFonts w:hint="default" w:ascii="Times New Roman" w:hAnsi="Times New Roman" w:eastAsia="宋体" w:cs="Times New Roman"/>
                <w:b w:val="0"/>
                <w:bCs w:val="0"/>
                <w:color w:val="auto"/>
                <w:sz w:val="24"/>
                <w:szCs w:val="24"/>
              </w:rPr>
              <w:t>参考邻井及区域地质资料，按压裂液返排率约5</w:t>
            </w:r>
            <w:r>
              <w:rPr>
                <w:rFonts w:hint="default" w:ascii="Times New Roman" w:hAnsi="Times New Roman" w:eastAsia="宋体" w:cs="Times New Roman"/>
                <w:b w:val="0"/>
                <w:bCs w:val="0"/>
                <w:color w:val="auto"/>
                <w:sz w:val="24"/>
                <w:szCs w:val="24"/>
                <w:lang w:val="en-US" w:eastAsia="zh-CN"/>
              </w:rPr>
              <w:t>0</w:t>
            </w:r>
            <w:r>
              <w:rPr>
                <w:rFonts w:hint="default" w:ascii="Times New Roman" w:hAnsi="Times New Roman" w:eastAsia="宋体" w:cs="Times New Roman"/>
                <w:b w:val="0"/>
                <w:bCs w:val="0"/>
                <w:color w:val="auto"/>
                <w:sz w:val="24"/>
                <w:szCs w:val="24"/>
              </w:rPr>
              <w:t>%估算，本项目两口井试油期间压裂返排液总产生量约为</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000m³。产生的压裂返排液全部经过</w:t>
            </w:r>
            <w:r>
              <w:rPr>
                <w:rFonts w:hint="eastAsia" w:ascii="Times New Roman" w:hAnsi="Times New Roman" w:eastAsia="宋体" w:cs="Times New Roman"/>
                <w:b w:val="0"/>
                <w:bCs w:val="0"/>
                <w:color w:val="auto"/>
                <w:sz w:val="24"/>
                <w:szCs w:val="24"/>
                <w:lang w:val="en-US" w:eastAsia="zh-CN"/>
              </w:rPr>
              <w:t>吉28脱水站</w:t>
            </w:r>
            <w:r>
              <w:rPr>
                <w:rFonts w:hint="default" w:ascii="Times New Roman" w:hAnsi="Times New Roman" w:eastAsia="宋体" w:cs="Times New Roman"/>
                <w:b w:val="0"/>
                <w:bCs w:val="0"/>
                <w:color w:val="auto"/>
                <w:sz w:val="24"/>
                <w:szCs w:val="24"/>
              </w:rPr>
              <w:t>处理达标后回注，不外排</w:t>
            </w:r>
            <w:r>
              <w:rPr>
                <w:rFonts w:hint="default" w:ascii="Times New Roman" w:hAnsi="Times New Roman" w:eastAsia="宋体" w:cs="Times New Roman"/>
                <w:b w:val="0"/>
                <w:bCs w:val="0"/>
                <w:color w:val="auto"/>
                <w:sz w:val="24"/>
                <w:szCs w:val="24"/>
                <w:lang w:eastAsia="zh-CN" w:bidi="ar"/>
              </w:rPr>
              <w:t>。</w:t>
            </w:r>
          </w:p>
          <w:p w14:paraId="75C87A62">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highlight w:val="none"/>
                <w:lang w:eastAsia="zh-CN" w:bidi="ar"/>
              </w:rPr>
              <w:t>（3）洗井废水：项目洗井废水按照用水量的90%计算，本项目产生洗井废水150m</w:t>
            </w:r>
            <w:r>
              <w:rPr>
                <w:rFonts w:hint="default" w:ascii="Times New Roman" w:hAnsi="Times New Roman" w:eastAsia="宋体" w:cs="Times New Roman"/>
                <w:color w:val="auto"/>
                <w:sz w:val="24"/>
                <w:szCs w:val="24"/>
                <w:highlight w:val="none"/>
                <w:vertAlign w:val="superscript"/>
                <w:lang w:eastAsia="zh-CN" w:bidi="ar"/>
              </w:rPr>
              <w:t>3</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lang w:eastAsia="zh-CN" w:bidi="ar"/>
              </w:rPr>
              <w:t>井下作业过程中，作业单位自带回收罐回收作业废水，运至</w:t>
            </w:r>
            <w:r>
              <w:rPr>
                <w:rFonts w:hint="eastAsia" w:ascii="Times New Roman" w:hAnsi="Times New Roman" w:eastAsia="宋体" w:cs="Times New Roman"/>
                <w:color w:val="auto"/>
                <w:sz w:val="24"/>
                <w:szCs w:val="24"/>
                <w:lang w:val="en-US" w:eastAsia="zh-CN" w:bidi="ar"/>
              </w:rPr>
              <w:t>吉28脱水站</w:t>
            </w:r>
            <w:r>
              <w:rPr>
                <w:rFonts w:hint="default" w:ascii="Times New Roman" w:hAnsi="Times New Roman" w:eastAsia="宋体" w:cs="Times New Roman"/>
                <w:color w:val="auto"/>
                <w:sz w:val="24"/>
                <w:szCs w:val="24"/>
                <w:lang w:eastAsia="zh-CN" w:bidi="ar"/>
              </w:rPr>
              <w:t>污水处理系统处理达标后全部回注，不外排。</w:t>
            </w:r>
          </w:p>
          <w:p w14:paraId="500EA611">
            <w:pPr>
              <w:pStyle w:val="23"/>
              <w:widowControl w:val="0"/>
              <w:kinsoku/>
              <w:spacing w:before="179" w:line="219" w:lineRule="auto"/>
              <w:ind w:left="48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lang w:eastAsia="zh-CN"/>
              </w:rPr>
              <w:t>综上所述，本项目水平衡见表2-14。</w:t>
            </w:r>
          </w:p>
          <w:p w14:paraId="5D05B8A9">
            <w:pPr>
              <w:widowControl w:val="0"/>
              <w:kinsoku/>
              <w:spacing w:line="5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表2-14 项目水平衡一览表 单位：m</w:t>
            </w:r>
            <w:r>
              <w:rPr>
                <w:rFonts w:hint="default" w:ascii="Times New Roman" w:hAnsi="Times New Roman" w:eastAsia="宋体" w:cs="Times New Roman"/>
                <w:b/>
                <w:bCs/>
                <w:color w:val="auto"/>
                <w:vertAlign w:val="superscript"/>
                <w:lang w:eastAsia="zh-CN"/>
              </w:rPr>
              <w:t>3</w:t>
            </w:r>
          </w:p>
          <w:tbl>
            <w:tblPr>
              <w:tblStyle w:val="22"/>
              <w:tblW w:w="81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12"/>
              <w:gridCol w:w="1229"/>
              <w:gridCol w:w="1478"/>
              <w:gridCol w:w="1507"/>
              <w:gridCol w:w="2204"/>
            </w:tblGrid>
            <w:tr w14:paraId="68C24615">
              <w:trPr>
                <w:trHeight w:val="90" w:hRule="atLeast"/>
                <w:jc w:val="center"/>
              </w:trPr>
              <w:tc>
                <w:tcPr>
                  <w:tcW w:w="1712" w:type="dxa"/>
                  <w:tcBorders>
                    <w:left w:val="single" w:color="000000" w:sz="2" w:space="0"/>
                  </w:tcBorders>
                  <w:vAlign w:val="center"/>
                </w:tcPr>
                <w:p w14:paraId="3F8A071B">
                  <w:pPr>
                    <w:pStyle w:val="23"/>
                    <w:kinsoku/>
                    <w:spacing w:before="29" w:line="22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2"/>
                      <w:sz w:val="21"/>
                      <w:szCs w:val="21"/>
                      <w:highlight w:val="none"/>
                      <w:lang w:eastAsia="zh-CN"/>
                    </w:rPr>
                    <w:t>项目</w:t>
                  </w:r>
                </w:p>
              </w:tc>
              <w:tc>
                <w:tcPr>
                  <w:tcW w:w="1229" w:type="dxa"/>
                  <w:vAlign w:val="center"/>
                </w:tcPr>
                <w:p w14:paraId="2D3F7D3D">
                  <w:pPr>
                    <w:pStyle w:val="23"/>
                    <w:kinsoku/>
                    <w:spacing w:before="29" w:line="22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5"/>
                      <w:sz w:val="21"/>
                      <w:szCs w:val="21"/>
                      <w:highlight w:val="none"/>
                      <w:lang w:eastAsia="zh-CN"/>
                    </w:rPr>
                    <w:t>新鲜水</w:t>
                  </w:r>
                </w:p>
              </w:tc>
              <w:tc>
                <w:tcPr>
                  <w:tcW w:w="1478" w:type="dxa"/>
                  <w:vAlign w:val="center"/>
                </w:tcPr>
                <w:p w14:paraId="77B44C3F">
                  <w:pPr>
                    <w:pStyle w:val="23"/>
                    <w:kinsoku/>
                    <w:spacing w:before="29" w:line="22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5"/>
                      <w:sz w:val="21"/>
                      <w:szCs w:val="21"/>
                      <w:highlight w:val="none"/>
                      <w:lang w:eastAsia="zh-CN"/>
                    </w:rPr>
                    <w:t>损失量</w:t>
                  </w:r>
                </w:p>
              </w:tc>
              <w:tc>
                <w:tcPr>
                  <w:tcW w:w="1507" w:type="dxa"/>
                  <w:vAlign w:val="center"/>
                </w:tcPr>
                <w:p w14:paraId="5ADE0AD7">
                  <w:pPr>
                    <w:pStyle w:val="23"/>
                    <w:kinsoku/>
                    <w:spacing w:before="29" w:line="22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5"/>
                      <w:sz w:val="21"/>
                      <w:szCs w:val="21"/>
                      <w:highlight w:val="none"/>
                      <w:lang w:eastAsia="zh-CN"/>
                    </w:rPr>
                    <w:t>废水量</w:t>
                  </w:r>
                </w:p>
              </w:tc>
              <w:tc>
                <w:tcPr>
                  <w:tcW w:w="2204" w:type="dxa"/>
                  <w:vAlign w:val="center"/>
                </w:tcPr>
                <w:p w14:paraId="1352C0FC">
                  <w:pPr>
                    <w:pStyle w:val="23"/>
                    <w:kinsoku/>
                    <w:spacing w:before="29" w:line="220" w:lineRule="auto"/>
                    <w:jc w:val="center"/>
                    <w:rPr>
                      <w:rFonts w:hint="default" w:ascii="Times New Roman" w:hAnsi="Times New Roman" w:eastAsia="宋体" w:cs="Times New Roman"/>
                      <w:b/>
                      <w:bCs/>
                      <w:color w:val="auto"/>
                      <w:spacing w:val="5"/>
                      <w:sz w:val="21"/>
                      <w:szCs w:val="21"/>
                      <w:highlight w:val="none"/>
                      <w:lang w:eastAsia="zh-CN"/>
                    </w:rPr>
                  </w:pPr>
                  <w:r>
                    <w:rPr>
                      <w:rFonts w:hint="default" w:ascii="Times New Roman" w:hAnsi="Times New Roman" w:eastAsia="宋体" w:cs="Times New Roman"/>
                      <w:b/>
                      <w:bCs/>
                      <w:color w:val="auto"/>
                      <w:spacing w:val="5"/>
                      <w:sz w:val="21"/>
                      <w:szCs w:val="21"/>
                      <w:highlight w:val="none"/>
                      <w:lang w:eastAsia="zh-CN"/>
                    </w:rPr>
                    <w:t>备注</w:t>
                  </w:r>
                </w:p>
              </w:tc>
            </w:tr>
            <w:tr w14:paraId="1AF76F0E">
              <w:trPr>
                <w:trHeight w:val="472" w:hRule="atLeast"/>
                <w:jc w:val="center"/>
              </w:trPr>
              <w:tc>
                <w:tcPr>
                  <w:tcW w:w="1712" w:type="dxa"/>
                  <w:tcBorders>
                    <w:left w:val="single" w:color="000000" w:sz="2" w:space="0"/>
                  </w:tcBorders>
                  <w:vAlign w:val="center"/>
                </w:tcPr>
                <w:p w14:paraId="000778DC">
                  <w:pPr>
                    <w:pStyle w:val="23"/>
                    <w:kinsoku/>
                    <w:spacing w:before="29" w:line="219"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钻井液配比用水</w:t>
                  </w:r>
                </w:p>
              </w:tc>
              <w:tc>
                <w:tcPr>
                  <w:tcW w:w="1229" w:type="dxa"/>
                  <w:vAlign w:val="center"/>
                </w:tcPr>
                <w:p w14:paraId="39B4529C">
                  <w:pPr>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bidi="ar"/>
                    </w:rPr>
                    <w:t>1000</w:t>
                  </w:r>
                </w:p>
              </w:tc>
              <w:tc>
                <w:tcPr>
                  <w:tcW w:w="1478" w:type="dxa"/>
                  <w:vAlign w:val="center"/>
                </w:tcPr>
                <w:p w14:paraId="55D1F779">
                  <w:pPr>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bidi="ar"/>
                    </w:rPr>
                    <w:t>50</w:t>
                  </w:r>
                </w:p>
              </w:tc>
              <w:tc>
                <w:tcPr>
                  <w:tcW w:w="1507" w:type="dxa"/>
                  <w:vAlign w:val="center"/>
                </w:tcPr>
                <w:p w14:paraId="730FCB66">
                  <w:pPr>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bidi="ar"/>
                    </w:rPr>
                    <w:t>950</w:t>
                  </w:r>
                </w:p>
              </w:tc>
              <w:tc>
                <w:tcPr>
                  <w:tcW w:w="2204" w:type="dxa"/>
                  <w:vAlign w:val="center"/>
                </w:tcPr>
                <w:p w14:paraId="3FFAFE38">
                  <w:pPr>
                    <w:pStyle w:val="23"/>
                    <w:kinsoku/>
                    <w:spacing w:before="29" w:line="219"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pacing w:val="7"/>
                      <w:sz w:val="21"/>
                      <w:szCs w:val="21"/>
                      <w:highlight w:val="none"/>
                      <w:lang w:val="en-US" w:eastAsia="zh-CN"/>
                    </w:rPr>
                    <w:t>循环利用，</w:t>
                  </w:r>
                  <w:r>
                    <w:rPr>
                      <w:rFonts w:hint="default" w:ascii="Times New Roman" w:hAnsi="Times New Roman" w:eastAsia="宋体" w:cs="Times New Roman"/>
                      <w:color w:val="auto"/>
                      <w:spacing w:val="7"/>
                      <w:sz w:val="21"/>
                      <w:szCs w:val="21"/>
                      <w:highlight w:val="none"/>
                      <w:lang w:eastAsia="zh-CN"/>
                    </w:rPr>
                    <w:t>无法回用</w:t>
                  </w:r>
                  <w:r>
                    <w:rPr>
                      <w:rFonts w:hint="default" w:ascii="Times New Roman" w:hAnsi="Times New Roman" w:eastAsia="宋体" w:cs="Times New Roman"/>
                      <w:color w:val="auto"/>
                      <w:spacing w:val="7"/>
                      <w:sz w:val="21"/>
                      <w:szCs w:val="21"/>
                      <w:highlight w:val="none"/>
                      <w:lang w:val="en-US" w:eastAsia="zh-CN"/>
                    </w:rPr>
                    <w:t>的由第三方有资质单位处置</w:t>
                  </w:r>
                </w:p>
              </w:tc>
            </w:tr>
            <w:tr w14:paraId="74F47547">
              <w:trPr>
                <w:trHeight w:val="478" w:hRule="atLeast"/>
                <w:jc w:val="center"/>
              </w:trPr>
              <w:tc>
                <w:tcPr>
                  <w:tcW w:w="1712" w:type="dxa"/>
                  <w:tcBorders>
                    <w:left w:val="single" w:color="000000" w:sz="2" w:space="0"/>
                  </w:tcBorders>
                  <w:vAlign w:val="center"/>
                </w:tcPr>
                <w:p w14:paraId="216C3538">
                  <w:pPr>
                    <w:pStyle w:val="23"/>
                    <w:kinsoku/>
                    <w:spacing w:before="29" w:line="219" w:lineRule="auto"/>
                    <w:jc w:val="center"/>
                    <w:rPr>
                      <w:rFonts w:hint="default" w:ascii="Times New Roman" w:hAnsi="Times New Roman" w:eastAsia="宋体" w:cs="Times New Roman"/>
                      <w:color w:val="auto"/>
                      <w:spacing w:val="7"/>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压裂液配比用水</w:t>
                  </w:r>
                </w:p>
              </w:tc>
              <w:tc>
                <w:tcPr>
                  <w:tcW w:w="1229" w:type="dxa"/>
                  <w:vAlign w:val="center"/>
                </w:tcPr>
                <w:p w14:paraId="4F42639C">
                  <w:pPr>
                    <w:jc w:val="center"/>
                    <w:textAlignment w:val="center"/>
                    <w:rPr>
                      <w:rFonts w:hint="default" w:ascii="Times New Roman" w:hAnsi="Times New Roman" w:eastAsia="宋体" w:cs="Times New Roman"/>
                      <w:color w:val="auto"/>
                      <w:spacing w:val="-1"/>
                      <w:highlight w:val="none"/>
                      <w:lang w:eastAsia="zh-CN"/>
                    </w:rPr>
                  </w:pPr>
                  <w:r>
                    <w:rPr>
                      <w:rFonts w:hint="eastAsia" w:ascii="Times New Roman" w:hAnsi="Times New Roman" w:eastAsia="宋体" w:cs="Times New Roman"/>
                      <w:color w:val="auto"/>
                      <w:highlight w:val="none"/>
                      <w:lang w:val="en-US" w:eastAsia="zh-CN" w:bidi="ar"/>
                    </w:rPr>
                    <w:t>1</w:t>
                  </w:r>
                  <w:r>
                    <w:rPr>
                      <w:rFonts w:hint="default" w:ascii="Times New Roman" w:hAnsi="Times New Roman" w:eastAsia="宋体" w:cs="Times New Roman"/>
                      <w:color w:val="auto"/>
                      <w:highlight w:val="none"/>
                      <w:lang w:eastAsia="zh-CN" w:bidi="ar"/>
                    </w:rPr>
                    <w:t>0000</w:t>
                  </w:r>
                </w:p>
              </w:tc>
              <w:tc>
                <w:tcPr>
                  <w:tcW w:w="1478" w:type="dxa"/>
                  <w:vAlign w:val="center"/>
                </w:tcPr>
                <w:p w14:paraId="40F42F57">
                  <w:pPr>
                    <w:jc w:val="center"/>
                    <w:textAlignment w:val="center"/>
                    <w:rPr>
                      <w:rFonts w:hint="default" w:ascii="Times New Roman" w:hAnsi="Times New Roman" w:eastAsia="宋体" w:cs="Times New Roman"/>
                      <w:color w:val="auto"/>
                      <w:spacing w:val="3"/>
                      <w:highlight w:val="none"/>
                      <w:lang w:eastAsia="zh-CN"/>
                    </w:rPr>
                  </w:pPr>
                  <w:r>
                    <w:rPr>
                      <w:rFonts w:hint="default" w:ascii="Times New Roman" w:hAnsi="Times New Roman" w:eastAsia="宋体" w:cs="Times New Roman"/>
                      <w:color w:val="auto"/>
                      <w:highlight w:val="none"/>
                      <w:lang w:val="en-US" w:eastAsia="zh-CN" w:bidi="ar"/>
                    </w:rPr>
                    <w:t>5</w:t>
                  </w:r>
                  <w:r>
                    <w:rPr>
                      <w:rFonts w:hint="default" w:ascii="Times New Roman" w:hAnsi="Times New Roman" w:eastAsia="宋体" w:cs="Times New Roman"/>
                      <w:color w:val="auto"/>
                      <w:highlight w:val="none"/>
                      <w:lang w:eastAsia="zh-CN" w:bidi="ar"/>
                    </w:rPr>
                    <w:t>000</w:t>
                  </w:r>
                </w:p>
              </w:tc>
              <w:tc>
                <w:tcPr>
                  <w:tcW w:w="1507" w:type="dxa"/>
                  <w:vAlign w:val="center"/>
                </w:tcPr>
                <w:p w14:paraId="72C8E402">
                  <w:pPr>
                    <w:jc w:val="center"/>
                    <w:textAlignment w:val="center"/>
                    <w:rPr>
                      <w:rFonts w:hint="default" w:ascii="Times New Roman" w:hAnsi="Times New Roman" w:eastAsia="宋体" w:cs="Times New Roman"/>
                      <w:color w:val="auto"/>
                      <w:spacing w:val="3"/>
                      <w:highlight w:val="none"/>
                      <w:lang w:eastAsia="zh-CN"/>
                    </w:rPr>
                  </w:pPr>
                  <w:r>
                    <w:rPr>
                      <w:rFonts w:hint="default" w:ascii="Times New Roman" w:hAnsi="Times New Roman" w:eastAsia="宋体" w:cs="Times New Roman"/>
                      <w:color w:val="auto"/>
                      <w:highlight w:val="none"/>
                      <w:lang w:val="en-US" w:eastAsia="zh-CN" w:bidi="ar"/>
                    </w:rPr>
                    <w:t>5</w:t>
                  </w:r>
                  <w:r>
                    <w:rPr>
                      <w:rFonts w:hint="default" w:ascii="Times New Roman" w:hAnsi="Times New Roman" w:eastAsia="宋体" w:cs="Times New Roman"/>
                      <w:color w:val="auto"/>
                      <w:highlight w:val="none"/>
                      <w:lang w:eastAsia="zh-CN" w:bidi="ar"/>
                    </w:rPr>
                    <w:t>000</w:t>
                  </w:r>
                </w:p>
              </w:tc>
              <w:tc>
                <w:tcPr>
                  <w:tcW w:w="2204" w:type="dxa"/>
                  <w:vMerge w:val="restart"/>
                  <w:vAlign w:val="center"/>
                </w:tcPr>
                <w:p w14:paraId="1FE024E7">
                  <w:pPr>
                    <w:kinsoku/>
                    <w:spacing w:before="65" w:line="195" w:lineRule="auto"/>
                    <w:jc w:val="center"/>
                    <w:rPr>
                      <w:rFonts w:hint="default"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highlight w:val="none"/>
                      <w:lang w:val="en-US" w:eastAsia="zh-CN" w:bidi="ar"/>
                    </w:rPr>
                    <w:t>吉28脱水站</w:t>
                  </w:r>
                  <w:r>
                    <w:rPr>
                      <w:rFonts w:hint="default" w:ascii="Times New Roman" w:hAnsi="Times New Roman" w:eastAsia="宋体" w:cs="Times New Roman"/>
                      <w:color w:val="auto"/>
                      <w:highlight w:val="none"/>
                      <w:lang w:eastAsia="zh-CN" w:bidi="ar"/>
                    </w:rPr>
                    <w:t>处理达标后回注</w:t>
                  </w:r>
                </w:p>
              </w:tc>
            </w:tr>
            <w:tr w14:paraId="4DFCCE97">
              <w:trPr>
                <w:trHeight w:val="397" w:hRule="atLeast"/>
                <w:jc w:val="center"/>
              </w:trPr>
              <w:tc>
                <w:tcPr>
                  <w:tcW w:w="1712" w:type="dxa"/>
                  <w:tcBorders>
                    <w:left w:val="single" w:color="000000" w:sz="2" w:space="0"/>
                  </w:tcBorders>
                  <w:vAlign w:val="center"/>
                </w:tcPr>
                <w:p w14:paraId="614409F2">
                  <w:pPr>
                    <w:pStyle w:val="23"/>
                    <w:kinsoku/>
                    <w:spacing w:before="29" w:line="219" w:lineRule="auto"/>
                    <w:jc w:val="center"/>
                    <w:rPr>
                      <w:rFonts w:hint="default" w:ascii="Times New Roman" w:hAnsi="Times New Roman" w:eastAsia="宋体" w:cs="Times New Roman"/>
                      <w:color w:val="auto"/>
                      <w:spacing w:val="7"/>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洗井用水</w:t>
                  </w:r>
                </w:p>
              </w:tc>
              <w:tc>
                <w:tcPr>
                  <w:tcW w:w="1229" w:type="dxa"/>
                  <w:vAlign w:val="center"/>
                </w:tcPr>
                <w:p w14:paraId="0A3E6B26">
                  <w:pPr>
                    <w:jc w:val="center"/>
                    <w:textAlignment w:val="center"/>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highlight w:val="none"/>
                      <w:lang w:eastAsia="zh-CN" w:bidi="ar"/>
                    </w:rPr>
                    <w:t>166</w:t>
                  </w:r>
                </w:p>
              </w:tc>
              <w:tc>
                <w:tcPr>
                  <w:tcW w:w="1478" w:type="dxa"/>
                  <w:vAlign w:val="center"/>
                </w:tcPr>
                <w:p w14:paraId="17A1494E">
                  <w:pPr>
                    <w:jc w:val="center"/>
                    <w:textAlignment w:val="center"/>
                    <w:rPr>
                      <w:rFonts w:hint="default" w:ascii="Times New Roman" w:hAnsi="Times New Roman" w:eastAsia="宋体" w:cs="Times New Roman"/>
                      <w:color w:val="auto"/>
                      <w:spacing w:val="3"/>
                      <w:highlight w:val="none"/>
                      <w:lang w:eastAsia="zh-CN"/>
                    </w:rPr>
                  </w:pPr>
                  <w:r>
                    <w:rPr>
                      <w:rFonts w:hint="default" w:ascii="Times New Roman" w:hAnsi="Times New Roman" w:eastAsia="宋体" w:cs="Times New Roman"/>
                      <w:color w:val="auto"/>
                      <w:highlight w:val="none"/>
                      <w:lang w:eastAsia="zh-CN" w:bidi="ar"/>
                    </w:rPr>
                    <w:t>16</w:t>
                  </w:r>
                </w:p>
              </w:tc>
              <w:tc>
                <w:tcPr>
                  <w:tcW w:w="1507" w:type="dxa"/>
                  <w:vAlign w:val="center"/>
                </w:tcPr>
                <w:p w14:paraId="2185E72A">
                  <w:pPr>
                    <w:jc w:val="center"/>
                    <w:textAlignment w:val="center"/>
                    <w:rPr>
                      <w:rFonts w:hint="default" w:ascii="Times New Roman" w:hAnsi="Times New Roman" w:eastAsia="宋体" w:cs="Times New Roman"/>
                      <w:color w:val="auto"/>
                      <w:spacing w:val="3"/>
                      <w:highlight w:val="none"/>
                      <w:lang w:eastAsia="zh-CN"/>
                    </w:rPr>
                  </w:pPr>
                  <w:r>
                    <w:rPr>
                      <w:rFonts w:hint="default" w:ascii="Times New Roman" w:hAnsi="Times New Roman" w:eastAsia="宋体" w:cs="Times New Roman"/>
                      <w:color w:val="auto"/>
                      <w:highlight w:val="none"/>
                      <w:lang w:eastAsia="zh-CN" w:bidi="ar"/>
                    </w:rPr>
                    <w:t>150</w:t>
                  </w:r>
                </w:p>
              </w:tc>
              <w:tc>
                <w:tcPr>
                  <w:tcW w:w="2204" w:type="dxa"/>
                  <w:vMerge w:val="continue"/>
                  <w:vAlign w:val="center"/>
                </w:tcPr>
                <w:p w14:paraId="29020815">
                  <w:pPr>
                    <w:kinsoku/>
                    <w:spacing w:before="65" w:line="195" w:lineRule="auto"/>
                    <w:jc w:val="center"/>
                    <w:rPr>
                      <w:rFonts w:hint="default" w:ascii="Times New Roman" w:hAnsi="Times New Roman" w:eastAsia="宋体" w:cs="Times New Roman"/>
                      <w:color w:val="auto"/>
                      <w:highlight w:val="none"/>
                      <w:lang w:eastAsia="zh-CN" w:bidi="ar"/>
                    </w:rPr>
                  </w:pPr>
                </w:p>
              </w:tc>
            </w:tr>
            <w:tr w14:paraId="0B523FE4">
              <w:trPr>
                <w:trHeight w:val="484" w:hRule="atLeast"/>
                <w:jc w:val="center"/>
              </w:trPr>
              <w:tc>
                <w:tcPr>
                  <w:tcW w:w="1712" w:type="dxa"/>
                  <w:tcBorders>
                    <w:left w:val="single" w:color="000000" w:sz="2" w:space="0"/>
                  </w:tcBorders>
                  <w:vAlign w:val="center"/>
                </w:tcPr>
                <w:p w14:paraId="768E6333">
                  <w:pPr>
                    <w:pStyle w:val="23"/>
                    <w:kinsoku/>
                    <w:spacing w:before="28" w:line="22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lang w:eastAsia="zh-CN"/>
                    </w:rPr>
                    <w:t>生活用水</w:t>
                  </w:r>
                </w:p>
              </w:tc>
              <w:tc>
                <w:tcPr>
                  <w:tcW w:w="1229" w:type="dxa"/>
                  <w:vAlign w:val="center"/>
                </w:tcPr>
                <w:p w14:paraId="4F808E64">
                  <w:pPr>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bidi="ar"/>
                    </w:rPr>
                    <w:t>720</w:t>
                  </w:r>
                </w:p>
              </w:tc>
              <w:tc>
                <w:tcPr>
                  <w:tcW w:w="1478" w:type="dxa"/>
                  <w:vAlign w:val="center"/>
                </w:tcPr>
                <w:p w14:paraId="11E37DB4">
                  <w:pPr>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bidi="ar"/>
                    </w:rPr>
                    <w:t>144</w:t>
                  </w:r>
                </w:p>
              </w:tc>
              <w:tc>
                <w:tcPr>
                  <w:tcW w:w="1507" w:type="dxa"/>
                  <w:vAlign w:val="center"/>
                </w:tcPr>
                <w:p w14:paraId="5F5A2107">
                  <w:pPr>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bidi="ar"/>
                    </w:rPr>
                    <w:t>576</w:t>
                  </w:r>
                </w:p>
              </w:tc>
              <w:tc>
                <w:tcPr>
                  <w:tcW w:w="2204" w:type="dxa"/>
                  <w:vAlign w:val="center"/>
                </w:tcPr>
                <w:p w14:paraId="1FB2040E">
                  <w:pPr>
                    <w:kinsoku/>
                    <w:spacing w:before="64" w:line="195"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运至</w:t>
                  </w:r>
                  <w:r>
                    <w:rPr>
                      <w:rFonts w:hint="eastAsia" w:ascii="Times New Roman" w:hAnsi="Times New Roman" w:eastAsia="宋体" w:cs="Times New Roman"/>
                      <w:color w:val="auto"/>
                      <w:highlight w:val="none"/>
                      <w:lang w:val="en-US" w:eastAsia="zh-CN"/>
                    </w:rPr>
                    <w:t>吉木萨尔县</w:t>
                  </w:r>
                  <w:r>
                    <w:rPr>
                      <w:rFonts w:hint="default" w:ascii="Times New Roman" w:hAnsi="Times New Roman" w:eastAsia="宋体" w:cs="Times New Roman"/>
                      <w:color w:val="auto"/>
                      <w:highlight w:val="none"/>
                      <w:lang w:eastAsia="zh-CN"/>
                    </w:rPr>
                    <w:t>市政污水处理厂处理</w:t>
                  </w:r>
                </w:p>
              </w:tc>
            </w:tr>
            <w:tr w14:paraId="430C5E43">
              <w:trPr>
                <w:trHeight w:val="528" w:hRule="atLeast"/>
                <w:jc w:val="center"/>
              </w:trPr>
              <w:tc>
                <w:tcPr>
                  <w:tcW w:w="1712" w:type="dxa"/>
                  <w:tcBorders>
                    <w:left w:val="single" w:color="000000" w:sz="2" w:space="0"/>
                  </w:tcBorders>
                  <w:vAlign w:val="center"/>
                </w:tcPr>
                <w:p w14:paraId="5E0ED4E9">
                  <w:pPr>
                    <w:pStyle w:val="23"/>
                    <w:kinsoku/>
                    <w:spacing w:before="29" w:line="22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4"/>
                      <w:sz w:val="21"/>
                      <w:szCs w:val="21"/>
                      <w:highlight w:val="none"/>
                      <w:lang w:eastAsia="zh-CN"/>
                    </w:rPr>
                    <w:t>合计</w:t>
                  </w:r>
                </w:p>
              </w:tc>
              <w:tc>
                <w:tcPr>
                  <w:tcW w:w="1229" w:type="dxa"/>
                  <w:vAlign w:val="center"/>
                </w:tcPr>
                <w:p w14:paraId="7A0ACACE">
                  <w:pPr>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11886</w:t>
                  </w:r>
                </w:p>
              </w:tc>
              <w:tc>
                <w:tcPr>
                  <w:tcW w:w="1478" w:type="dxa"/>
                  <w:vAlign w:val="center"/>
                </w:tcPr>
                <w:p w14:paraId="0B132AB7">
                  <w:pPr>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5210</w:t>
                  </w:r>
                </w:p>
              </w:tc>
              <w:tc>
                <w:tcPr>
                  <w:tcW w:w="1507" w:type="dxa"/>
                  <w:vAlign w:val="center"/>
                </w:tcPr>
                <w:p w14:paraId="795A54EA">
                  <w:pPr>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6676</w:t>
                  </w:r>
                </w:p>
              </w:tc>
              <w:tc>
                <w:tcPr>
                  <w:tcW w:w="2204" w:type="dxa"/>
                  <w:vAlign w:val="center"/>
                </w:tcPr>
                <w:p w14:paraId="19789C2E">
                  <w:pPr>
                    <w:kinsoku/>
                    <w:jc w:val="center"/>
                    <w:textAlignment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w:t>
                  </w:r>
                </w:p>
              </w:tc>
            </w:tr>
          </w:tbl>
          <w:p w14:paraId="4C890A1A">
            <w:pPr>
              <w:pStyle w:val="23"/>
              <w:widowControl w:val="0"/>
              <w:kinsoku/>
              <w:spacing w:before="34" w:line="219" w:lineRule="auto"/>
              <w:ind w:left="519"/>
              <w:jc w:val="both"/>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eastAsia="zh-CN" w:bidi="ar"/>
              </w:rPr>
              <w:t>项目水平衡图见图2-3。</w:t>
            </w:r>
          </w:p>
          <w:p w14:paraId="40557883">
            <w:pPr>
              <w:pStyle w:val="23"/>
              <w:widowControl w:val="0"/>
              <w:kinsoku/>
              <w:spacing w:before="161"/>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drawing>
                <wp:inline distT="0" distB="0" distL="114300" distR="114300">
                  <wp:extent cx="5566410" cy="3898900"/>
                  <wp:effectExtent l="0" t="0" r="15240" b="6350"/>
                  <wp:docPr id="10" name="F360BE8B-6686-4F3D-AEAF-501FE73E4058-1" descr="C:/Users/2025.1/AppData/Local/Temp/绘图1(11).png绘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0BE8B-6686-4F3D-AEAF-501FE73E4058-1" descr="C:/Users/2025.1/AppData/Local/Temp/绘图1(11).png绘图1(11)"/>
                          <pic:cNvPicPr>
                            <a:picLocks noChangeAspect="1"/>
                          </pic:cNvPicPr>
                        </pic:nvPicPr>
                        <pic:blipFill>
                          <a:blip r:embed="rId11"/>
                          <a:stretch>
                            <a:fillRect/>
                          </a:stretch>
                        </pic:blipFill>
                        <pic:spPr>
                          <a:xfrm>
                            <a:off x="0" y="0"/>
                            <a:ext cx="5566410" cy="3898900"/>
                          </a:xfrm>
                          <a:prstGeom prst="rect">
                            <a:avLst/>
                          </a:prstGeom>
                        </pic:spPr>
                      </pic:pic>
                    </a:graphicData>
                  </a:graphic>
                </wp:inline>
              </w:drawing>
            </w:r>
          </w:p>
          <w:p w14:paraId="29FD171A">
            <w:pPr>
              <w:pStyle w:val="23"/>
              <w:widowControl w:val="0"/>
              <w:kinsoku/>
              <w:spacing w:before="161"/>
              <w:jc w:val="center"/>
              <w:rPr>
                <w:rFonts w:hint="default" w:ascii="Times New Roman" w:hAnsi="Times New Roman" w:eastAsia="宋体" w:cs="Times New Roman"/>
                <w:b/>
                <w:bCs/>
                <w:color w:val="auto"/>
                <w:sz w:val="24"/>
                <w:szCs w:val="24"/>
                <w:highlight w:val="none"/>
                <w:lang w:eastAsia="zh-CN" w:bidi="ar"/>
              </w:rPr>
            </w:pPr>
            <w:r>
              <w:rPr>
                <w:rFonts w:hint="default" w:ascii="Times New Roman" w:hAnsi="Times New Roman" w:eastAsia="宋体" w:cs="Times New Roman"/>
                <w:b/>
                <w:bCs/>
                <w:color w:val="auto"/>
                <w:sz w:val="21"/>
                <w:szCs w:val="21"/>
                <w:highlight w:val="none"/>
                <w:lang w:eastAsia="zh-CN"/>
              </w:rPr>
              <w:t>图2-3 项目水平衡图（单位：m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lang w:eastAsia="zh-CN"/>
              </w:rPr>
              <w:t>）</w:t>
            </w:r>
          </w:p>
          <w:p w14:paraId="6D6C0E4B">
            <w:pPr>
              <w:pStyle w:val="23"/>
              <w:widowControl w:val="0"/>
              <w:kinsoku/>
              <w:spacing w:before="181" w:line="219" w:lineRule="auto"/>
              <w:jc w:val="both"/>
              <w:rPr>
                <w:rFonts w:hint="default" w:ascii="Times New Roman" w:hAnsi="Times New Roman" w:eastAsia="宋体" w:cs="Times New Roman"/>
                <w:color w:val="auto"/>
                <w:sz w:val="24"/>
                <w:szCs w:val="24"/>
                <w:lang w:eastAsia="zh-CN"/>
              </w:rPr>
            </w:pPr>
            <w:r>
              <w:rPr>
                <w:rFonts w:hint="eastAsia" w:ascii="Times New Roman" w:hAnsi="Times New Roman" w:cs="Times New Roman"/>
                <w:b/>
                <w:bCs/>
                <w:color w:val="auto"/>
                <w:spacing w:val="-3"/>
                <w:sz w:val="24"/>
                <w:szCs w:val="24"/>
                <w:lang w:val="en-US" w:eastAsia="zh-CN"/>
              </w:rPr>
              <w:t>9</w:t>
            </w:r>
            <w:r>
              <w:rPr>
                <w:rFonts w:hint="default" w:ascii="Times New Roman" w:hAnsi="Times New Roman" w:eastAsia="宋体" w:cs="Times New Roman"/>
                <w:b/>
                <w:bCs/>
                <w:color w:val="auto"/>
                <w:spacing w:val="-3"/>
                <w:sz w:val="24"/>
                <w:szCs w:val="24"/>
                <w:lang w:eastAsia="zh-CN"/>
              </w:rPr>
              <w:t>.4供电</w:t>
            </w:r>
          </w:p>
          <w:p w14:paraId="2C91E6D6">
            <w:pPr>
              <w:pStyle w:val="23"/>
              <w:widowControl w:val="0"/>
              <w:kinsoku/>
              <w:spacing w:line="361" w:lineRule="auto"/>
              <w:ind w:left="30" w:firstLine="418"/>
              <w:jc w:val="both"/>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pacing w:val="-1"/>
                <w:sz w:val="24"/>
                <w:szCs w:val="24"/>
                <w:highlight w:val="none"/>
                <w:lang w:val="en-US" w:eastAsia="zh-CN"/>
              </w:rPr>
              <w:t>本项目钻井作业动力主要依靠工业用电。每井钻井队配备柴油发电机作为备用电源，仅在工业用电中断等应急情况下使用，消耗的柴油均符合国家标准；电力供应有充分保障</w:t>
            </w:r>
            <w:r>
              <w:rPr>
                <w:rFonts w:hint="default" w:ascii="Times New Roman" w:hAnsi="Times New Roman" w:eastAsia="宋体" w:cs="Times New Roman"/>
                <w:color w:val="auto"/>
                <w:sz w:val="24"/>
                <w:szCs w:val="24"/>
                <w:lang w:eastAsia="zh-CN" w:bidi="ar"/>
              </w:rPr>
              <w:t>。</w:t>
            </w:r>
          </w:p>
          <w:p w14:paraId="74516652">
            <w:pPr>
              <w:pStyle w:val="23"/>
              <w:widowControl w:val="0"/>
              <w:kinsoku/>
              <w:spacing w:before="65" w:line="360" w:lineRule="auto"/>
              <w:jc w:val="both"/>
              <w:rPr>
                <w:rFonts w:hint="default" w:ascii="Times New Roman" w:hAnsi="Times New Roman" w:eastAsia="宋体" w:cs="Times New Roman"/>
                <w:color w:val="auto"/>
                <w:sz w:val="24"/>
                <w:szCs w:val="24"/>
                <w:lang w:eastAsia="zh-CN"/>
              </w:rPr>
            </w:pPr>
            <w:r>
              <w:rPr>
                <w:rFonts w:hint="eastAsia" w:ascii="Times New Roman" w:hAnsi="Times New Roman" w:cs="Times New Roman"/>
                <w:b/>
                <w:bCs/>
                <w:color w:val="auto"/>
                <w:spacing w:val="2"/>
                <w:sz w:val="24"/>
                <w:szCs w:val="24"/>
                <w:lang w:val="en-US" w:eastAsia="zh-CN"/>
              </w:rPr>
              <w:t>10</w:t>
            </w:r>
            <w:r>
              <w:rPr>
                <w:rFonts w:hint="default" w:ascii="Times New Roman" w:hAnsi="Times New Roman" w:eastAsia="宋体" w:cs="Times New Roman"/>
                <w:b/>
                <w:bCs/>
                <w:color w:val="auto"/>
                <w:spacing w:val="2"/>
                <w:sz w:val="24"/>
                <w:szCs w:val="24"/>
                <w:lang w:eastAsia="zh-CN"/>
              </w:rPr>
              <w:t>.依托工程</w:t>
            </w:r>
          </w:p>
          <w:p w14:paraId="3B0AB60A">
            <w:pPr>
              <w:widowControl w:val="0"/>
              <w:kinsoku/>
              <w:spacing w:line="360" w:lineRule="auto"/>
              <w:ind w:firstLine="468" w:firstLineChars="200"/>
              <w:jc w:val="both"/>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pacing w:val="-3"/>
                <w:sz w:val="24"/>
                <w:szCs w:val="24"/>
                <w:highlight w:val="none"/>
                <w:lang w:eastAsia="zh-CN"/>
              </w:rPr>
              <w:t>（1）吉28脱水站基本情况</w:t>
            </w:r>
            <w:r>
              <w:rPr>
                <w:rFonts w:hint="eastAsia" w:ascii="Times New Roman" w:hAnsi="Times New Roman" w:eastAsia="宋体" w:cs="Times New Roman"/>
                <w:color w:val="auto"/>
                <w:spacing w:val="-3"/>
                <w:sz w:val="24"/>
                <w:szCs w:val="24"/>
                <w:highlight w:val="none"/>
                <w:lang w:val="en-US" w:eastAsia="zh-CN"/>
              </w:rPr>
              <w:t>及处理能力</w:t>
            </w:r>
          </w:p>
          <w:p w14:paraId="71E9E006">
            <w:pPr>
              <w:pStyle w:val="23"/>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吉28脱水站位于本项目周边，占地面积43331.69m²，主体功能为原油脱水、储存及外运。该站除具备含水原油处理能力（3000m³/d）外，重点配套建设有“污水处理系统”。根据《吉28区块原油脱水站污水处理系统建设项目环境影响报告表》及批复（师环审〔2024〕48号），该站新建有一套撬装式压裂返排液处理装置，设计污水处理规模为1200m³/d（50m³/h，24h连续运行）。目前，吉28脱水站已具备对区域内压裂返排液及采出水进行集中处理并达标回注的能力。</w:t>
            </w:r>
          </w:p>
          <w:p w14:paraId="4EE64551">
            <w:pPr>
              <w:pStyle w:val="23"/>
              <w:widowControl w:val="0"/>
              <w:numPr>
                <w:ilvl w:val="0"/>
                <w:numId w:val="4"/>
              </w:numPr>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 xml:space="preserve">依托工程环保手续 </w:t>
            </w:r>
          </w:p>
          <w:p w14:paraId="4642001F">
            <w:pPr>
              <w:pStyle w:val="23"/>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吉28脱水站主体工程（原油脱水部分）已于2022年取得昌吉回族自治州生态环境局批复（昌州环评〔2022〕104号）；其配套的污水处理系统已于2024年6月28日取得新疆兵团第六师五家渠市生态环境局批复（师环审〔2024〕48号），并通过竣工环境保护验收，依托工程环保手续完备。</w:t>
            </w:r>
          </w:p>
          <w:p w14:paraId="708A1927">
            <w:pPr>
              <w:pStyle w:val="23"/>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（3）采出水/压裂返排液处理工艺及可行性分析</w:t>
            </w:r>
          </w:p>
          <w:p w14:paraId="17D8F69D">
            <w:pPr>
              <w:pStyle w:val="23"/>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处理工艺：吉28脱水站污水处理系统采用“预处理加药+混凝搅拌+固液分离+溶气气浮+多级过滤+精细过滤+污泥脱水”工艺 。废水经处理达到回注标准后，全部回注地层，不外排。</w:t>
            </w:r>
          </w:p>
          <w:p w14:paraId="716C5DAD">
            <w:pPr>
              <w:pStyle w:val="23"/>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出水标准：执行《碎屑岩油藏注水水质指标技术要求及分析方法》（SY/T5329-2022）</w:t>
            </w:r>
            <w:r>
              <w:rPr>
                <w:rFonts w:hint="eastAsia" w:ascii="Times New Roman" w:hAnsi="Times New Roman" w:cs="Times New Roman"/>
                <w:color w:val="auto"/>
                <w:sz w:val="24"/>
                <w:szCs w:val="24"/>
                <w:highlight w:val="none"/>
                <w:lang w:eastAsia="zh-CN" w:bidi="ar"/>
              </w:rPr>
              <w:t>Ⅲ</w:t>
            </w:r>
            <w:r>
              <w:rPr>
                <w:rFonts w:ascii="Times New Roman" w:hAnsi="Times New Roman" w:cs="Times New Roman"/>
                <w:color w:val="auto"/>
                <w:sz w:val="24"/>
                <w:szCs w:val="24"/>
                <w:highlight w:val="none"/>
                <w:lang w:eastAsia="zh-CN" w:bidi="ar"/>
              </w:rPr>
              <w:t>级标准要求。</w:t>
            </w:r>
          </w:p>
          <w:p w14:paraId="0D632906">
            <w:pPr>
              <w:pStyle w:val="23"/>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依托可行性论证：</w:t>
            </w:r>
          </w:p>
          <w:p w14:paraId="0EF8C423">
            <w:pPr>
              <w:pStyle w:val="23"/>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产生规律：本项目压裂返排液产生总量虽较大（约</w:t>
            </w:r>
            <w:r>
              <w:rPr>
                <w:rFonts w:hint="eastAsia" w:ascii="Times New Roman" w:hAnsi="Times New Roman" w:cs="Times New Roman"/>
                <w:color w:val="auto"/>
                <w:sz w:val="24"/>
                <w:szCs w:val="24"/>
                <w:highlight w:val="none"/>
                <w:lang w:val="en-US" w:eastAsia="zh-CN" w:bidi="ar"/>
              </w:rPr>
              <w:t>5000</w:t>
            </w:r>
            <w:r>
              <w:rPr>
                <w:rFonts w:ascii="Times New Roman" w:hAnsi="Times New Roman" w:cs="Times New Roman"/>
                <w:color w:val="auto"/>
                <w:sz w:val="24"/>
                <w:szCs w:val="24"/>
                <w:highlight w:val="none"/>
                <w:lang w:eastAsia="zh-CN" w:bidi="ar"/>
              </w:rPr>
              <w:t>m³），但其并非瞬时集中排放。经核算，单井压裂返排液平均产生量约为60m³/d，两口井合计最大日产生量约120m³/d。</w:t>
            </w:r>
          </w:p>
          <w:p w14:paraId="4438730B">
            <w:pPr>
              <w:pStyle w:val="23"/>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处置方式：鉴于产生速率平稳，本项目采取“井场短期缓冲+每日及时转运”的模式，无需建设大容量长期暂存设施。</w:t>
            </w:r>
          </w:p>
          <w:p w14:paraId="7D8E9CD9">
            <w:pPr>
              <w:pStyle w:val="23"/>
              <w:widowControl w:val="0"/>
              <w:kinsoku/>
              <w:spacing w:line="361" w:lineRule="auto"/>
              <w:ind w:left="30" w:firstLine="418"/>
              <w:jc w:val="both"/>
              <w:rPr>
                <w:rFonts w:hint="default" w:ascii="Times New Roman" w:hAnsi="Times New Roman" w:eastAsia="宋体" w:cs="Times New Roman"/>
                <w:color w:val="auto"/>
                <w:sz w:val="24"/>
                <w:szCs w:val="24"/>
                <w:lang w:eastAsia="zh-CN" w:bidi="ar"/>
              </w:rPr>
            </w:pPr>
            <w:r>
              <w:rPr>
                <w:rFonts w:ascii="Times New Roman" w:hAnsi="Times New Roman" w:cs="Times New Roman"/>
                <w:color w:val="auto"/>
                <w:sz w:val="24"/>
                <w:szCs w:val="24"/>
                <w:highlight w:val="none"/>
                <w:lang w:eastAsia="zh-CN" w:bidi="ar"/>
              </w:rPr>
              <w:t>能力匹配：吉28脱水站污水设计处理能力为1200m³/d，目前剩余处理能力充裕（&gt;</w:t>
            </w:r>
            <w:r>
              <w:rPr>
                <w:rFonts w:hint="eastAsia" w:ascii="Times New Roman" w:hAnsi="Times New Roman" w:cs="Times New Roman"/>
                <w:color w:val="auto"/>
                <w:sz w:val="24"/>
                <w:szCs w:val="24"/>
                <w:highlight w:val="none"/>
                <w:lang w:val="en-US" w:eastAsia="zh-CN" w:bidi="ar"/>
              </w:rPr>
              <w:t>6</w:t>
            </w:r>
            <w:r>
              <w:rPr>
                <w:rFonts w:ascii="Times New Roman" w:hAnsi="Times New Roman" w:cs="Times New Roman"/>
                <w:color w:val="auto"/>
                <w:sz w:val="24"/>
                <w:szCs w:val="24"/>
                <w:highlight w:val="none"/>
                <w:lang w:eastAsia="zh-CN" w:bidi="ar"/>
              </w:rPr>
              <w:t>00m³/d），远大于本项目最大日拉运量（120m³/d）。因此，吉28脱水站完全具备接纳并处理本项目废水的工程能力，依托方案技术可行、经济合理。</w:t>
            </w:r>
          </w:p>
        </w:tc>
      </w:tr>
      <w:bookmarkEnd w:id="3"/>
      <w:tr w14:paraId="42F2EF97">
        <w:trPr>
          <w:trHeight w:val="452" w:hRule="atLeast"/>
          <w:jc w:val="center"/>
        </w:trPr>
        <w:tc>
          <w:tcPr>
            <w:tcW w:w="704" w:type="dxa"/>
            <w:vAlign w:val="center"/>
          </w:tcPr>
          <w:p w14:paraId="1F92640E">
            <w:pPr>
              <w:widowControl w:val="0"/>
              <w:kinsoku/>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总平面及现场布置</w:t>
            </w:r>
          </w:p>
        </w:tc>
        <w:tc>
          <w:tcPr>
            <w:tcW w:w="8394" w:type="dxa"/>
            <w:tcBorders>
              <w:top w:val="single" w:color="auto" w:sz="4" w:space="0"/>
            </w:tcBorders>
          </w:tcPr>
          <w:p w14:paraId="4E153DEF">
            <w:pPr>
              <w:pStyle w:val="23"/>
              <w:widowControl w:val="0"/>
              <w:kinsoku/>
              <w:spacing w:line="360" w:lineRule="auto"/>
              <w:jc w:val="both"/>
              <w:rPr>
                <w:rFonts w:hint="default" w:ascii="Times New Roman" w:hAnsi="Times New Roman" w:eastAsia="宋体" w:cs="Times New Roman"/>
                <w:b/>
                <w:bCs/>
                <w:color w:val="auto"/>
                <w:sz w:val="24"/>
                <w:szCs w:val="24"/>
                <w:lang w:eastAsia="zh-CN" w:bidi="ar"/>
              </w:rPr>
            </w:pPr>
            <w:r>
              <w:rPr>
                <w:rFonts w:hint="default" w:ascii="Times New Roman" w:hAnsi="Times New Roman" w:eastAsia="宋体" w:cs="Times New Roman"/>
                <w:b/>
                <w:bCs/>
                <w:color w:val="auto"/>
                <w:sz w:val="24"/>
                <w:szCs w:val="24"/>
                <w:lang w:eastAsia="zh-CN" w:bidi="ar"/>
              </w:rPr>
              <w:t>1.钻井期井场平面布置</w:t>
            </w:r>
          </w:p>
          <w:p w14:paraId="1FF5D34A">
            <w:pPr>
              <w:pStyle w:val="23"/>
              <w:widowControl w:val="0"/>
              <w:kinsoku/>
              <w:spacing w:line="360" w:lineRule="auto"/>
              <w:ind w:firstLine="476" w:firstLineChars="200"/>
              <w:jc w:val="both"/>
              <w:rPr>
                <w:rFonts w:hint="default" w:ascii="Times New Roman" w:hAnsi="Times New Roman" w:eastAsia="宋体" w:cs="Times New Roman"/>
                <w:color w:val="auto"/>
                <w:spacing w:val="-1"/>
                <w:sz w:val="24"/>
                <w:szCs w:val="24"/>
                <w:lang w:eastAsia="zh-CN"/>
              </w:rPr>
            </w:pPr>
            <w:r>
              <w:rPr>
                <w:rFonts w:hint="default" w:ascii="Times New Roman" w:hAnsi="Times New Roman" w:eastAsia="宋体" w:cs="Times New Roman"/>
                <w:color w:val="auto"/>
                <w:spacing w:val="-1"/>
                <w:sz w:val="24"/>
                <w:szCs w:val="24"/>
                <w:lang w:eastAsia="zh-CN"/>
              </w:rPr>
              <w:t>本项目新钻井2口，钻井期井场布置依据《钻前工程及井场布置技术要求》</w:t>
            </w:r>
            <w:r>
              <w:rPr>
                <w:rFonts w:hint="default" w:ascii="Times New Roman" w:hAnsi="Times New Roman" w:eastAsia="宋体" w:cs="Times New Roman"/>
                <w:color w:val="auto"/>
                <w:spacing w:val="-3"/>
                <w:sz w:val="24"/>
                <w:szCs w:val="24"/>
                <w:lang w:eastAsia="zh-CN"/>
              </w:rPr>
              <w:t>（SY/T5466-2013）相关要求，设有柴油储罐、发电</w:t>
            </w:r>
            <w:r>
              <w:rPr>
                <w:rFonts w:hint="default" w:ascii="Times New Roman" w:hAnsi="Times New Roman" w:eastAsia="宋体" w:cs="Times New Roman"/>
                <w:color w:val="auto"/>
                <w:spacing w:val="-3"/>
                <w:sz w:val="24"/>
                <w:szCs w:val="24"/>
                <w:lang w:val="en-US" w:eastAsia="zh-CN"/>
              </w:rPr>
              <w:t>机</w:t>
            </w:r>
            <w:r>
              <w:rPr>
                <w:rFonts w:hint="default" w:ascii="Times New Roman" w:hAnsi="Times New Roman" w:eastAsia="宋体" w:cs="Times New Roman"/>
                <w:color w:val="auto"/>
                <w:spacing w:val="-3"/>
                <w:sz w:val="24"/>
                <w:szCs w:val="24"/>
                <w:lang w:eastAsia="zh-CN"/>
              </w:rPr>
              <w:t>房、不落地系统、泥浆储罐区、岩屑储罐区、值班房</w:t>
            </w:r>
            <w:r>
              <w:rPr>
                <w:rFonts w:hint="default" w:ascii="Times New Roman" w:hAnsi="Times New Roman" w:eastAsia="宋体" w:cs="Times New Roman"/>
                <w:color w:val="auto"/>
                <w:spacing w:val="-1"/>
                <w:sz w:val="24"/>
                <w:szCs w:val="24"/>
                <w:lang w:eastAsia="zh-CN"/>
              </w:rPr>
              <w:t>等，钻井期井场平面布置示意图见附图</w:t>
            </w:r>
            <w:r>
              <w:rPr>
                <w:rFonts w:hint="eastAsia" w:ascii="Times New Roman" w:hAnsi="Times New Roman" w:cs="Times New Roman"/>
                <w:color w:val="auto"/>
                <w:spacing w:val="-1"/>
                <w:sz w:val="24"/>
                <w:szCs w:val="24"/>
                <w:lang w:val="en-US" w:eastAsia="zh-CN"/>
              </w:rPr>
              <w:t>11</w:t>
            </w:r>
            <w:r>
              <w:rPr>
                <w:rFonts w:hint="default" w:ascii="Times New Roman" w:hAnsi="Times New Roman" w:eastAsia="宋体" w:cs="Times New Roman"/>
                <w:color w:val="auto"/>
                <w:spacing w:val="-1"/>
                <w:sz w:val="24"/>
                <w:szCs w:val="24"/>
                <w:lang w:eastAsia="zh-CN"/>
              </w:rPr>
              <w:t>。</w:t>
            </w:r>
          </w:p>
          <w:p w14:paraId="34B79314">
            <w:pPr>
              <w:pStyle w:val="23"/>
              <w:widowControl w:val="0"/>
              <w:kinsoku/>
              <w:spacing w:line="360" w:lineRule="auto"/>
              <w:jc w:val="both"/>
              <w:rPr>
                <w:rFonts w:hint="default" w:ascii="Times New Roman" w:hAnsi="Times New Roman" w:eastAsia="宋体" w:cs="Times New Roman"/>
                <w:b/>
                <w:bCs/>
                <w:color w:val="auto"/>
                <w:sz w:val="24"/>
                <w:szCs w:val="24"/>
                <w:lang w:eastAsia="zh-CN" w:bidi="ar"/>
              </w:rPr>
            </w:pPr>
            <w:r>
              <w:rPr>
                <w:rFonts w:hint="default" w:ascii="Times New Roman" w:hAnsi="Times New Roman" w:eastAsia="宋体" w:cs="Times New Roman"/>
                <w:b/>
                <w:bCs/>
                <w:color w:val="auto"/>
                <w:sz w:val="24"/>
                <w:szCs w:val="24"/>
                <w:lang w:eastAsia="zh-CN" w:bidi="ar"/>
              </w:rPr>
              <w:t>2.试油期井场平面布置</w:t>
            </w:r>
          </w:p>
          <w:p w14:paraId="01922DE7">
            <w:pPr>
              <w:pStyle w:val="23"/>
              <w:widowControl w:val="0"/>
              <w:kinsoku/>
              <w:spacing w:line="360" w:lineRule="auto"/>
              <w:ind w:firstLine="472" w:firstLineChars="200"/>
              <w:jc w:val="both"/>
              <w:rPr>
                <w:rFonts w:hint="default" w:ascii="Times New Roman" w:hAnsi="Times New Roman" w:eastAsia="宋体" w:cs="Times New Roman"/>
                <w:color w:val="auto"/>
                <w:spacing w:val="-1"/>
                <w:sz w:val="24"/>
                <w:szCs w:val="24"/>
                <w:lang w:eastAsia="zh-CN"/>
              </w:rPr>
            </w:pPr>
            <w:r>
              <w:rPr>
                <w:rFonts w:hint="default" w:ascii="Times New Roman" w:hAnsi="Times New Roman" w:eastAsia="宋体" w:cs="Times New Roman"/>
                <w:color w:val="auto"/>
                <w:spacing w:val="-2"/>
                <w:sz w:val="24"/>
                <w:szCs w:val="24"/>
                <w:lang w:eastAsia="zh-CN"/>
              </w:rPr>
              <w:t>试油期井场布置发电</w:t>
            </w:r>
            <w:r>
              <w:rPr>
                <w:rFonts w:hint="default" w:ascii="Times New Roman" w:hAnsi="Times New Roman" w:eastAsia="宋体" w:cs="Times New Roman"/>
                <w:color w:val="auto"/>
                <w:spacing w:val="-2"/>
                <w:sz w:val="24"/>
                <w:szCs w:val="24"/>
                <w:lang w:val="en-US" w:eastAsia="zh-CN"/>
              </w:rPr>
              <w:t>机</w:t>
            </w:r>
            <w:r>
              <w:rPr>
                <w:rFonts w:hint="default" w:ascii="Times New Roman" w:hAnsi="Times New Roman" w:eastAsia="宋体" w:cs="Times New Roman"/>
                <w:color w:val="auto"/>
                <w:spacing w:val="-2"/>
                <w:sz w:val="24"/>
                <w:szCs w:val="24"/>
                <w:lang w:eastAsia="zh-CN"/>
              </w:rPr>
              <w:t>房、采出液储罐、试油废水罐、值班</w:t>
            </w:r>
            <w:r>
              <w:rPr>
                <w:rFonts w:hint="default" w:ascii="Times New Roman" w:hAnsi="Times New Roman" w:eastAsia="宋体" w:cs="Times New Roman"/>
                <w:color w:val="auto"/>
                <w:spacing w:val="-3"/>
                <w:sz w:val="24"/>
                <w:szCs w:val="24"/>
                <w:lang w:eastAsia="zh-CN"/>
              </w:rPr>
              <w:t>房等设施并设置紧急</w:t>
            </w:r>
            <w:r>
              <w:rPr>
                <w:rFonts w:hint="default" w:ascii="Times New Roman" w:hAnsi="Times New Roman" w:eastAsia="宋体" w:cs="Times New Roman"/>
                <w:color w:val="auto"/>
                <w:spacing w:val="-1"/>
                <w:sz w:val="24"/>
                <w:szCs w:val="24"/>
                <w:lang w:eastAsia="zh-CN"/>
              </w:rPr>
              <w:t>集合点等，试油期井场平面布置示意图见附图</w:t>
            </w:r>
            <w:r>
              <w:rPr>
                <w:rFonts w:hint="eastAsia" w:ascii="Times New Roman" w:hAnsi="Times New Roman" w:cs="Times New Roman"/>
                <w:color w:val="auto"/>
                <w:spacing w:val="-1"/>
                <w:sz w:val="24"/>
                <w:szCs w:val="24"/>
                <w:lang w:val="en-US" w:eastAsia="zh-CN"/>
              </w:rPr>
              <w:t>12</w:t>
            </w:r>
            <w:r>
              <w:rPr>
                <w:rFonts w:hint="default" w:ascii="Times New Roman" w:hAnsi="Times New Roman" w:eastAsia="宋体" w:cs="Times New Roman"/>
                <w:color w:val="auto"/>
                <w:spacing w:val="-1"/>
                <w:sz w:val="24"/>
                <w:szCs w:val="24"/>
                <w:lang w:eastAsia="zh-CN"/>
              </w:rPr>
              <w:t>。</w:t>
            </w:r>
          </w:p>
          <w:p w14:paraId="5FF79CE8">
            <w:pPr>
              <w:pStyle w:val="23"/>
              <w:widowControl w:val="0"/>
              <w:kinsoku/>
              <w:spacing w:line="360" w:lineRule="auto"/>
              <w:jc w:val="both"/>
              <w:rPr>
                <w:rFonts w:hint="default" w:ascii="Times New Roman" w:hAnsi="Times New Roman" w:eastAsia="宋体" w:cs="Times New Roman"/>
                <w:b/>
                <w:bCs/>
                <w:color w:val="auto"/>
                <w:sz w:val="24"/>
                <w:szCs w:val="24"/>
                <w:lang w:eastAsia="zh-CN" w:bidi="ar"/>
              </w:rPr>
            </w:pPr>
            <w:r>
              <w:rPr>
                <w:rFonts w:hint="default" w:ascii="Times New Roman" w:hAnsi="Times New Roman" w:eastAsia="宋体" w:cs="Times New Roman"/>
                <w:b/>
                <w:bCs/>
                <w:color w:val="auto"/>
                <w:sz w:val="24"/>
                <w:szCs w:val="24"/>
                <w:lang w:eastAsia="zh-CN" w:bidi="ar"/>
              </w:rPr>
              <w:t>3.工期安排</w:t>
            </w:r>
          </w:p>
          <w:p w14:paraId="394B4DA5">
            <w:pPr>
              <w:pStyle w:val="23"/>
              <w:widowControl w:val="0"/>
              <w:kinsoku/>
              <w:spacing w:line="360" w:lineRule="auto"/>
              <w:ind w:firstLine="476" w:firstLineChars="200"/>
              <w:jc w:val="both"/>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color w:val="auto"/>
                <w:spacing w:val="-1"/>
                <w:sz w:val="24"/>
                <w:szCs w:val="24"/>
                <w:lang w:eastAsia="zh-CN"/>
              </w:rPr>
              <w:t>本项目施</w:t>
            </w:r>
            <w:r>
              <w:rPr>
                <w:rFonts w:hint="default" w:ascii="Times New Roman" w:hAnsi="Times New Roman" w:eastAsia="宋体" w:cs="Times New Roman"/>
                <w:color w:val="auto"/>
                <w:spacing w:val="-1"/>
                <w:sz w:val="24"/>
                <w:szCs w:val="24"/>
                <w:highlight w:val="none"/>
                <w:lang w:eastAsia="zh-CN"/>
              </w:rPr>
              <w:t>工时序依次为钻井、试油、完井三部分，本项目单井钻井期为90天，试油期为</w:t>
            </w:r>
            <w:r>
              <w:rPr>
                <w:rFonts w:hint="eastAsia" w:ascii="Times New Roman" w:hAnsi="Times New Roman" w:cs="Times New Roman"/>
                <w:color w:val="auto"/>
                <w:spacing w:val="-1"/>
                <w:sz w:val="24"/>
                <w:szCs w:val="24"/>
                <w:highlight w:val="none"/>
                <w:lang w:val="en-US" w:eastAsia="zh-CN"/>
              </w:rPr>
              <w:t>180</w:t>
            </w:r>
            <w:r>
              <w:rPr>
                <w:rFonts w:hint="default" w:ascii="Times New Roman" w:hAnsi="Times New Roman" w:eastAsia="宋体" w:cs="Times New Roman"/>
                <w:color w:val="auto"/>
                <w:spacing w:val="-1"/>
                <w:sz w:val="24"/>
                <w:szCs w:val="24"/>
                <w:highlight w:val="none"/>
                <w:lang w:eastAsia="zh-CN"/>
              </w:rPr>
              <w:t>天。本项目用工实行轮休制度，采用两班两倒工作制，每班12小时。</w:t>
            </w:r>
          </w:p>
          <w:p w14:paraId="18EE7E52">
            <w:pPr>
              <w:pStyle w:val="23"/>
              <w:widowControl w:val="0"/>
              <w:kinsoku/>
              <w:spacing w:line="360" w:lineRule="auto"/>
              <w:jc w:val="both"/>
              <w:rPr>
                <w:rFonts w:hint="default" w:ascii="Times New Roman" w:hAnsi="Times New Roman" w:eastAsia="宋体" w:cs="Times New Roman"/>
                <w:b/>
                <w:bCs/>
                <w:color w:val="auto"/>
                <w:sz w:val="24"/>
                <w:szCs w:val="24"/>
                <w:lang w:eastAsia="zh-CN" w:bidi="ar"/>
              </w:rPr>
            </w:pPr>
            <w:r>
              <w:rPr>
                <w:rFonts w:hint="default" w:ascii="Times New Roman" w:hAnsi="Times New Roman" w:eastAsia="宋体" w:cs="Times New Roman"/>
                <w:b/>
                <w:bCs/>
                <w:color w:val="auto"/>
                <w:sz w:val="24"/>
                <w:szCs w:val="24"/>
                <w:lang w:eastAsia="zh-CN" w:bidi="ar"/>
              </w:rPr>
              <w:t>4.临时工程平面布置</w:t>
            </w:r>
          </w:p>
          <w:p w14:paraId="1070DF4B">
            <w:pPr>
              <w:pStyle w:val="23"/>
              <w:widowControl w:val="0"/>
              <w:kinsoku/>
              <w:spacing w:line="360" w:lineRule="auto"/>
              <w:ind w:firstLine="476" w:firstLineChars="200"/>
              <w:jc w:val="both"/>
              <w:rPr>
                <w:rFonts w:hint="default" w:ascii="Times New Roman" w:hAnsi="Times New Roman" w:eastAsia="宋体" w:cs="Times New Roman"/>
                <w:color w:val="auto"/>
                <w:spacing w:val="-1"/>
                <w:sz w:val="24"/>
                <w:szCs w:val="24"/>
                <w:lang w:eastAsia="zh-CN"/>
              </w:rPr>
            </w:pPr>
            <w:r>
              <w:rPr>
                <w:rFonts w:hint="default" w:ascii="Times New Roman" w:hAnsi="Times New Roman" w:eastAsia="宋体" w:cs="Times New Roman"/>
                <w:color w:val="auto"/>
                <w:spacing w:val="-1"/>
                <w:sz w:val="24"/>
                <w:szCs w:val="24"/>
                <w:lang w:eastAsia="zh-CN"/>
              </w:rPr>
              <w:t>本项目设1处生活营地，</w:t>
            </w:r>
            <w:r>
              <w:rPr>
                <w:rFonts w:hint="eastAsia" w:ascii="Times New Roman" w:hAnsi="Times New Roman" w:cs="Times New Roman"/>
                <w:color w:val="auto"/>
                <w:spacing w:val="-1"/>
                <w:sz w:val="24"/>
                <w:szCs w:val="24"/>
                <w:lang w:eastAsia="zh-CN"/>
              </w:rPr>
              <w:t>防渗收集池</w:t>
            </w:r>
            <w:r>
              <w:rPr>
                <w:rFonts w:hint="default" w:ascii="Times New Roman" w:hAnsi="Times New Roman" w:eastAsia="宋体" w:cs="Times New Roman"/>
                <w:color w:val="auto"/>
                <w:spacing w:val="-1"/>
                <w:sz w:val="24"/>
                <w:szCs w:val="24"/>
                <w:lang w:eastAsia="zh-CN"/>
              </w:rPr>
              <w:t>设置在生活营地内，生活污水排入</w:t>
            </w:r>
            <w:r>
              <w:rPr>
                <w:rFonts w:hint="eastAsia" w:ascii="Times New Roman" w:hAnsi="Times New Roman" w:cs="Times New Roman"/>
                <w:color w:val="auto"/>
                <w:spacing w:val="-1"/>
                <w:sz w:val="24"/>
                <w:szCs w:val="24"/>
                <w:lang w:eastAsia="zh-CN"/>
              </w:rPr>
              <w:t>防渗收集池</w:t>
            </w:r>
            <w:r>
              <w:rPr>
                <w:rFonts w:hint="default" w:ascii="Times New Roman" w:hAnsi="Times New Roman" w:eastAsia="宋体" w:cs="Times New Roman"/>
                <w:color w:val="auto"/>
                <w:spacing w:val="-1"/>
                <w:sz w:val="24"/>
                <w:szCs w:val="24"/>
                <w:lang w:eastAsia="zh-CN"/>
              </w:rPr>
              <w:t>，定期用吸污车外运处理。根据井口位置和周围已建道路情况修建临时道路。</w:t>
            </w:r>
          </w:p>
          <w:p w14:paraId="5532E902">
            <w:pPr>
              <w:pStyle w:val="23"/>
              <w:widowControl w:val="0"/>
              <w:kinsoku/>
              <w:spacing w:line="360" w:lineRule="auto"/>
              <w:jc w:val="both"/>
              <w:rPr>
                <w:rFonts w:hint="default" w:ascii="Times New Roman" w:hAnsi="Times New Roman" w:eastAsia="宋体" w:cs="Times New Roman"/>
                <w:b/>
                <w:bCs/>
                <w:color w:val="auto"/>
                <w:sz w:val="24"/>
                <w:szCs w:val="24"/>
                <w:lang w:eastAsia="zh-CN" w:bidi="ar"/>
              </w:rPr>
            </w:pPr>
            <w:r>
              <w:rPr>
                <w:rFonts w:hint="default" w:ascii="Times New Roman" w:hAnsi="Times New Roman" w:eastAsia="宋体" w:cs="Times New Roman"/>
                <w:b/>
                <w:bCs/>
                <w:color w:val="auto"/>
                <w:sz w:val="24"/>
                <w:szCs w:val="24"/>
                <w:lang w:eastAsia="zh-CN" w:bidi="ar"/>
              </w:rPr>
              <w:t>5.土石方平衡</w:t>
            </w:r>
          </w:p>
          <w:p w14:paraId="1BAD05C9">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井场平整过程中需要对占地范围内表土进行剥离，剥离后用砂石料对井场和探临道路进行铺垫，剥离表土单独堆放，用于完井后临时占地的恢复，无弃方产生。土石方平衡分析具体如下：</w:t>
            </w:r>
          </w:p>
          <w:p w14:paraId="06C0382F">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b w:val="0"/>
                <w:bCs w:val="0"/>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钻前工程挖方作业为井场平整、铺垫过程中表层土的剥离，表层土剥离厚度约0.2m，本项目</w:t>
            </w:r>
            <w:r>
              <w:rPr>
                <w:rFonts w:hint="default" w:ascii="Times New Roman" w:hAnsi="Times New Roman" w:eastAsia="宋体"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口井临时占地总面积为</w:t>
            </w:r>
            <w:r>
              <w:rPr>
                <w:rFonts w:hint="eastAsia" w:ascii="Times New Roman" w:hAnsi="Times New Roman" w:cs="Times New Roman"/>
                <w:color w:val="auto"/>
                <w:spacing w:val="-2"/>
                <w:sz w:val="24"/>
                <w:szCs w:val="24"/>
                <w:highlight w:val="none"/>
                <w:lang w:val="en-US" w:eastAsia="zh-CN"/>
              </w:rPr>
              <w:t>23878</w:t>
            </w:r>
            <w:r>
              <w:rPr>
                <w:rFonts w:hint="default" w:ascii="Times New Roman" w:hAnsi="Times New Roman" w:eastAsia="宋体" w:cs="Times New Roman"/>
                <w:color w:val="auto"/>
                <w:spacing w:val="-2"/>
                <w:sz w:val="24"/>
                <w:szCs w:val="24"/>
                <w:highlight w:val="none"/>
                <w:lang w:eastAsia="zh-CN"/>
              </w:rPr>
              <w:t>m²，则总挖方量约为</w:t>
            </w:r>
            <w:r>
              <w:rPr>
                <w:rFonts w:hint="eastAsia" w:ascii="Times New Roman" w:hAnsi="Times New Roman" w:cs="Times New Roman"/>
                <w:color w:val="auto"/>
                <w:spacing w:val="-2"/>
                <w:sz w:val="24"/>
                <w:szCs w:val="24"/>
                <w:highlight w:val="none"/>
                <w:lang w:val="en-US" w:eastAsia="zh-CN"/>
              </w:rPr>
              <w:t>4776</w:t>
            </w:r>
            <w:r>
              <w:rPr>
                <w:rFonts w:hint="default" w:ascii="Times New Roman" w:hAnsi="Times New Roman" w:eastAsia="宋体" w:cs="Times New Roman"/>
                <w:color w:val="auto"/>
                <w:spacing w:val="-2"/>
                <w:sz w:val="24"/>
                <w:szCs w:val="24"/>
                <w:highlight w:val="none"/>
                <w:lang w:eastAsia="zh-CN"/>
              </w:rPr>
              <w:t>m</w:t>
            </w:r>
            <w:r>
              <w:rPr>
                <w:rFonts w:hint="default" w:ascii="Times New Roman" w:hAnsi="Times New Roman" w:eastAsia="宋体"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lang w:eastAsia="zh-CN"/>
              </w:rPr>
              <w:t>。根据设计资料可知，井场平均铺垫厚度约0.</w:t>
            </w:r>
            <w:r>
              <w:rPr>
                <w:rFonts w:hint="default" w:ascii="Times New Roman" w:hAnsi="Times New Roman" w:eastAsia="宋体"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m，据此计算，本项目总填方量</w:t>
            </w:r>
            <w:r>
              <w:rPr>
                <w:rFonts w:hint="default" w:ascii="Times New Roman" w:hAnsi="Times New Roman" w:eastAsia="宋体" w:cs="Times New Roman"/>
                <w:color w:val="auto"/>
                <w:spacing w:val="-2"/>
                <w:sz w:val="24"/>
                <w:szCs w:val="24"/>
                <w:highlight w:val="none"/>
                <w:lang w:val="en-US" w:eastAsia="zh-CN"/>
              </w:rPr>
              <w:t>约</w:t>
            </w:r>
            <w:r>
              <w:rPr>
                <w:rFonts w:hint="default" w:ascii="Times New Roman" w:hAnsi="Times New Roman" w:eastAsia="宋体" w:cs="Times New Roman"/>
                <w:color w:val="auto"/>
                <w:spacing w:val="-2"/>
                <w:sz w:val="24"/>
                <w:szCs w:val="24"/>
                <w:highlight w:val="none"/>
                <w:lang w:eastAsia="zh-CN"/>
              </w:rPr>
              <w:t>为</w:t>
            </w:r>
            <w:r>
              <w:rPr>
                <w:rFonts w:hint="eastAsia" w:ascii="Times New Roman" w:hAnsi="Times New Roman" w:cs="Times New Roman"/>
                <w:color w:val="auto"/>
                <w:spacing w:val="-2"/>
                <w:sz w:val="24"/>
                <w:szCs w:val="24"/>
                <w:highlight w:val="none"/>
                <w:lang w:val="en-US" w:eastAsia="zh-CN"/>
              </w:rPr>
              <w:t>4776</w:t>
            </w:r>
            <w:r>
              <w:rPr>
                <w:rFonts w:hint="default" w:ascii="Times New Roman" w:hAnsi="Times New Roman" w:eastAsia="宋体" w:cs="Times New Roman"/>
                <w:color w:val="auto"/>
                <w:spacing w:val="-2"/>
                <w:sz w:val="24"/>
                <w:szCs w:val="24"/>
                <w:highlight w:val="none"/>
                <w:lang w:eastAsia="zh-CN"/>
              </w:rPr>
              <w:t>m</w:t>
            </w:r>
            <w:r>
              <w:rPr>
                <w:rFonts w:hint="default" w:ascii="Times New Roman" w:hAnsi="Times New Roman" w:eastAsia="宋体"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lang w:eastAsia="zh-CN"/>
              </w:rPr>
              <w:t>。</w:t>
            </w:r>
            <w:r>
              <w:rPr>
                <w:rFonts w:ascii="宋体" w:hAnsi="宋体" w:eastAsia="宋体" w:cs="宋体"/>
                <w:b w:val="0"/>
                <w:bCs w:val="0"/>
                <w:color w:val="auto"/>
                <w:sz w:val="24"/>
                <w:szCs w:val="24"/>
              </w:rPr>
              <w:t>其中，挖方主要发生在井场平整、生活营地整平、临时道路修筑过程中表层土剥离及局部场地整形等工程部位；填方主要用于井场铺垫、生活营地整平、临时道路路基铺垫及施工结束后的场地恢复等工程部位。项目土石方在施工范围内综合平衡，剥离的清洁表土全部用于后期场地恢复和表土回覆，</w:t>
            </w:r>
            <w:r>
              <w:rPr>
                <w:rStyle w:val="20"/>
                <w:rFonts w:ascii="宋体" w:hAnsi="宋体" w:eastAsia="宋体" w:cs="宋体"/>
                <w:b w:val="0"/>
                <w:bCs w:val="0"/>
                <w:color w:val="auto"/>
                <w:sz w:val="24"/>
                <w:szCs w:val="24"/>
              </w:rPr>
              <w:t>无弃方外排，原则上不涉及借方</w:t>
            </w:r>
            <w:r>
              <w:rPr>
                <w:rFonts w:ascii="宋体" w:hAnsi="宋体" w:eastAsia="宋体" w:cs="宋体"/>
                <w:b w:val="0"/>
                <w:bCs w:val="0"/>
                <w:color w:val="auto"/>
                <w:sz w:val="24"/>
                <w:szCs w:val="24"/>
              </w:rPr>
              <w:t>。如施工过程中局部道路铺垫需补充少量砂砾料，由建设单位从合法料场购买，不单独设置取土场。</w:t>
            </w:r>
          </w:p>
          <w:p w14:paraId="2580ACDB">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临时堆土场设置情况 为确保剥离的清洁表土不被施工产污环节污染，本项目临时堆土场的设置严格遵循“源头避让、物理隔离、防护到位”的原则：</w:t>
            </w:r>
          </w:p>
          <w:p w14:paraId="08883674">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选址布局（源头避让）： 临时堆土场规划设置在井场上风向或地势较高的边缘区域。在平面布置上，堆土场与泥浆罐区、岩屑储罐区、危废暂存间等高风险产污单元保持10m以上的安全隔离距离，严禁在泥浆循环系统旁堆放表土，从源头上杜绝泥浆喷溅或废液漫流污染表土。</w:t>
            </w:r>
          </w:p>
          <w:p w14:paraId="4449123A">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堆存与防护措施：</w:t>
            </w:r>
          </w:p>
          <w:p w14:paraId="2E7D9C6C">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表土剥离：钻前施工时，对井场及道路占用范围内的表层土（约0.2m厚）进行剥离，单独运至临时堆土场集中堆放，严禁与下层生土或钻井岩屑混合。</w:t>
            </w:r>
          </w:p>
          <w:p w14:paraId="0FCA508D">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隔离防护：堆土场周边设置临时土埂或围堰，防止雨水径流冲刷导致水土流失，同时也防止井场内的雨污水流入堆土区。</w:t>
            </w:r>
          </w:p>
          <w:p w14:paraId="744B6739">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抑尘措施：堆土表面采用防尘网（密目网）进行全覆盖，防止大风天气产生扬尘。</w:t>
            </w:r>
          </w:p>
          <w:p w14:paraId="01DB89E1">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警示管理：设置“表土存放区”标识牌，严禁施工人员向土堆上倾倒垃圾、废油或废渣。</w:t>
            </w:r>
          </w:p>
          <w:p w14:paraId="78853DF5">
            <w:pPr>
              <w:pStyle w:val="23"/>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highlight w:val="none"/>
                <w:lang w:eastAsia="zh-CN"/>
              </w:rPr>
              <w:t>恢复利用</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完井后，该部分未受污染的清洁表土将全部回铺于井场和道路，实现土石方内部平衡，无弃方外排。</w:t>
            </w:r>
          </w:p>
          <w:p w14:paraId="1D21C460">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项目土石方平衡见下表。</w:t>
            </w:r>
          </w:p>
          <w:p w14:paraId="337757C4">
            <w:pPr>
              <w:pStyle w:val="23"/>
              <w:widowControl w:val="0"/>
              <w:kinsoku/>
              <w:jc w:val="center"/>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b/>
                <w:bCs/>
                <w:color w:val="auto"/>
                <w:spacing w:val="-2"/>
                <w:sz w:val="21"/>
                <w:szCs w:val="21"/>
                <w:lang w:eastAsia="zh-CN"/>
              </w:rPr>
              <w:t>表2-15 土石方平衡一览表</w:t>
            </w:r>
          </w:p>
          <w:tbl>
            <w:tblPr>
              <w:tblStyle w:val="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8"/>
              <w:gridCol w:w="1684"/>
              <w:gridCol w:w="1684"/>
              <w:gridCol w:w="2571"/>
              <w:gridCol w:w="1147"/>
              <w:gridCol w:w="1156"/>
            </w:tblGrid>
            <w:tr w14:paraId="3B0B24D6">
              <w:trPr>
                <w:trHeight w:val="90" w:hRule="atLeast"/>
                <w:jc w:val="center"/>
              </w:trPr>
              <w:tc>
                <w:tcPr>
                  <w:tcW w:w="491" w:type="pct"/>
                  <w:vMerge w:val="restart"/>
                  <w:vAlign w:val="center"/>
                </w:tcPr>
                <w:p w14:paraId="046EB939">
                  <w:pPr>
                    <w:pStyle w:val="23"/>
                    <w:kinsoku/>
                    <w:spacing w:before="177" w:line="229" w:lineRule="auto"/>
                    <w:jc w:val="center"/>
                    <w:rPr>
                      <w:rFonts w:hint="default" w:ascii="Times New Roman" w:hAnsi="Times New Roman" w:eastAsia="宋体" w:cs="Times New Roman"/>
                      <w:b/>
                      <w:bCs/>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类别</w:t>
                  </w:r>
                </w:p>
              </w:tc>
              <w:tc>
                <w:tcPr>
                  <w:tcW w:w="921" w:type="pct"/>
                  <w:vMerge w:val="restart"/>
                  <w:tcBorders>
                    <w:bottom w:val="nil"/>
                  </w:tcBorders>
                  <w:vAlign w:val="center"/>
                </w:tcPr>
                <w:p w14:paraId="26C469F8">
                  <w:pPr>
                    <w:pStyle w:val="23"/>
                    <w:kinsoku/>
                    <w:spacing w:before="39" w:line="235" w:lineRule="auto"/>
                    <w:ind w:right="120"/>
                    <w:jc w:val="center"/>
                    <w:rPr>
                      <w:rFonts w:hint="default" w:ascii="Times New Roman" w:hAnsi="Times New Roman" w:eastAsia="宋体" w:cs="Times New Roman"/>
                      <w:b/>
                      <w:bCs/>
                      <w:color w:val="auto"/>
                      <w:spacing w:val="8"/>
                      <w:sz w:val="21"/>
                      <w:szCs w:val="21"/>
                      <w:lang w:eastAsia="zh-CN"/>
                    </w:rPr>
                  </w:pPr>
                  <w:r>
                    <w:rPr>
                      <w:rFonts w:hint="default" w:ascii="Times New Roman" w:hAnsi="Times New Roman" w:eastAsia="宋体" w:cs="Times New Roman"/>
                      <w:b/>
                      <w:bCs/>
                      <w:color w:val="auto"/>
                      <w:spacing w:val="8"/>
                      <w:sz w:val="21"/>
                      <w:szCs w:val="21"/>
                      <w:lang w:eastAsia="zh-CN"/>
                    </w:rPr>
                    <w:t>挖方</w:t>
                  </w:r>
                </w:p>
                <w:p w14:paraId="582213A7">
                  <w:pPr>
                    <w:pStyle w:val="23"/>
                    <w:kinsoku/>
                    <w:spacing w:before="39" w:line="235" w:lineRule="auto"/>
                    <w:ind w:right="120"/>
                    <w:jc w:val="center"/>
                    <w:rPr>
                      <w:rFonts w:hint="default" w:ascii="Times New Roman" w:hAnsi="Times New Roman" w:eastAsia="宋体" w:cs="Times New Roman"/>
                      <w:b/>
                      <w:bCs/>
                      <w:color w:val="auto"/>
                      <w:spacing w:val="8"/>
                      <w:sz w:val="21"/>
                      <w:szCs w:val="21"/>
                      <w:lang w:eastAsia="zh-CN"/>
                    </w:rPr>
                  </w:pPr>
                  <w:r>
                    <w:rPr>
                      <w:rFonts w:hint="default" w:ascii="Times New Roman" w:hAnsi="Times New Roman" w:eastAsia="宋体" w:cs="Times New Roman"/>
                      <w:b/>
                      <w:bCs/>
                      <w:color w:val="auto"/>
                      <w:spacing w:val="8"/>
                      <w:sz w:val="21"/>
                      <w:szCs w:val="21"/>
                      <w:lang w:eastAsia="zh-CN"/>
                    </w:rPr>
                    <w:t>（m</w:t>
                  </w:r>
                  <w:r>
                    <w:rPr>
                      <w:rFonts w:hint="default" w:ascii="Times New Roman" w:hAnsi="Times New Roman" w:eastAsia="宋体" w:cs="Times New Roman"/>
                      <w:b/>
                      <w:bCs/>
                      <w:color w:val="auto"/>
                      <w:spacing w:val="8"/>
                      <w:sz w:val="21"/>
                      <w:szCs w:val="21"/>
                      <w:vertAlign w:val="superscript"/>
                      <w:lang w:eastAsia="zh-CN"/>
                    </w:rPr>
                    <w:t>3</w:t>
                  </w:r>
                  <w:r>
                    <w:rPr>
                      <w:rFonts w:hint="default" w:ascii="Times New Roman" w:hAnsi="Times New Roman" w:eastAsia="宋体" w:cs="Times New Roman"/>
                      <w:b/>
                      <w:bCs/>
                      <w:color w:val="auto"/>
                      <w:spacing w:val="8"/>
                      <w:sz w:val="21"/>
                      <w:szCs w:val="21"/>
                      <w:lang w:eastAsia="zh-CN"/>
                    </w:rPr>
                    <w:t>）</w:t>
                  </w:r>
                </w:p>
              </w:tc>
              <w:tc>
                <w:tcPr>
                  <w:tcW w:w="921" w:type="pct"/>
                  <w:vMerge w:val="restart"/>
                  <w:tcBorders>
                    <w:bottom w:val="nil"/>
                  </w:tcBorders>
                  <w:vAlign w:val="center"/>
                </w:tcPr>
                <w:p w14:paraId="2E58CF3A">
                  <w:pPr>
                    <w:pStyle w:val="23"/>
                    <w:kinsoku/>
                    <w:spacing w:before="39" w:line="235" w:lineRule="auto"/>
                    <w:ind w:right="120"/>
                    <w:jc w:val="center"/>
                    <w:rPr>
                      <w:rFonts w:hint="default" w:ascii="Times New Roman" w:hAnsi="Times New Roman" w:eastAsia="宋体" w:cs="Times New Roman"/>
                      <w:b/>
                      <w:bCs/>
                      <w:color w:val="auto"/>
                      <w:spacing w:val="8"/>
                      <w:sz w:val="21"/>
                      <w:szCs w:val="21"/>
                      <w:lang w:eastAsia="zh-CN"/>
                    </w:rPr>
                  </w:pPr>
                  <w:r>
                    <w:rPr>
                      <w:rFonts w:hint="default" w:ascii="Times New Roman" w:hAnsi="Times New Roman" w:eastAsia="宋体" w:cs="Times New Roman"/>
                      <w:b/>
                      <w:bCs/>
                      <w:color w:val="auto"/>
                      <w:spacing w:val="8"/>
                      <w:sz w:val="21"/>
                      <w:szCs w:val="21"/>
                      <w:lang w:eastAsia="zh-CN"/>
                    </w:rPr>
                    <w:t>填方</w:t>
                  </w:r>
                </w:p>
                <w:p w14:paraId="2012AA95">
                  <w:pPr>
                    <w:pStyle w:val="23"/>
                    <w:kinsoku/>
                    <w:spacing w:before="39" w:line="235" w:lineRule="auto"/>
                    <w:ind w:right="120"/>
                    <w:jc w:val="center"/>
                    <w:rPr>
                      <w:rFonts w:hint="default" w:ascii="Times New Roman" w:hAnsi="Times New Roman" w:eastAsia="宋体" w:cs="Times New Roman"/>
                      <w:b/>
                      <w:bCs/>
                      <w:color w:val="auto"/>
                      <w:spacing w:val="8"/>
                      <w:sz w:val="21"/>
                      <w:szCs w:val="21"/>
                      <w:lang w:eastAsia="zh-CN"/>
                    </w:rPr>
                  </w:pPr>
                  <w:r>
                    <w:rPr>
                      <w:rFonts w:hint="default" w:ascii="Times New Roman" w:hAnsi="Times New Roman" w:eastAsia="宋体" w:cs="Times New Roman"/>
                      <w:b/>
                      <w:bCs/>
                      <w:color w:val="auto"/>
                      <w:spacing w:val="8"/>
                      <w:sz w:val="21"/>
                      <w:szCs w:val="21"/>
                      <w:lang w:eastAsia="zh-CN"/>
                    </w:rPr>
                    <w:t>（m</w:t>
                  </w:r>
                  <w:r>
                    <w:rPr>
                      <w:rFonts w:hint="default" w:ascii="Times New Roman" w:hAnsi="Times New Roman" w:eastAsia="宋体" w:cs="Times New Roman"/>
                      <w:b/>
                      <w:bCs/>
                      <w:color w:val="auto"/>
                      <w:spacing w:val="8"/>
                      <w:sz w:val="21"/>
                      <w:szCs w:val="21"/>
                      <w:vertAlign w:val="superscript"/>
                      <w:lang w:eastAsia="zh-CN"/>
                    </w:rPr>
                    <w:t>3</w:t>
                  </w:r>
                  <w:r>
                    <w:rPr>
                      <w:rFonts w:hint="default" w:ascii="Times New Roman" w:hAnsi="Times New Roman" w:eastAsia="宋体" w:cs="Times New Roman"/>
                      <w:b/>
                      <w:bCs/>
                      <w:color w:val="auto"/>
                      <w:spacing w:val="8"/>
                      <w:sz w:val="21"/>
                      <w:szCs w:val="21"/>
                      <w:lang w:eastAsia="zh-CN"/>
                    </w:rPr>
                    <w:t>）</w:t>
                  </w:r>
                </w:p>
              </w:tc>
              <w:tc>
                <w:tcPr>
                  <w:tcW w:w="1406" w:type="pct"/>
                  <w:vMerge w:val="restart"/>
                  <w:tcBorders>
                    <w:bottom w:val="nil"/>
                  </w:tcBorders>
                  <w:vAlign w:val="center"/>
                </w:tcPr>
                <w:p w14:paraId="0726C6B0">
                  <w:pPr>
                    <w:pStyle w:val="23"/>
                    <w:kinsoku/>
                    <w:spacing w:before="39" w:line="235" w:lineRule="auto"/>
                    <w:ind w:right="12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pacing w:val="8"/>
                      <w:sz w:val="21"/>
                      <w:szCs w:val="21"/>
                      <w:lang w:eastAsia="zh-CN"/>
                    </w:rPr>
                    <w:t>借方</w:t>
                  </w:r>
                  <w:r>
                    <w:rPr>
                      <w:rFonts w:hint="default" w:ascii="Times New Roman" w:hAnsi="Times New Roman" w:eastAsia="宋体" w:cs="Times New Roman"/>
                      <w:b/>
                      <w:bCs/>
                      <w:color w:val="auto"/>
                      <w:spacing w:val="11"/>
                      <w:sz w:val="21"/>
                      <w:szCs w:val="21"/>
                      <w:lang w:eastAsia="zh-CN"/>
                    </w:rPr>
                    <w:t>（</w:t>
                  </w:r>
                  <w:r>
                    <w:rPr>
                      <w:rFonts w:hint="default" w:ascii="Times New Roman" w:hAnsi="Times New Roman" w:eastAsia="宋体" w:cs="Times New Roman"/>
                      <w:b/>
                      <w:bCs/>
                      <w:color w:val="auto"/>
                      <w:spacing w:val="3"/>
                      <w:sz w:val="21"/>
                      <w:szCs w:val="21"/>
                      <w:lang w:eastAsia="zh-CN"/>
                    </w:rPr>
                    <w:t>m</w:t>
                  </w:r>
                  <w:r>
                    <w:rPr>
                      <w:rFonts w:hint="default" w:ascii="Times New Roman" w:hAnsi="Times New Roman" w:eastAsia="宋体" w:cs="Times New Roman"/>
                      <w:b/>
                      <w:bCs/>
                      <w:color w:val="auto"/>
                      <w:spacing w:val="3"/>
                      <w:position w:val="6"/>
                      <w:sz w:val="21"/>
                      <w:szCs w:val="21"/>
                      <w:vertAlign w:val="superscript"/>
                      <w:lang w:eastAsia="zh-CN"/>
                    </w:rPr>
                    <w:t>3</w:t>
                  </w:r>
                  <w:r>
                    <w:rPr>
                      <w:rFonts w:hint="default" w:ascii="Times New Roman" w:hAnsi="Times New Roman" w:eastAsia="宋体" w:cs="Times New Roman"/>
                      <w:b/>
                      <w:bCs/>
                      <w:color w:val="auto"/>
                      <w:spacing w:val="3"/>
                      <w:sz w:val="21"/>
                      <w:szCs w:val="21"/>
                      <w:lang w:eastAsia="zh-CN"/>
                    </w:rPr>
                    <w:t>）</w:t>
                  </w:r>
                </w:p>
              </w:tc>
              <w:tc>
                <w:tcPr>
                  <w:tcW w:w="1259" w:type="pct"/>
                  <w:gridSpan w:val="2"/>
                  <w:tcBorders>
                    <w:right w:val="single" w:color="000000" w:sz="4" w:space="0"/>
                  </w:tcBorders>
                  <w:vAlign w:val="center"/>
                </w:tcPr>
                <w:p w14:paraId="75A0F605">
                  <w:pPr>
                    <w:pStyle w:val="23"/>
                    <w:kinsoku/>
                    <w:spacing w:before="36" w:line="213"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pacing w:val="5"/>
                      <w:sz w:val="21"/>
                      <w:szCs w:val="21"/>
                      <w:lang w:eastAsia="zh-CN"/>
                    </w:rPr>
                    <w:t>弃方（m</w:t>
                  </w:r>
                  <w:r>
                    <w:rPr>
                      <w:rFonts w:hint="default" w:ascii="Times New Roman" w:hAnsi="Times New Roman" w:eastAsia="宋体" w:cs="Times New Roman"/>
                      <w:b/>
                      <w:bCs/>
                      <w:color w:val="auto"/>
                      <w:spacing w:val="5"/>
                      <w:sz w:val="21"/>
                      <w:szCs w:val="21"/>
                      <w:vertAlign w:val="superscript"/>
                      <w:lang w:eastAsia="zh-CN"/>
                    </w:rPr>
                    <w:t>3</w:t>
                  </w:r>
                  <w:r>
                    <w:rPr>
                      <w:rFonts w:hint="default" w:ascii="Times New Roman" w:hAnsi="Times New Roman" w:eastAsia="宋体" w:cs="Times New Roman"/>
                      <w:b/>
                      <w:bCs/>
                      <w:color w:val="auto"/>
                      <w:spacing w:val="5"/>
                      <w:sz w:val="21"/>
                      <w:szCs w:val="21"/>
                      <w:lang w:eastAsia="zh-CN"/>
                    </w:rPr>
                    <w:t>）</w:t>
                  </w:r>
                </w:p>
              </w:tc>
            </w:tr>
            <w:tr w14:paraId="14592721">
              <w:trPr>
                <w:trHeight w:val="90" w:hRule="atLeast"/>
                <w:jc w:val="center"/>
              </w:trPr>
              <w:tc>
                <w:tcPr>
                  <w:tcW w:w="491" w:type="pct"/>
                  <w:vMerge w:val="continue"/>
                  <w:vAlign w:val="center"/>
                </w:tcPr>
                <w:p w14:paraId="35910BDF">
                  <w:pPr>
                    <w:kinsoku/>
                    <w:jc w:val="center"/>
                    <w:rPr>
                      <w:rFonts w:hint="default" w:ascii="Times New Roman" w:hAnsi="Times New Roman" w:eastAsia="宋体" w:cs="Times New Roman"/>
                      <w:b/>
                      <w:bCs/>
                      <w:color w:val="auto"/>
                      <w:lang w:eastAsia="zh-CN"/>
                    </w:rPr>
                  </w:pPr>
                </w:p>
              </w:tc>
              <w:tc>
                <w:tcPr>
                  <w:tcW w:w="921" w:type="pct"/>
                  <w:vMerge w:val="continue"/>
                  <w:tcBorders>
                    <w:top w:val="nil"/>
                  </w:tcBorders>
                  <w:vAlign w:val="center"/>
                </w:tcPr>
                <w:p w14:paraId="18813398">
                  <w:pPr>
                    <w:kinsoku/>
                    <w:jc w:val="center"/>
                    <w:rPr>
                      <w:rFonts w:hint="default" w:ascii="Times New Roman" w:hAnsi="Times New Roman" w:eastAsia="宋体" w:cs="Times New Roman"/>
                      <w:b/>
                      <w:bCs/>
                      <w:color w:val="auto"/>
                      <w:lang w:eastAsia="zh-CN"/>
                    </w:rPr>
                  </w:pPr>
                </w:p>
              </w:tc>
              <w:tc>
                <w:tcPr>
                  <w:tcW w:w="921" w:type="pct"/>
                  <w:vMerge w:val="continue"/>
                  <w:tcBorders>
                    <w:top w:val="nil"/>
                  </w:tcBorders>
                  <w:vAlign w:val="center"/>
                </w:tcPr>
                <w:p w14:paraId="2FA50FEF">
                  <w:pPr>
                    <w:kinsoku/>
                    <w:jc w:val="center"/>
                    <w:rPr>
                      <w:rFonts w:hint="default" w:ascii="Times New Roman" w:hAnsi="Times New Roman" w:eastAsia="宋体" w:cs="Times New Roman"/>
                      <w:b/>
                      <w:bCs/>
                      <w:color w:val="auto"/>
                      <w:lang w:eastAsia="zh-CN"/>
                    </w:rPr>
                  </w:pPr>
                </w:p>
              </w:tc>
              <w:tc>
                <w:tcPr>
                  <w:tcW w:w="1406" w:type="pct"/>
                  <w:vMerge w:val="continue"/>
                  <w:tcBorders>
                    <w:top w:val="nil"/>
                  </w:tcBorders>
                  <w:vAlign w:val="center"/>
                </w:tcPr>
                <w:p w14:paraId="6A6102C3">
                  <w:pPr>
                    <w:kinsoku/>
                    <w:jc w:val="center"/>
                    <w:rPr>
                      <w:rFonts w:hint="default" w:ascii="Times New Roman" w:hAnsi="Times New Roman" w:eastAsia="宋体" w:cs="Times New Roman"/>
                      <w:b/>
                      <w:bCs/>
                      <w:color w:val="auto"/>
                      <w:lang w:eastAsia="zh-CN"/>
                    </w:rPr>
                  </w:pPr>
                </w:p>
              </w:tc>
              <w:tc>
                <w:tcPr>
                  <w:tcW w:w="627" w:type="pct"/>
                  <w:vAlign w:val="center"/>
                </w:tcPr>
                <w:p w14:paraId="26B3E2DC">
                  <w:pPr>
                    <w:pStyle w:val="23"/>
                    <w:kinsoku/>
                    <w:spacing w:before="37" w:line="212"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pacing w:val="3"/>
                      <w:sz w:val="21"/>
                      <w:szCs w:val="21"/>
                      <w:lang w:eastAsia="zh-CN"/>
                    </w:rPr>
                    <w:t>数量</w:t>
                  </w:r>
                </w:p>
              </w:tc>
              <w:tc>
                <w:tcPr>
                  <w:tcW w:w="631" w:type="pct"/>
                  <w:tcBorders>
                    <w:right w:val="single" w:color="000000" w:sz="4" w:space="0"/>
                  </w:tcBorders>
                  <w:vAlign w:val="center"/>
                </w:tcPr>
                <w:p w14:paraId="5E12DA9A">
                  <w:pPr>
                    <w:pStyle w:val="23"/>
                    <w:kinsoku/>
                    <w:spacing w:before="37" w:line="212"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pacing w:val="3"/>
                      <w:sz w:val="21"/>
                      <w:szCs w:val="21"/>
                      <w:lang w:eastAsia="zh-CN"/>
                    </w:rPr>
                    <w:t>去向</w:t>
                  </w:r>
                </w:p>
              </w:tc>
            </w:tr>
            <w:tr w14:paraId="5E27A2C4">
              <w:trPr>
                <w:trHeight w:val="90" w:hRule="atLeast"/>
                <w:jc w:val="center"/>
              </w:trPr>
              <w:tc>
                <w:tcPr>
                  <w:tcW w:w="491" w:type="pct"/>
                  <w:vAlign w:val="center"/>
                </w:tcPr>
                <w:p w14:paraId="3B3EE705">
                  <w:pPr>
                    <w:kinsoku/>
                    <w:spacing w:before="58" w:line="194" w:lineRule="auto"/>
                    <w:jc w:val="center"/>
                    <w:rPr>
                      <w:rFonts w:hint="default" w:ascii="Times New Roman" w:hAnsi="Times New Roman" w:eastAsia="宋体" w:cs="Times New Roman"/>
                      <w:color w:val="auto"/>
                      <w:spacing w:val="3"/>
                      <w:lang w:eastAsia="zh-CN"/>
                    </w:rPr>
                  </w:pPr>
                  <w:r>
                    <w:rPr>
                      <w:rFonts w:hint="default" w:ascii="Times New Roman" w:hAnsi="Times New Roman" w:eastAsia="宋体" w:cs="Times New Roman"/>
                      <w:color w:val="auto"/>
                      <w:spacing w:val="3"/>
                      <w:lang w:eastAsia="zh-CN"/>
                    </w:rPr>
                    <w:t>合计</w:t>
                  </w:r>
                </w:p>
              </w:tc>
              <w:tc>
                <w:tcPr>
                  <w:tcW w:w="921" w:type="pct"/>
                  <w:vAlign w:val="center"/>
                </w:tcPr>
                <w:p w14:paraId="77316FF9">
                  <w:pPr>
                    <w:pStyle w:val="23"/>
                    <w:kinsoku/>
                    <w:spacing w:before="39" w:line="235" w:lineRule="auto"/>
                    <w:ind w:right="120"/>
                    <w:jc w:val="center"/>
                    <w:rPr>
                      <w:rFonts w:hint="default" w:ascii="Times New Roman" w:hAnsi="Times New Roman" w:eastAsia="宋体"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4776</w:t>
                  </w:r>
                </w:p>
              </w:tc>
              <w:tc>
                <w:tcPr>
                  <w:tcW w:w="921" w:type="pct"/>
                  <w:vAlign w:val="center"/>
                </w:tcPr>
                <w:p w14:paraId="3EA19666">
                  <w:pPr>
                    <w:pStyle w:val="23"/>
                    <w:kinsoku/>
                    <w:spacing w:before="39" w:line="235" w:lineRule="auto"/>
                    <w:ind w:right="120"/>
                    <w:jc w:val="center"/>
                    <w:rPr>
                      <w:rFonts w:hint="default" w:ascii="Times New Roman" w:hAnsi="Times New Roman" w:eastAsia="宋体"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4776</w:t>
                  </w:r>
                </w:p>
              </w:tc>
              <w:tc>
                <w:tcPr>
                  <w:tcW w:w="1406" w:type="pct"/>
                  <w:vAlign w:val="center"/>
                </w:tcPr>
                <w:p w14:paraId="5813931B">
                  <w:pPr>
                    <w:pStyle w:val="23"/>
                    <w:kinsoku/>
                    <w:spacing w:before="39" w:line="235" w:lineRule="auto"/>
                    <w:ind w:right="120"/>
                    <w:jc w:val="center"/>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0</w:t>
                  </w:r>
                </w:p>
              </w:tc>
              <w:tc>
                <w:tcPr>
                  <w:tcW w:w="627" w:type="pct"/>
                  <w:vAlign w:val="center"/>
                </w:tcPr>
                <w:p w14:paraId="01FF5AAA">
                  <w:pPr>
                    <w:kinsoku/>
                    <w:spacing w:before="58" w:line="194"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0</w:t>
                  </w:r>
                </w:p>
              </w:tc>
              <w:tc>
                <w:tcPr>
                  <w:tcW w:w="631" w:type="pct"/>
                  <w:tcBorders>
                    <w:right w:val="single" w:color="000000" w:sz="4" w:space="0"/>
                  </w:tcBorders>
                  <w:vAlign w:val="center"/>
                </w:tcPr>
                <w:p w14:paraId="3C45D5CB">
                  <w:pPr>
                    <w:kinsoku/>
                    <w:spacing w:before="54" w:line="198" w:lineRule="auto"/>
                    <w:jc w:val="center"/>
                    <w:rPr>
                      <w:rFonts w:hint="default" w:ascii="Times New Roman" w:hAnsi="Times New Roman" w:eastAsia="宋体" w:cs="Times New Roman"/>
                      <w:color w:val="auto"/>
                      <w:spacing w:val="2"/>
                      <w:lang w:eastAsia="zh-CN"/>
                    </w:rPr>
                  </w:pPr>
                  <w:r>
                    <w:rPr>
                      <w:rFonts w:hint="default" w:ascii="Times New Roman" w:hAnsi="Times New Roman" w:eastAsia="宋体" w:cs="Times New Roman"/>
                      <w:color w:val="auto"/>
                      <w:spacing w:val="2"/>
                      <w:lang w:eastAsia="zh-CN"/>
                    </w:rPr>
                    <w:t>/</w:t>
                  </w:r>
                </w:p>
              </w:tc>
            </w:tr>
          </w:tbl>
          <w:p w14:paraId="4C487685">
            <w:pPr>
              <w:pStyle w:val="23"/>
              <w:widowControl w:val="0"/>
              <w:kinsoku/>
              <w:spacing w:line="360" w:lineRule="auto"/>
              <w:jc w:val="both"/>
              <w:rPr>
                <w:rFonts w:hint="default" w:ascii="Times New Roman" w:hAnsi="Times New Roman" w:eastAsia="宋体" w:cs="Times New Roman"/>
                <w:b/>
                <w:bCs/>
                <w:color w:val="auto"/>
                <w:sz w:val="24"/>
                <w:szCs w:val="24"/>
                <w:lang w:eastAsia="zh-CN" w:bidi="ar"/>
              </w:rPr>
            </w:pPr>
            <w:r>
              <w:rPr>
                <w:rFonts w:hint="default" w:ascii="Times New Roman" w:hAnsi="Times New Roman" w:eastAsia="宋体" w:cs="Times New Roman"/>
                <w:b/>
                <w:bCs/>
                <w:color w:val="auto"/>
                <w:sz w:val="24"/>
                <w:szCs w:val="24"/>
                <w:lang w:eastAsia="zh-CN" w:bidi="ar"/>
              </w:rPr>
              <w:t>6.防渗设计</w:t>
            </w:r>
          </w:p>
          <w:p w14:paraId="12F7AEA0">
            <w:pPr>
              <w:widowControl/>
              <w:tabs>
                <w:tab w:val="left" w:pos="4584"/>
              </w:tabs>
              <w:kinsoku/>
              <w:spacing w:line="500" w:lineRule="exact"/>
              <w:ind w:firstLine="476" w:firstLineChars="200"/>
              <w:jc w:val="both"/>
              <w:rPr>
                <w:rFonts w:hint="default" w:ascii="Times New Roman" w:hAnsi="Times New Roman" w:eastAsia="宋体" w:cs="Times New Roman"/>
                <w:color w:val="auto"/>
                <w:spacing w:val="-1"/>
                <w:sz w:val="24"/>
                <w:szCs w:val="24"/>
                <w:lang w:eastAsia="zh-CN"/>
              </w:rPr>
            </w:pPr>
            <w:r>
              <w:rPr>
                <w:rFonts w:hint="default" w:ascii="Times New Roman" w:hAnsi="Times New Roman" w:eastAsia="宋体" w:cs="Times New Roman"/>
                <w:color w:val="auto"/>
                <w:spacing w:val="-1"/>
                <w:sz w:val="24"/>
                <w:szCs w:val="24"/>
                <w:lang w:eastAsia="zh-CN"/>
              </w:rPr>
              <w:t>本项目钻井井场</w:t>
            </w:r>
            <w:r>
              <w:rPr>
                <w:rFonts w:hint="default" w:ascii="Times New Roman" w:hAnsi="Times New Roman" w:eastAsia="宋体" w:cs="Times New Roman"/>
                <w:color w:val="auto"/>
                <w:spacing w:val="-4"/>
                <w:sz w:val="24"/>
                <w:szCs w:val="24"/>
                <w:lang w:eastAsia="zh-CN"/>
              </w:rPr>
              <w:t>柴油储罐、发电</w:t>
            </w:r>
            <w:r>
              <w:rPr>
                <w:rFonts w:hint="default" w:ascii="Times New Roman" w:hAnsi="Times New Roman" w:eastAsia="宋体" w:cs="Times New Roman"/>
                <w:color w:val="auto"/>
                <w:spacing w:val="-4"/>
                <w:sz w:val="24"/>
                <w:szCs w:val="24"/>
                <w:lang w:val="en-US" w:eastAsia="zh-CN"/>
              </w:rPr>
              <w:t>机</w:t>
            </w:r>
            <w:r>
              <w:rPr>
                <w:rFonts w:hint="default" w:ascii="Times New Roman" w:hAnsi="Times New Roman" w:eastAsia="宋体" w:cs="Times New Roman"/>
                <w:color w:val="auto"/>
                <w:spacing w:val="-4"/>
                <w:sz w:val="24"/>
                <w:szCs w:val="24"/>
                <w:lang w:eastAsia="zh-CN"/>
              </w:rPr>
              <w:t>房、不落地系统、泥浆储罐区、岩屑储罐区、危险</w:t>
            </w:r>
            <w:r>
              <w:rPr>
                <w:rFonts w:hint="default" w:ascii="Times New Roman" w:hAnsi="Times New Roman" w:eastAsia="宋体" w:cs="Times New Roman"/>
                <w:color w:val="auto"/>
                <w:spacing w:val="-4"/>
                <w:sz w:val="24"/>
                <w:szCs w:val="24"/>
                <w:lang w:val="en-US" w:eastAsia="zh-CN"/>
              </w:rPr>
              <w:t>贮存库</w:t>
            </w:r>
            <w:r>
              <w:rPr>
                <w:rFonts w:hint="default" w:ascii="Times New Roman" w:hAnsi="Times New Roman" w:eastAsia="宋体" w:cs="Times New Roman"/>
                <w:color w:val="auto"/>
                <w:sz w:val="24"/>
                <w:szCs w:val="24"/>
                <w:lang w:eastAsia="zh-CN"/>
              </w:rPr>
              <w:t>采取重点防渗，参照《危险废物贮存污染控制标准》（</w:t>
            </w:r>
            <w:r>
              <w:rPr>
                <w:rFonts w:hint="default" w:ascii="Times New Roman" w:hAnsi="Times New Roman" w:eastAsia="宋体" w:cs="Times New Roman"/>
                <w:color w:val="auto"/>
                <w:spacing w:val="-1"/>
                <w:sz w:val="24"/>
                <w:szCs w:val="24"/>
                <w:lang w:eastAsia="zh-CN"/>
              </w:rPr>
              <w:t>GB18597-2023）中相应防渗要求进行防渗；</w:t>
            </w:r>
            <w:r>
              <w:rPr>
                <w:rFonts w:hint="eastAsia" w:ascii="Times New Roman" w:hAnsi="Times New Roman" w:eastAsia="宋体" w:cs="Times New Roman"/>
                <w:color w:val="auto"/>
                <w:spacing w:val="-4"/>
                <w:sz w:val="24"/>
                <w:szCs w:val="24"/>
                <w:highlight w:val="none"/>
                <w:lang w:eastAsia="zh-CN"/>
              </w:rPr>
              <w:t>防渗收集池</w:t>
            </w:r>
            <w:r>
              <w:rPr>
                <w:rFonts w:hint="default" w:ascii="Times New Roman" w:hAnsi="Times New Roman" w:eastAsia="宋体" w:cs="Times New Roman"/>
                <w:color w:val="auto"/>
                <w:spacing w:val="-4"/>
                <w:sz w:val="24"/>
                <w:szCs w:val="24"/>
                <w:highlight w:val="none"/>
                <w:lang w:eastAsia="zh-CN"/>
              </w:rPr>
              <w:t>为一般</w:t>
            </w:r>
            <w:r>
              <w:rPr>
                <w:rFonts w:hint="default" w:ascii="Times New Roman" w:hAnsi="Times New Roman" w:eastAsia="宋体" w:cs="Times New Roman"/>
                <w:color w:val="auto"/>
                <w:spacing w:val="-4"/>
                <w:sz w:val="24"/>
                <w:szCs w:val="24"/>
                <w:lang w:eastAsia="zh-CN"/>
              </w:rPr>
              <w:t>防渗区；水罐区、库房和值班房等其他区域为简单防渗区。</w:t>
            </w:r>
          </w:p>
        </w:tc>
      </w:tr>
      <w:tr w14:paraId="2F63D47E">
        <w:trPr>
          <w:trHeight w:val="90" w:hRule="atLeast"/>
          <w:jc w:val="center"/>
        </w:trPr>
        <w:tc>
          <w:tcPr>
            <w:tcW w:w="704" w:type="dxa"/>
            <w:vAlign w:val="center"/>
          </w:tcPr>
          <w:p w14:paraId="7CDE47EC">
            <w:pPr>
              <w:widowControl w:val="0"/>
              <w:kinsoku/>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施工方案</w:t>
            </w:r>
          </w:p>
        </w:tc>
        <w:tc>
          <w:tcPr>
            <w:tcW w:w="8394" w:type="dxa"/>
          </w:tcPr>
          <w:p w14:paraId="767A214A">
            <w:pPr>
              <w:pStyle w:val="23"/>
              <w:widowControl w:val="0"/>
              <w:kinsoku/>
              <w:spacing w:before="36" w:line="227"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7"/>
                <w:sz w:val="24"/>
                <w:szCs w:val="24"/>
                <w:lang w:eastAsia="zh-CN"/>
              </w:rPr>
              <w:t>工艺流程简述（图示</w:t>
            </w:r>
            <w:r>
              <w:rPr>
                <w:rFonts w:hint="default" w:ascii="Times New Roman" w:hAnsi="Times New Roman" w:eastAsia="宋体" w:cs="Times New Roman"/>
                <w:b/>
                <w:bCs/>
                <w:color w:val="auto"/>
                <w:spacing w:val="-1"/>
                <w:sz w:val="24"/>
                <w:szCs w:val="24"/>
                <w:lang w:eastAsia="zh-CN"/>
              </w:rPr>
              <w:t>）：</w:t>
            </w:r>
          </w:p>
          <w:p w14:paraId="465C1E20">
            <w:pPr>
              <w:pStyle w:val="23"/>
              <w:widowControl w:val="0"/>
              <w:kinsoku/>
              <w:spacing w:before="183" w:line="360" w:lineRule="auto"/>
              <w:ind w:firstLine="492"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3"/>
                <w:sz w:val="24"/>
                <w:szCs w:val="24"/>
                <w:lang w:eastAsia="zh-CN"/>
              </w:rPr>
              <w:t>本项目包括钻井及试油工程，其中单井</w:t>
            </w:r>
            <w:r>
              <w:rPr>
                <w:rFonts w:hint="default" w:ascii="Times New Roman" w:hAnsi="Times New Roman" w:eastAsia="宋体" w:cs="Times New Roman"/>
                <w:color w:val="auto"/>
                <w:spacing w:val="-1"/>
                <w:sz w:val="24"/>
                <w:szCs w:val="24"/>
                <w:lang w:eastAsia="zh-CN"/>
              </w:rPr>
              <w:t>钻</w:t>
            </w:r>
            <w:r>
              <w:rPr>
                <w:rFonts w:hint="default" w:ascii="Times New Roman" w:hAnsi="Times New Roman" w:eastAsia="宋体" w:cs="Times New Roman"/>
                <w:color w:val="auto"/>
                <w:spacing w:val="-1"/>
                <w:sz w:val="24"/>
                <w:szCs w:val="24"/>
                <w:highlight w:val="none"/>
                <w:lang w:eastAsia="zh-CN"/>
              </w:rPr>
              <w:t>井期为90天，</w:t>
            </w:r>
            <w:r>
              <w:rPr>
                <w:rFonts w:hint="default" w:ascii="Times New Roman" w:hAnsi="Times New Roman" w:eastAsia="宋体" w:cs="Times New Roman"/>
                <w:color w:val="auto"/>
                <w:spacing w:val="3"/>
                <w:sz w:val="24"/>
                <w:szCs w:val="24"/>
                <w:highlight w:val="none"/>
                <w:lang w:eastAsia="zh-CN"/>
              </w:rPr>
              <w:t>试油期</w:t>
            </w:r>
            <w:r>
              <w:rPr>
                <w:rFonts w:hint="eastAsia" w:ascii="Times New Roman" w:hAnsi="Times New Roman" w:cs="Times New Roman"/>
                <w:color w:val="auto"/>
                <w:spacing w:val="3"/>
                <w:sz w:val="24"/>
                <w:szCs w:val="24"/>
                <w:highlight w:val="none"/>
                <w:lang w:val="en-US" w:eastAsia="zh-CN"/>
              </w:rPr>
              <w:t>180</w:t>
            </w:r>
            <w:r>
              <w:rPr>
                <w:rFonts w:hint="default" w:ascii="Times New Roman" w:hAnsi="Times New Roman" w:eastAsia="宋体" w:cs="Times New Roman"/>
                <w:color w:val="auto"/>
                <w:spacing w:val="3"/>
                <w:sz w:val="24"/>
                <w:szCs w:val="24"/>
                <w:highlight w:val="none"/>
                <w:lang w:eastAsia="zh-CN"/>
              </w:rPr>
              <w:t>天。</w:t>
            </w:r>
          </w:p>
          <w:p w14:paraId="56FC9069">
            <w:pPr>
              <w:pStyle w:val="23"/>
              <w:widowControl w:val="0"/>
              <w:numPr>
                <w:ilvl w:val="0"/>
                <w:numId w:val="5"/>
              </w:numPr>
              <w:kinsoku/>
              <w:spacing w:before="39" w:line="360" w:lineRule="auto"/>
              <w:ind w:left="12"/>
              <w:jc w:val="both"/>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钻井工艺流程</w:t>
            </w:r>
          </w:p>
          <w:p w14:paraId="323CDD5E">
            <w:pPr>
              <w:pStyle w:val="23"/>
              <w:widowControl w:val="0"/>
              <w:kinsoku/>
              <w:spacing w:before="183" w:line="360" w:lineRule="auto"/>
              <w:ind w:firstLine="492" w:firstLineChars="200"/>
              <w:jc w:val="both"/>
              <w:rPr>
                <w:rFonts w:hint="default" w:ascii="Times New Roman" w:hAnsi="Times New Roman" w:eastAsia="宋体" w:cs="Times New Roman"/>
                <w:color w:val="auto"/>
                <w:spacing w:val="3"/>
                <w:sz w:val="24"/>
                <w:szCs w:val="24"/>
                <w:lang w:eastAsia="zh-CN"/>
              </w:rPr>
            </w:pPr>
            <w:r>
              <w:rPr>
                <w:rFonts w:hint="default" w:ascii="Times New Roman" w:hAnsi="Times New Roman" w:eastAsia="宋体" w:cs="Times New Roman"/>
                <w:color w:val="auto"/>
                <w:spacing w:val="3"/>
                <w:sz w:val="24"/>
                <w:szCs w:val="24"/>
                <w:lang w:eastAsia="zh-CN"/>
              </w:rPr>
              <w:t>项目钻井工艺流程及其产污节点图见图2-4。</w:t>
            </w:r>
          </w:p>
          <w:p w14:paraId="64053517">
            <w:pPr>
              <w:pStyle w:val="23"/>
              <w:widowControl w:val="0"/>
              <w:kinsoku/>
              <w:spacing w:before="39"/>
              <w:ind w:left="12" w:firstLine="40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66"/>
              </w:rPr>
              <w:drawing>
                <wp:inline distT="0" distB="0" distL="0" distR="0">
                  <wp:extent cx="4810760" cy="2095500"/>
                  <wp:effectExtent l="0" t="0" r="8890" b="0"/>
                  <wp:docPr id="40" name="IM 26"/>
                  <wp:cNvGraphicFramePr/>
                  <a:graphic xmlns:a="http://schemas.openxmlformats.org/drawingml/2006/main">
                    <a:graphicData uri="http://schemas.openxmlformats.org/drawingml/2006/picture">
                      <pic:pic xmlns:pic="http://schemas.openxmlformats.org/drawingml/2006/picture">
                        <pic:nvPicPr>
                          <pic:cNvPr id="40" name="IM 26"/>
                          <pic:cNvPicPr/>
                        </pic:nvPicPr>
                        <pic:blipFill>
                          <a:blip r:embed="rId12"/>
                          <a:stretch>
                            <a:fillRect/>
                          </a:stretch>
                        </pic:blipFill>
                        <pic:spPr>
                          <a:xfrm>
                            <a:off x="0" y="0"/>
                            <a:ext cx="4811267" cy="2095500"/>
                          </a:xfrm>
                          <a:prstGeom prst="rect">
                            <a:avLst/>
                          </a:prstGeom>
                        </pic:spPr>
                      </pic:pic>
                    </a:graphicData>
                  </a:graphic>
                </wp:inline>
              </w:drawing>
            </w:r>
          </w:p>
          <w:p w14:paraId="36D29A4F">
            <w:pPr>
              <w:pStyle w:val="23"/>
              <w:widowControl w:val="0"/>
              <w:kinsoku/>
              <w:spacing w:before="169"/>
              <w:jc w:val="center"/>
              <w:rPr>
                <w:rFonts w:hint="default" w:ascii="Times New Roman" w:hAnsi="Times New Roman" w:eastAsia="宋体" w:cs="Times New Roman"/>
                <w:b/>
                <w:bCs/>
                <w:color w:val="auto"/>
                <w:spacing w:val="4"/>
                <w:sz w:val="21"/>
                <w:szCs w:val="21"/>
                <w:lang w:eastAsia="zh-CN"/>
              </w:rPr>
            </w:pPr>
            <w:r>
              <w:rPr>
                <w:rFonts w:hint="default" w:ascii="Times New Roman" w:hAnsi="Times New Roman" w:eastAsia="宋体" w:cs="Times New Roman"/>
                <w:b/>
                <w:bCs/>
                <w:color w:val="auto"/>
                <w:spacing w:val="4"/>
                <w:sz w:val="21"/>
                <w:szCs w:val="21"/>
                <w:lang w:eastAsia="zh-CN"/>
              </w:rPr>
              <w:t>图2-4 钻井工艺流程及产污节点图</w:t>
            </w:r>
          </w:p>
          <w:p w14:paraId="07D3B600">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钻井工程包括：钻前作业、设备进场，钻井施工、试油作业、地貌恢复。</w:t>
            </w:r>
          </w:p>
          <w:p w14:paraId="5FF9E10F">
            <w:pPr>
              <w:pStyle w:val="23"/>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1.1钻前</w:t>
            </w:r>
            <w:r>
              <w:rPr>
                <w:rFonts w:hint="default" w:ascii="Times New Roman" w:hAnsi="Times New Roman" w:eastAsia="宋体" w:cs="Times New Roman"/>
                <w:b/>
                <w:bCs/>
                <w:color w:val="auto"/>
                <w:spacing w:val="-4"/>
                <w:sz w:val="24"/>
                <w:szCs w:val="24"/>
                <w:lang w:eastAsia="zh-CN"/>
              </w:rPr>
              <w:t>作业</w:t>
            </w:r>
          </w:p>
          <w:p w14:paraId="103BEC18">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（1）钻前整理场地，并保证全套钻井设备达到相关的安装标准。</w:t>
            </w:r>
          </w:p>
          <w:p w14:paraId="65DD20EB">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（2）在钻机安装的过程中，注意保护井口设备。</w:t>
            </w:r>
          </w:p>
          <w:p w14:paraId="6F44CD28">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（3）要求天车、转盘、井口三点成一条铅垂线，误差小于10mm；确保在施工过程中不偏磨井口套管及井控设备。</w:t>
            </w:r>
          </w:p>
          <w:p w14:paraId="3D7F660D">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（4）设备运转正常，安全装置灵活好用。各种仪器仪表准确灵敏好用。</w:t>
            </w:r>
          </w:p>
          <w:p w14:paraId="5B7AD790">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（5）地面高压管线用清水按标准试压。</w:t>
            </w:r>
          </w:p>
          <w:p w14:paraId="12AC9D29">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（6）钻具在入井前必须用通径规通径。</w:t>
            </w:r>
          </w:p>
          <w:p w14:paraId="0315EC50">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（7）对所有的下井钻具进行外观检查和超声波探伤，准确丈量钻具，钻具记录上注明内外径、扣型，特殊工具要画草图。</w:t>
            </w:r>
          </w:p>
          <w:p w14:paraId="7B17784C">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（8）修建进场道路。</w:t>
            </w:r>
          </w:p>
          <w:p w14:paraId="4E6F0781">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1.2钻井施工</w:t>
            </w:r>
          </w:p>
          <w:p w14:paraId="147FAF11">
            <w:pPr>
              <w:pStyle w:val="23"/>
              <w:widowControl w:val="0"/>
              <w:kinsoku/>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钻井是采用旋转的钻头给所钻的地层一定的压力，使钻头的牙齿嵌入地层，然后旋转钻头，利用旋转钻头的扭矩来切削地层，并用循环的钻井液将钻屑带出井眼，以保证持续钻井。</w:t>
            </w:r>
            <w:r>
              <w:rPr>
                <w:rFonts w:hint="default" w:ascii="Times New Roman" w:hAnsi="Times New Roman" w:eastAsia="宋体" w:cs="Times New Roman"/>
                <w:color w:val="auto"/>
                <w:sz w:val="24"/>
                <w:szCs w:val="24"/>
              </w:rPr>
              <w:t>钻井施工作业流程及排污节点见图2-</w:t>
            </w:r>
            <w:r>
              <w:rPr>
                <w:rFonts w:hint="default" w:ascii="Times New Roman" w:hAnsi="Times New Roman" w:eastAsia="宋体" w:cs="Times New Roman"/>
                <w:color w:val="auto"/>
                <w:sz w:val="24"/>
                <w:szCs w:val="24"/>
                <w:lang w:eastAsia="zh-CN"/>
              </w:rPr>
              <w:t>5</w:t>
            </w:r>
            <w:r>
              <w:rPr>
                <w:rFonts w:hint="default" w:ascii="Times New Roman" w:hAnsi="Times New Roman" w:eastAsia="宋体" w:cs="Times New Roman"/>
                <w:color w:val="auto"/>
                <w:sz w:val="24"/>
                <w:szCs w:val="24"/>
              </w:rPr>
              <w:t>。</w:t>
            </w:r>
          </w:p>
          <w:p w14:paraId="016BD26E">
            <w:pPr>
              <w:pStyle w:val="23"/>
              <w:widowControl w:val="0"/>
              <w:kinsoku/>
              <w:spacing w:line="360" w:lineRule="auto"/>
              <w:ind w:firstLine="480" w:firstLineChars="200"/>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drawing>
                <wp:inline distT="0" distB="0" distL="114300" distR="114300">
                  <wp:extent cx="5237480" cy="3155950"/>
                  <wp:effectExtent l="0" t="0" r="1270" b="6350"/>
                  <wp:docPr id="15" name="图片 15"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nnamed (1)"/>
                          <pic:cNvPicPr>
                            <a:picLocks noChangeAspect="1"/>
                          </pic:cNvPicPr>
                        </pic:nvPicPr>
                        <pic:blipFill>
                          <a:blip r:embed="rId13"/>
                          <a:stretch>
                            <a:fillRect/>
                          </a:stretch>
                        </pic:blipFill>
                        <pic:spPr>
                          <a:xfrm>
                            <a:off x="0" y="0"/>
                            <a:ext cx="5237480" cy="3155950"/>
                          </a:xfrm>
                          <a:prstGeom prst="rect">
                            <a:avLst/>
                          </a:prstGeom>
                        </pic:spPr>
                      </pic:pic>
                    </a:graphicData>
                  </a:graphic>
                </wp:inline>
              </w:drawing>
            </w:r>
          </w:p>
          <w:p w14:paraId="207482BB">
            <w:pPr>
              <w:pStyle w:val="23"/>
              <w:widowControl w:val="0"/>
              <w:kinsoku/>
              <w:spacing w:before="176" w:line="360" w:lineRule="auto"/>
              <w:ind w:left="2416"/>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6"/>
                <w:sz w:val="21"/>
                <w:szCs w:val="21"/>
                <w:lang w:eastAsia="zh-CN"/>
              </w:rPr>
              <w:t>图2-5 钻井施工作业流程及产污节点图</w:t>
            </w:r>
          </w:p>
          <w:p w14:paraId="38492141">
            <w:pPr>
              <w:pStyle w:val="23"/>
              <w:widowControl w:val="0"/>
              <w:kinsoku/>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eastAsia="zh-CN"/>
              </w:rPr>
              <w:t>钻井时井筒排出的钻井泥浆及岩屑进</w:t>
            </w:r>
            <w:r>
              <w:rPr>
                <w:rFonts w:hint="default" w:ascii="Times New Roman" w:hAnsi="Times New Roman" w:eastAsia="宋体" w:cs="Times New Roman"/>
                <w:color w:val="auto"/>
                <w:sz w:val="24"/>
                <w:szCs w:val="24"/>
                <w:highlight w:val="none"/>
                <w:lang w:eastAsia="zh-CN"/>
              </w:rPr>
              <w:t>入泥浆不落地循环系统，随后用专用车辆拉至</w:t>
            </w:r>
            <w:r>
              <w:rPr>
                <w:rFonts w:hint="default" w:ascii="Times New Roman" w:hAnsi="Times New Roman" w:eastAsia="宋体" w:cs="Times New Roman"/>
                <w:color w:val="auto"/>
                <w:sz w:val="24"/>
                <w:szCs w:val="24"/>
                <w:highlight w:val="none"/>
                <w:lang w:val="en-US" w:eastAsia="zh-CN"/>
              </w:rPr>
              <w:t>有资质</w:t>
            </w:r>
            <w:r>
              <w:rPr>
                <w:rFonts w:hint="default" w:ascii="Times New Roman" w:hAnsi="Times New Roman" w:eastAsia="宋体" w:cs="Times New Roman"/>
                <w:color w:val="auto"/>
                <w:sz w:val="24"/>
                <w:szCs w:val="24"/>
                <w:highlight w:val="none"/>
                <w:lang w:eastAsia="zh-CN"/>
              </w:rPr>
              <w:t>单位集中处理。</w:t>
            </w:r>
          </w:p>
          <w:p w14:paraId="4148529A">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1.3固井作业</w:t>
            </w:r>
          </w:p>
          <w:p w14:paraId="0E95C6B3">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固井是在已钻成的井眼内下入套管，然后在套管与井壁之间环空内注入水泥浆将套管和地层固结在一起的工艺过程，可防止复杂情况以保证安全继续钻进下一段井眼或保证顺利开采生产层中的油、气。</w:t>
            </w:r>
          </w:p>
          <w:p w14:paraId="22F471F5">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防喷设备等。</w:t>
            </w:r>
          </w:p>
          <w:p w14:paraId="16C48EEF">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另外，现场施工前根据实际情况要做水泥浆配方及性能复核试验，同时，如果是钻井中井漏严重，则应考虑采用双凝水泥浆体系固井，从而提高固井质量，防止因为井漏事故造成地下水环境污染。</w:t>
            </w:r>
          </w:p>
          <w:p w14:paraId="0DAC32E1">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2.试油作业</w:t>
            </w:r>
          </w:p>
          <w:p w14:paraId="2228A33A">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在钻井施工完毕后对目的层进行试油作业。主要包括试油准备、储层改造和试油。</w:t>
            </w:r>
          </w:p>
          <w:p w14:paraId="0C0AB879">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2.1试油准备</w:t>
            </w:r>
          </w:p>
          <w:p w14:paraId="1253A99D">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试油准备主要进行通井、洗井和试压工作。通井时用钻杆或油管带通井规下入井内，检查套管是否有影响试油工具通过的弯曲和固体物质等；洗井使用泵注设备，利用洗井液，通过井内管柱内外循环，清除套管壁杂物等；试压用气体或液体介质，对地面流程、井口设备、井下套管等进行耐压程度检验。</w:t>
            </w:r>
          </w:p>
          <w:p w14:paraId="2E9EB398">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2.2储层改造</w:t>
            </w:r>
          </w:p>
          <w:p w14:paraId="195C939B">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储层改造包括射孔和压裂两个工序。射孔时利用专用设备和射孔枪，对套管和井壁进行射孔，建立地层与井筒之间的通道；射孔方式</w:t>
            </w:r>
            <w:r>
              <w:rPr>
                <w:rFonts w:hint="default" w:ascii="Times New Roman" w:hAnsi="Times New Roman" w:eastAsia="宋体" w:cs="Times New Roman"/>
                <w:color w:val="auto"/>
                <w:sz w:val="24"/>
                <w:szCs w:val="24"/>
                <w:highlight w:val="none"/>
                <w:lang w:eastAsia="zh-CN"/>
              </w:rPr>
              <w:t>为：桥射联作；压裂时用泵车将压裂液挤入油层，当把油层压出许多裂缝后加入支撑剂（如石英砂</w:t>
            </w:r>
            <w:r>
              <w:rPr>
                <w:rFonts w:hint="default" w:ascii="Times New Roman" w:hAnsi="Times New Roman" w:eastAsia="宋体" w:cs="Times New Roman"/>
                <w:color w:val="auto"/>
                <w:sz w:val="24"/>
                <w:szCs w:val="24"/>
                <w:lang w:eastAsia="zh-CN"/>
              </w:rPr>
              <w:t>等），使其充填进裂缝，可有效提高油气层的渗透能力。停泵后，压裂返排液自喷返排至地面专用废液收集罐中，拉运至</w:t>
            </w:r>
            <w:r>
              <w:rPr>
                <w:rFonts w:hint="eastAsia" w:ascii="Times New Roman" w:hAnsi="Times New Roman" w:cs="Times New Roman"/>
                <w:color w:val="auto"/>
                <w:sz w:val="24"/>
                <w:szCs w:val="24"/>
                <w:lang w:val="en-US" w:eastAsia="zh-CN"/>
              </w:rPr>
              <w:t>吉28脱水站</w:t>
            </w:r>
            <w:r>
              <w:rPr>
                <w:rFonts w:hint="default" w:ascii="Times New Roman" w:hAnsi="Times New Roman" w:eastAsia="宋体" w:cs="Times New Roman"/>
                <w:color w:val="auto"/>
                <w:sz w:val="24"/>
                <w:szCs w:val="24"/>
                <w:lang w:eastAsia="zh-CN"/>
              </w:rPr>
              <w:t>污水处理系统处理。</w:t>
            </w:r>
          </w:p>
          <w:p w14:paraId="0F975C6E">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其中压裂工艺具体为：泵注桥塞射孔连作→压裂→焖井→排液→测试生产。</w:t>
            </w:r>
          </w:p>
          <w:p w14:paraId="3CC1A780">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项目压裂作业工艺流程及其产污环节图见图2-6。</w:t>
            </w:r>
          </w:p>
          <w:p w14:paraId="6C43B489">
            <w:pPr>
              <w:pStyle w:val="23"/>
              <w:widowControl w:val="0"/>
              <w:kinsoku/>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drawing>
                <wp:inline distT="0" distB="0" distL="114300" distR="114300">
                  <wp:extent cx="4613275" cy="1137920"/>
                  <wp:effectExtent l="0" t="0" r="15875" b="5080"/>
                  <wp:docPr id="5" name="图片 5" descr="压裂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压裂工艺"/>
                          <pic:cNvPicPr>
                            <a:picLocks noChangeAspect="1"/>
                          </pic:cNvPicPr>
                        </pic:nvPicPr>
                        <pic:blipFill>
                          <a:blip r:embed="rId14"/>
                          <a:stretch>
                            <a:fillRect/>
                          </a:stretch>
                        </pic:blipFill>
                        <pic:spPr>
                          <a:xfrm>
                            <a:off x="0" y="0"/>
                            <a:ext cx="4613275" cy="1137920"/>
                          </a:xfrm>
                          <a:prstGeom prst="rect">
                            <a:avLst/>
                          </a:prstGeom>
                        </pic:spPr>
                      </pic:pic>
                    </a:graphicData>
                  </a:graphic>
                </wp:inline>
              </w:drawing>
            </w:r>
          </w:p>
          <w:p w14:paraId="7C71E034">
            <w:pPr>
              <w:widowControl/>
              <w:kinsoku/>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5"/>
                <w:lang w:eastAsia="zh-CN"/>
              </w:rPr>
              <w:t>图2-6 压裂作业工艺流程及产污环节图</w:t>
            </w:r>
          </w:p>
          <w:p w14:paraId="37B33595">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2.3试油</w:t>
            </w:r>
          </w:p>
          <w:p w14:paraId="711B775B">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储层改造完成后方可进行试油作业，需在井口安装分离器，对获取的地层油、气、水进行取样。采出液进入地面储罐，最终由罐车拉运至</w:t>
            </w:r>
            <w:r>
              <w:rPr>
                <w:rFonts w:hint="eastAsia" w:ascii="Times New Roman" w:hAnsi="Times New Roman" w:cs="Times New Roman"/>
                <w:color w:val="auto"/>
                <w:sz w:val="24"/>
                <w:szCs w:val="24"/>
                <w:lang w:val="en-US" w:eastAsia="zh-CN"/>
              </w:rPr>
              <w:t>吉28脱水站</w:t>
            </w:r>
            <w:r>
              <w:rPr>
                <w:rFonts w:hint="default" w:ascii="Times New Roman" w:hAnsi="Times New Roman" w:eastAsia="宋体" w:cs="Times New Roman"/>
                <w:color w:val="auto"/>
                <w:sz w:val="24"/>
                <w:szCs w:val="24"/>
                <w:lang w:eastAsia="zh-CN"/>
              </w:rPr>
              <w:t>原油处理系统处理，</w:t>
            </w:r>
            <w:r>
              <w:rPr>
                <w:rFonts w:hint="default" w:ascii="Times New Roman" w:hAnsi="Times New Roman" w:eastAsia="宋体" w:cs="Times New Roman"/>
                <w:color w:val="auto"/>
                <w:sz w:val="24"/>
                <w:szCs w:val="24"/>
                <w:highlight w:val="none"/>
                <w:lang w:eastAsia="zh-CN"/>
              </w:rPr>
              <w:t>具备燃烧条件的伴生</w:t>
            </w:r>
            <w:r>
              <w:rPr>
                <w:rFonts w:hint="default" w:ascii="Times New Roman" w:hAnsi="Times New Roman" w:eastAsia="宋体" w:cs="Times New Roman"/>
                <w:color w:val="auto"/>
                <w:sz w:val="24"/>
                <w:szCs w:val="24"/>
                <w:lang w:eastAsia="zh-CN"/>
              </w:rPr>
              <w:t>气通过地面排气管线充分燃烧后放空。</w:t>
            </w:r>
          </w:p>
          <w:p w14:paraId="45BEE348">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项目试油作业流程见图2-7。</w:t>
            </w:r>
          </w:p>
          <w:p w14:paraId="4722197F">
            <w:pPr>
              <w:pStyle w:val="23"/>
              <w:widowControl w:val="0"/>
              <w:kinsoku/>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drawing>
                <wp:inline distT="0" distB="0" distL="114300" distR="114300">
                  <wp:extent cx="5501005" cy="2269490"/>
                  <wp:effectExtent l="0" t="0" r="4445" b="16510"/>
                  <wp:docPr id="11" name="图片 1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nnamed"/>
                          <pic:cNvPicPr>
                            <a:picLocks noChangeAspect="1"/>
                          </pic:cNvPicPr>
                        </pic:nvPicPr>
                        <pic:blipFill>
                          <a:blip r:embed="rId15"/>
                          <a:stretch>
                            <a:fillRect/>
                          </a:stretch>
                        </pic:blipFill>
                        <pic:spPr>
                          <a:xfrm>
                            <a:off x="0" y="0"/>
                            <a:ext cx="5501005" cy="2269490"/>
                          </a:xfrm>
                          <a:prstGeom prst="rect">
                            <a:avLst/>
                          </a:prstGeom>
                        </pic:spPr>
                      </pic:pic>
                    </a:graphicData>
                  </a:graphic>
                </wp:inline>
              </w:drawing>
            </w:r>
          </w:p>
          <w:p w14:paraId="0238FCE6">
            <w:pPr>
              <w:pStyle w:val="23"/>
              <w:widowControl w:val="0"/>
              <w:kinsoku/>
              <w:spacing w:before="183" w:line="360" w:lineRule="auto"/>
              <w:ind w:left="2624"/>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5"/>
                <w:sz w:val="21"/>
                <w:szCs w:val="21"/>
                <w:lang w:eastAsia="zh-CN"/>
              </w:rPr>
              <w:t>图2-7 试油作业流程及产污节点图</w:t>
            </w:r>
          </w:p>
          <w:p w14:paraId="29B4D2A5">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2.4</w:t>
            </w:r>
            <w:r>
              <w:rPr>
                <w:rFonts w:hint="default" w:ascii="Times New Roman" w:hAnsi="Times New Roman" w:eastAsia="宋体" w:cs="Times New Roman"/>
                <w:b/>
                <w:bCs/>
                <w:color w:val="auto"/>
                <w:sz w:val="24"/>
                <w:szCs w:val="24"/>
                <w:lang w:eastAsia="zh-CN"/>
              </w:rPr>
              <w:t>油气物性分析</w:t>
            </w:r>
          </w:p>
          <w:p w14:paraId="7E68365B">
            <w:pPr>
              <w:pStyle w:val="23"/>
              <w:widowControl w:val="0"/>
              <w:kinsoku/>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于本项目阜2602井、阜2602-1井尚未实施钻试，现阶段本井实测油气物性资料尚未取得，因此油气物性分析采用同区块及邻井资料进行类比。根据设计资料，阜26块C1sb目的层邻井显示表明：阜26井3440～3450m井段压后日产油9.83t、日产气11.952×10</w:t>
            </w:r>
            <w:r>
              <w:rPr>
                <w:rFonts w:hint="eastAsia" w:ascii="Times New Roman" w:hAnsi="Times New Roman" w:eastAsia="宋体" w:cs="Times New Roman"/>
                <w:color w:val="auto"/>
                <w:sz w:val="24"/>
                <w:szCs w:val="24"/>
                <w:vertAlign w:val="superscript"/>
                <w:lang w:val="en-US" w:eastAsia="zh-CN"/>
              </w:rPr>
              <w:t>4</w:t>
            </w:r>
            <w:r>
              <w:rPr>
                <w:rFonts w:hint="eastAsia" w:ascii="Times New Roman" w:hAnsi="Times New Roman" w:eastAsia="宋体" w:cs="Times New Roman"/>
                <w:color w:val="auto"/>
                <w:sz w:val="24"/>
                <w:szCs w:val="24"/>
                <w:lang w:val="en-US" w:eastAsia="zh-CN"/>
              </w:rPr>
              <w:t>m3，原油密度为0.8021g/cm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，气油比为1.216×10</w:t>
            </w:r>
            <w:r>
              <w:rPr>
                <w:rFonts w:hint="eastAsia" w:ascii="Times New Roman" w:hAnsi="Times New Roman" w:eastAsia="宋体" w:cs="Times New Roman"/>
                <w:color w:val="auto"/>
                <w:sz w:val="24"/>
                <w:szCs w:val="24"/>
                <w:vertAlign w:val="superscript"/>
                <w:lang w:val="en-US" w:eastAsia="zh-CN"/>
              </w:rPr>
              <w:t>4</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/t；阜2601井3447～3462m井段压后日产油1.47t、日产气3.2425×10</w:t>
            </w:r>
            <w:r>
              <w:rPr>
                <w:rFonts w:hint="eastAsia" w:ascii="Times New Roman" w:hAnsi="Times New Roman" w:eastAsia="宋体" w:cs="Times New Roman"/>
                <w:color w:val="auto"/>
                <w:sz w:val="24"/>
                <w:szCs w:val="24"/>
                <w:vertAlign w:val="superscript"/>
                <w:lang w:val="en-US" w:eastAsia="zh-CN"/>
              </w:rPr>
              <w:t>4</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，气油比为2.205×10</w:t>
            </w:r>
            <w:r>
              <w:rPr>
                <w:rFonts w:hint="eastAsia" w:ascii="Times New Roman" w:hAnsi="Times New Roman" w:eastAsia="宋体" w:cs="Times New Roman"/>
                <w:color w:val="auto"/>
                <w:sz w:val="24"/>
                <w:szCs w:val="24"/>
                <w:vertAlign w:val="superscript"/>
                <w:lang w:val="en-US" w:eastAsia="zh-CN"/>
              </w:rPr>
              <w:t>4</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/t；阜004井3480～3500m井段见气测异常。</w:t>
            </w:r>
          </w:p>
          <w:p w14:paraId="4FCA1CA8">
            <w:pPr>
              <w:pStyle w:val="23"/>
              <w:widowControl w:val="0"/>
              <w:kinsoku/>
              <w:spacing w:line="360" w:lineRule="auto"/>
              <w:ind w:firstLine="480" w:firstLineChars="200"/>
              <w:jc w:val="both"/>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color w:val="auto"/>
                <w:sz w:val="24"/>
                <w:szCs w:val="24"/>
                <w:lang w:val="en-US" w:eastAsia="zh-CN"/>
              </w:rPr>
              <w:t>结合邻井资料可知，阜26块石炭系松喀尔苏组b段流体以油气共生特征为主，原油具有一定挥发性和可燃性，伴生气以烃类气体为主，区块已完钻井钻进过程中未发现H</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S。上述邻井物性和显示资料可作为本项目原油储运无组织挥发、伴生气燃烧排放及环境风险分析的类比依据；待本项目钻试完成并取得实测油气样品分析结果后，再进一步核实和完善相关物性参数。</w:t>
            </w:r>
          </w:p>
          <w:p w14:paraId="5F4ABC46">
            <w:pPr>
              <w:pStyle w:val="23"/>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3.钻后工程（完井和封井）</w:t>
            </w:r>
          </w:p>
          <w:p w14:paraId="5125B687">
            <w:pPr>
              <w:pStyle w:val="23"/>
              <w:widowControl w:val="0"/>
              <w:kinsoku/>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eastAsia="zh-CN"/>
              </w:rPr>
              <w:t>试油作业结束后，如该油</w:t>
            </w:r>
            <w:r>
              <w:rPr>
                <w:rFonts w:hint="default" w:ascii="Times New Roman" w:hAnsi="Times New Roman" w:eastAsia="宋体" w:cs="Times New Roman"/>
                <w:color w:val="auto"/>
                <w:sz w:val="24"/>
                <w:szCs w:val="24"/>
                <w:highlight w:val="none"/>
                <w:lang w:eastAsia="zh-CN"/>
              </w:rPr>
              <w:t>井具备商业开采价值，则对油井进行关井，后期根据油田开发要求转入开采井（转开采井的污染影响不包含在本次评价工作中）。如该油井不具备开采价值，则对地面设施进行拆除，对井口按照《吐哈油田报废井封井实施细则（试行）》进行封井作业。撤去所有生产设施、平整井场；清理钻井现场，将垃圾、物料清理干净。</w:t>
            </w:r>
          </w:p>
          <w:p w14:paraId="2ED83581">
            <w:pPr>
              <w:pStyle w:val="23"/>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（1）临时封井：在试油获得相关参数后，进行临时封井，在井下50—100m注入水形成水泥塞，水泥塞试压合格后完成临时封井。</w:t>
            </w:r>
          </w:p>
          <w:p w14:paraId="3789753F">
            <w:pPr>
              <w:widowControl w:val="0"/>
              <w:numPr>
                <w:ilvl w:val="0"/>
                <w:numId w:val="0"/>
              </w:numPr>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lang w:eastAsia="zh-CN"/>
              </w:rPr>
              <w:t>（2）永久封井：</w:t>
            </w:r>
            <w:r>
              <w:rPr>
                <w:rFonts w:hint="eastAsia" w:ascii="Times New Roman" w:hAnsi="Times New Roman" w:eastAsia="宋体" w:cs="Times New Roman"/>
                <w:snapToGrid w:val="0"/>
                <w:color w:val="auto"/>
                <w:sz w:val="24"/>
                <w:szCs w:val="24"/>
                <w:lang w:val="en-US" w:eastAsia="zh-CN" w:bidi="ar-SA"/>
              </w:rPr>
              <w:t>具体按照吐哈油田报废井封井实施细则执行，如果有农田，应该按照敏感级报废油水井封井处理，措施为：①挤封已射孔井段：对已射孔井段进行挤封，挤封后余留水泥塞面不得低于射孔井段顶界 50m；②桥塞+水泥塞：在挤封后余留水泥塞上采用机械塞法加固封闭，桥塞宜坐封于产层盖层固井质量较好井段；机械塞上水泥段塞厚度不小于 150m；③打水泥塞+桥塞+水泥塞：在风险井段用 100米厚水泥塞进行封堵；水泥塞上用机械塞法加固封堵，机械塞上注水泥塞厚度不小于150m；④打水泥塞：在井口段附近（井深 10m~20m）以下，用不小于150m 厚水泥塞进行封堵；⑤封堵套管环空：卸套管法兰处放压堵头，注入水泥浆；封堵井口：用水泥封堵井口，地面打混凝土墩, 尺寸宜长 1m×宽 1m×高 0.8m；混凝土上表面标注井号（字体深度大于15mm，长宽 60mm×40mm）。</w:t>
            </w:r>
          </w:p>
        </w:tc>
      </w:tr>
      <w:tr w14:paraId="5E782DF5">
        <w:trPr>
          <w:trHeight w:val="90" w:hRule="atLeast"/>
          <w:jc w:val="center"/>
        </w:trPr>
        <w:tc>
          <w:tcPr>
            <w:tcW w:w="704" w:type="dxa"/>
            <w:vAlign w:val="center"/>
          </w:tcPr>
          <w:p w14:paraId="23DBC11D">
            <w:pPr>
              <w:widowControl w:val="0"/>
              <w:kinsoku/>
              <w:spacing w:line="5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w:t>
            </w:r>
          </w:p>
        </w:tc>
        <w:tc>
          <w:tcPr>
            <w:tcW w:w="8394" w:type="dxa"/>
            <w:vAlign w:val="center"/>
          </w:tcPr>
          <w:p w14:paraId="408C391F">
            <w:pPr>
              <w:widowControl w:val="0"/>
              <w:kinsoku/>
              <w:spacing w:line="50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bl>
    <w:p w14:paraId="4387E5B9">
      <w:pPr>
        <w:kinsoku/>
        <w:rPr>
          <w:rFonts w:ascii="Times New Roman" w:hAnsi="Times New Roman" w:eastAsia="宋体" w:cs="Times New Roman"/>
          <w:b/>
          <w:bCs/>
          <w:color w:val="auto"/>
          <w:spacing w:val="7"/>
          <w:sz w:val="31"/>
          <w:szCs w:val="31"/>
        </w:rPr>
      </w:pPr>
      <w:r>
        <w:rPr>
          <w:rFonts w:ascii="Times New Roman" w:hAnsi="Times New Roman" w:eastAsia="宋体" w:cs="Times New Roman"/>
          <w:b/>
          <w:bCs/>
          <w:color w:val="auto"/>
          <w:spacing w:val="7"/>
          <w:sz w:val="31"/>
          <w:szCs w:val="31"/>
        </w:rPr>
        <w:br w:type="page"/>
      </w:r>
    </w:p>
    <w:p w14:paraId="4F84BC41">
      <w:pPr>
        <w:kinsoku/>
        <w:spacing w:before="101" w:line="360" w:lineRule="auto"/>
        <w:jc w:val="center"/>
        <w:outlineLvl w:val="0"/>
        <w:rPr>
          <w:rFonts w:ascii="Times New Roman" w:hAnsi="Times New Roman" w:cs="Times New Roman"/>
          <w:color w:val="auto"/>
          <w:lang w:eastAsia="zh-CN"/>
        </w:rPr>
      </w:pPr>
      <w:r>
        <w:rPr>
          <w:rFonts w:ascii="Times New Roman" w:hAnsi="Times New Roman" w:eastAsia="宋体" w:cs="Times New Roman"/>
          <w:b/>
          <w:bCs/>
          <w:color w:val="auto"/>
          <w:spacing w:val="7"/>
          <w:sz w:val="31"/>
          <w:szCs w:val="31"/>
          <w:lang w:eastAsia="zh-CN"/>
        </w:rPr>
        <w:t>三、生态环境现状、保护目标及评价标准</w:t>
      </w:r>
    </w:p>
    <w:tbl>
      <w:tblPr>
        <w:tblStyle w:val="22"/>
        <w:tblW w:w="90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8108"/>
      </w:tblGrid>
      <w:tr w14:paraId="647C763F">
        <w:trPr>
          <w:trHeight w:val="90" w:hRule="atLeast"/>
          <w:jc w:val="center"/>
        </w:trPr>
        <w:tc>
          <w:tcPr>
            <w:tcW w:w="991" w:type="dxa"/>
            <w:tcBorders>
              <w:left w:val="single" w:color="000000" w:sz="4" w:space="0"/>
            </w:tcBorders>
            <w:vAlign w:val="center"/>
          </w:tcPr>
          <w:p w14:paraId="3236DF7B">
            <w:pPr>
              <w:pStyle w:val="23"/>
              <w:kinsoku/>
              <w:spacing w:before="65"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14"/>
                <w:sz w:val="24"/>
                <w:szCs w:val="24"/>
              </w:rPr>
              <w:t>生态环境</w:t>
            </w:r>
            <w:r>
              <w:rPr>
                <w:rFonts w:hint="default" w:ascii="Times New Roman" w:hAnsi="Times New Roman" w:eastAsia="宋体" w:cs="Times New Roman"/>
                <w:color w:val="auto"/>
                <w:spacing w:val="9"/>
                <w:sz w:val="24"/>
                <w:szCs w:val="24"/>
              </w:rPr>
              <w:t>现状</w:t>
            </w:r>
          </w:p>
        </w:tc>
        <w:tc>
          <w:tcPr>
            <w:tcW w:w="8108" w:type="dxa"/>
            <w:tcBorders>
              <w:right w:val="single" w:color="000000" w:sz="4" w:space="0"/>
            </w:tcBorders>
          </w:tcPr>
          <w:p w14:paraId="7E2851AA">
            <w:pPr>
              <w:pStyle w:val="23"/>
              <w:kinsoku/>
              <w:spacing w:before="34" w:line="360" w:lineRule="auto"/>
              <w:ind w:left="13"/>
              <w:rPr>
                <w:rFonts w:hint="default" w:ascii="Times New Roman" w:hAnsi="Times New Roman" w:eastAsia="宋体" w:cs="Times New Roman"/>
                <w:b/>
                <w:bCs/>
                <w:color w:val="auto"/>
                <w:spacing w:val="-6"/>
                <w:sz w:val="24"/>
                <w:szCs w:val="24"/>
                <w:lang w:eastAsia="zh-CN"/>
              </w:rPr>
            </w:pPr>
            <w:r>
              <w:rPr>
                <w:rFonts w:hint="default" w:ascii="Times New Roman" w:hAnsi="Times New Roman" w:eastAsia="宋体" w:cs="Times New Roman"/>
                <w:b/>
                <w:bCs/>
                <w:color w:val="auto"/>
                <w:spacing w:val="-6"/>
                <w:sz w:val="24"/>
                <w:szCs w:val="24"/>
                <w:lang w:eastAsia="zh-CN"/>
              </w:rPr>
              <w:t>1.生态功能区划</w:t>
            </w:r>
          </w:p>
          <w:p w14:paraId="391E25EA">
            <w:pPr>
              <w:pStyle w:val="23"/>
              <w:keepNext w:val="0"/>
              <w:keepLines w:val="0"/>
              <w:pageBreakBefore w:val="0"/>
              <w:widowControl/>
              <w:wordWrap/>
              <w:topLinePunct w:val="0"/>
              <w:autoSpaceDE w:val="0"/>
              <w:autoSpaceDN w:val="0"/>
              <w:bidi w:val="0"/>
              <w:adjustRightInd w:val="0"/>
              <w:snapToGrid w:val="0"/>
              <w:spacing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根据《新疆生态功能区划》，项目所在区域属于“Ⅱ准噶尔盆地温性荒漠与绿洲农业生态区”下的“Ⅱ5 准噶尔盆地南部荒漠绿洲农业生态亚区”，具体功能区为“28.阜康一木垒绿洲农业、荒漠草地保护生态功能区”。</w:t>
            </w:r>
            <w:r>
              <w:rPr>
                <w:rFonts w:ascii="宋体" w:hAnsi="宋体" w:eastAsia="宋体" w:cs="宋体"/>
                <w:color w:val="auto"/>
                <w:sz w:val="24"/>
                <w:szCs w:val="24"/>
              </w:rPr>
              <w:t>根据建设单位提供资料及林草地类核实结果，项目井场、生活营地及临时道路占地范围内地类主要为灌木林地和沟渠，不涉及国家级公益林和地方公益林。项目建设不占用生态公益林地，后续施工仍应严格控制占地范围，依法办理临时用地手续，落实林地补偿及生态恢复要求。</w:t>
            </w:r>
            <w:r>
              <w:rPr>
                <w:rFonts w:hint="default" w:ascii="Times New Roman" w:hAnsi="Times New Roman" w:eastAsia="宋体" w:cs="Times New Roman"/>
                <w:color w:val="auto"/>
                <w:sz w:val="24"/>
                <w:szCs w:val="24"/>
                <w:highlight w:val="none"/>
                <w:lang w:val="en-US" w:eastAsia="zh-CN"/>
              </w:rPr>
              <w:t>该区域的主要生态服务功能、主要生态环境问题、主要保护目标和主要发展方向等内容详见表3-1。</w:t>
            </w:r>
            <w:r>
              <w:rPr>
                <w:rFonts w:hint="default" w:ascii="Times New Roman" w:hAnsi="Times New Roman" w:eastAsia="宋体" w:cs="Times New Roman"/>
                <w:color w:val="auto"/>
                <w:sz w:val="24"/>
                <w:szCs w:val="24"/>
                <w:highlight w:val="none"/>
              </w:rPr>
              <w:t>生态功能区划图见附图</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p>
          <w:p w14:paraId="6087B939">
            <w:pPr>
              <w:pStyle w:val="23"/>
              <w:keepNext w:val="0"/>
              <w:keepLines w:val="0"/>
              <w:pageBreakBefore w:val="0"/>
              <w:widowControl w:val="0"/>
              <w:wordWrap/>
              <w:topLinePunct w:val="0"/>
              <w:bidi w:val="0"/>
              <w:adjustRightInd w:val="0"/>
              <w:snapToGrid w:val="0"/>
              <w:spacing w:line="400" w:lineRule="exact"/>
              <w:ind w:left="0" w:leftChars="0" w:right="0"/>
              <w:jc w:val="center"/>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eastAsia="宋体" w:cs="Times New Roman"/>
                <w:b/>
                <w:bCs/>
                <w:color w:val="auto"/>
                <w:spacing w:val="5"/>
                <w:sz w:val="21"/>
                <w:szCs w:val="21"/>
                <w:highlight w:val="none"/>
                <w:lang w:val="en-US" w:eastAsia="zh-CN"/>
              </w:rPr>
              <w:t>3</w:t>
            </w:r>
            <w:r>
              <w:rPr>
                <w:rFonts w:hint="default" w:ascii="Times New Roman" w:hAnsi="Times New Roman" w:eastAsia="宋体" w:cs="Times New Roman"/>
                <w:b/>
                <w:bCs/>
                <w:color w:val="auto"/>
                <w:spacing w:val="5"/>
                <w:sz w:val="21"/>
                <w:szCs w:val="21"/>
                <w:highlight w:val="none"/>
              </w:rPr>
              <w:t>-</w:t>
            </w:r>
            <w:r>
              <w:rPr>
                <w:rFonts w:hint="default" w:ascii="Times New Roman" w:hAnsi="Times New Roman" w:eastAsia="宋体" w:cs="Times New Roman"/>
                <w:b/>
                <w:bCs/>
                <w:color w:val="auto"/>
                <w:spacing w:val="5"/>
                <w:sz w:val="21"/>
                <w:szCs w:val="21"/>
                <w:highlight w:val="none"/>
                <w:lang w:val="en-US" w:eastAsia="zh-CN"/>
              </w:rPr>
              <w:t xml:space="preserve">1 </w:t>
            </w:r>
            <w:r>
              <w:rPr>
                <w:rFonts w:hint="default" w:ascii="Times New Roman" w:hAnsi="Times New Roman" w:eastAsia="宋体" w:cs="Times New Roman"/>
                <w:b/>
                <w:bCs/>
                <w:color w:val="auto"/>
                <w:spacing w:val="5"/>
                <w:sz w:val="21"/>
                <w:szCs w:val="21"/>
                <w:highlight w:val="none"/>
              </w:rPr>
              <w:t>生态功能区划简表</w:t>
            </w:r>
          </w:p>
          <w:tbl>
            <w:tblPr>
              <w:tblStyle w:val="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588"/>
              <w:gridCol w:w="5797"/>
            </w:tblGrid>
            <w:tr w14:paraId="5AA743DA">
              <w:trPr>
                <w:trHeight w:val="413" w:hRule="atLeast"/>
                <w:jc w:val="center"/>
              </w:trPr>
              <w:tc>
                <w:tcPr>
                  <w:tcW w:w="437" w:type="pct"/>
                  <w:vMerge w:val="restart"/>
                  <w:tcBorders>
                    <w:top w:val="single" w:color="000000" w:sz="10" w:space="0"/>
                    <w:bottom w:val="nil"/>
                  </w:tcBorders>
                  <w:vAlign w:val="center"/>
                </w:tcPr>
                <w:p w14:paraId="621A3E94">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生态功能分区单元</w:t>
                  </w:r>
                </w:p>
              </w:tc>
              <w:tc>
                <w:tcPr>
                  <w:tcW w:w="981" w:type="pct"/>
                  <w:tcBorders>
                    <w:top w:val="single" w:color="000000" w:sz="10" w:space="0"/>
                  </w:tcBorders>
                  <w:vAlign w:val="center"/>
                </w:tcPr>
                <w:p w14:paraId="349D323A">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生态区</w:t>
                  </w:r>
                </w:p>
              </w:tc>
              <w:tc>
                <w:tcPr>
                  <w:tcW w:w="3581" w:type="pct"/>
                  <w:tcBorders>
                    <w:top w:val="single" w:color="000000" w:sz="10" w:space="0"/>
                    <w:right w:val="single" w:color="000000" w:sz="4" w:space="0"/>
                  </w:tcBorders>
                  <w:vAlign w:val="center"/>
                </w:tcPr>
                <w:p w14:paraId="579525BC">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Ⅱ准噶尔盆地温性荒漠与绿洲农业生态区</w:t>
                  </w:r>
                </w:p>
              </w:tc>
            </w:tr>
            <w:tr w14:paraId="19CB15C9">
              <w:trPr>
                <w:trHeight w:val="398" w:hRule="atLeast"/>
                <w:jc w:val="center"/>
              </w:trPr>
              <w:tc>
                <w:tcPr>
                  <w:tcW w:w="437" w:type="pct"/>
                  <w:vMerge w:val="continue"/>
                  <w:tcBorders>
                    <w:top w:val="nil"/>
                    <w:bottom w:val="nil"/>
                  </w:tcBorders>
                  <w:vAlign w:val="center"/>
                </w:tcPr>
                <w:p w14:paraId="2F1AB5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z w:val="21"/>
                      <w:szCs w:val="21"/>
                      <w:highlight w:val="none"/>
                    </w:rPr>
                  </w:pPr>
                </w:p>
              </w:tc>
              <w:tc>
                <w:tcPr>
                  <w:tcW w:w="981" w:type="pct"/>
                  <w:vAlign w:val="center"/>
                </w:tcPr>
                <w:p w14:paraId="3CC18712">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生态亚区</w:t>
                  </w:r>
                </w:p>
              </w:tc>
              <w:tc>
                <w:tcPr>
                  <w:tcW w:w="3581" w:type="pct"/>
                  <w:tcBorders>
                    <w:right w:val="single" w:color="000000" w:sz="4" w:space="0"/>
                  </w:tcBorders>
                  <w:vAlign w:val="center"/>
                </w:tcPr>
                <w:p w14:paraId="11D2AA18">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6"/>
                      <w:sz w:val="21"/>
                      <w:szCs w:val="21"/>
                      <w:highlight w:val="none"/>
                    </w:rPr>
                    <w:t>Ⅱ</w:t>
                  </w:r>
                  <w:r>
                    <w:rPr>
                      <w:rFonts w:hint="default" w:ascii="Times New Roman" w:hAnsi="Times New Roman" w:eastAsia="宋体" w:cs="Times New Roman"/>
                      <w:color w:val="auto"/>
                      <w:spacing w:val="-36"/>
                      <w:sz w:val="21"/>
                      <w:szCs w:val="21"/>
                      <w:highlight w:val="none"/>
                      <w:lang w:val="en-US" w:eastAsia="zh-CN"/>
                    </w:rPr>
                    <w:t xml:space="preserve">  </w:t>
                  </w:r>
                  <w:r>
                    <w:rPr>
                      <w:rFonts w:hint="default" w:ascii="Times New Roman" w:hAnsi="Times New Roman" w:eastAsia="宋体" w:cs="Times New Roman"/>
                      <w:color w:val="auto"/>
                      <w:spacing w:val="9"/>
                      <w:position w:val="-2"/>
                      <w:sz w:val="21"/>
                      <w:szCs w:val="21"/>
                      <w:highlight w:val="none"/>
                      <w:vertAlign w:val="subscript"/>
                      <w:lang w:val="en-US" w:eastAsia="zh-CN"/>
                    </w:rPr>
                    <w:t>5</w:t>
                  </w:r>
                  <w:r>
                    <w:rPr>
                      <w:rFonts w:hint="default" w:ascii="Times New Roman" w:hAnsi="Times New Roman" w:eastAsia="宋体" w:cs="Times New Roman"/>
                      <w:color w:val="auto"/>
                      <w:spacing w:val="9"/>
                      <w:sz w:val="21"/>
                      <w:szCs w:val="21"/>
                      <w:highlight w:val="none"/>
                    </w:rPr>
                    <w:t>准噶尔盆地南部荒漠绿洲农业生态亚区</w:t>
                  </w:r>
                </w:p>
              </w:tc>
            </w:tr>
            <w:tr w14:paraId="74400896">
              <w:trPr>
                <w:trHeight w:val="567" w:hRule="atLeast"/>
                <w:jc w:val="center"/>
              </w:trPr>
              <w:tc>
                <w:tcPr>
                  <w:tcW w:w="437" w:type="pct"/>
                  <w:vMerge w:val="continue"/>
                  <w:tcBorders>
                    <w:top w:val="nil"/>
                  </w:tcBorders>
                  <w:vAlign w:val="center"/>
                </w:tcPr>
                <w:p w14:paraId="1FE6D5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z w:val="21"/>
                      <w:szCs w:val="21"/>
                      <w:highlight w:val="none"/>
                    </w:rPr>
                  </w:pPr>
                </w:p>
              </w:tc>
              <w:tc>
                <w:tcPr>
                  <w:tcW w:w="981" w:type="pct"/>
                  <w:vAlign w:val="center"/>
                </w:tcPr>
                <w:p w14:paraId="76ABD2B1">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生态功能区</w:t>
                  </w:r>
                </w:p>
              </w:tc>
              <w:tc>
                <w:tcPr>
                  <w:tcW w:w="3581" w:type="pct"/>
                  <w:tcBorders>
                    <w:right w:val="single" w:color="000000" w:sz="4" w:space="0"/>
                  </w:tcBorders>
                  <w:vAlign w:val="center"/>
                </w:tcPr>
                <w:p w14:paraId="68372DE1">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28.阜康一木垒绿洲农业、荒漠草地保护生态功</w:t>
                  </w:r>
                  <w:r>
                    <w:rPr>
                      <w:rFonts w:hint="default" w:ascii="Times New Roman" w:hAnsi="Times New Roman" w:eastAsia="宋体" w:cs="Times New Roman"/>
                      <w:color w:val="auto"/>
                      <w:spacing w:val="8"/>
                      <w:sz w:val="21"/>
                      <w:szCs w:val="21"/>
                      <w:highlight w:val="none"/>
                    </w:rPr>
                    <w:t>能区</w:t>
                  </w:r>
                </w:p>
              </w:tc>
            </w:tr>
            <w:tr w14:paraId="4738949B">
              <w:trPr>
                <w:trHeight w:val="375" w:hRule="atLeast"/>
                <w:jc w:val="center"/>
              </w:trPr>
              <w:tc>
                <w:tcPr>
                  <w:tcW w:w="1418" w:type="pct"/>
                  <w:gridSpan w:val="2"/>
                  <w:vAlign w:val="center"/>
                </w:tcPr>
                <w:p w14:paraId="67E835C4">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主要生态服务功能</w:t>
                  </w:r>
                </w:p>
              </w:tc>
              <w:tc>
                <w:tcPr>
                  <w:tcW w:w="3581" w:type="pct"/>
                  <w:tcBorders>
                    <w:right w:val="single" w:color="000000" w:sz="4" w:space="0"/>
                  </w:tcBorders>
                  <w:vAlign w:val="center"/>
                </w:tcPr>
                <w:p w14:paraId="02307BE0">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农牧业产品生产、人居环境、荒漠化控制</w:t>
                  </w:r>
                </w:p>
              </w:tc>
            </w:tr>
            <w:tr w14:paraId="40EFB082">
              <w:trPr>
                <w:trHeight w:val="375" w:hRule="atLeast"/>
                <w:jc w:val="center"/>
              </w:trPr>
              <w:tc>
                <w:tcPr>
                  <w:tcW w:w="1418" w:type="pct"/>
                  <w:gridSpan w:val="2"/>
                  <w:vAlign w:val="top"/>
                </w:tcPr>
                <w:p w14:paraId="0EF86D0B">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隶属行政区</w:t>
                  </w:r>
                </w:p>
              </w:tc>
              <w:tc>
                <w:tcPr>
                  <w:tcW w:w="3581" w:type="pct"/>
                  <w:tcBorders>
                    <w:right w:val="single" w:color="000000" w:sz="4" w:space="0"/>
                  </w:tcBorders>
                  <w:vAlign w:val="top"/>
                </w:tcPr>
                <w:p w14:paraId="7A9819CC">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阜康市、吉木萨尔县、奇台县、木垒县</w:t>
                  </w:r>
                </w:p>
              </w:tc>
            </w:tr>
            <w:tr w14:paraId="75F02D18">
              <w:trPr>
                <w:trHeight w:val="836" w:hRule="atLeast"/>
                <w:jc w:val="center"/>
              </w:trPr>
              <w:tc>
                <w:tcPr>
                  <w:tcW w:w="1418" w:type="pct"/>
                  <w:gridSpan w:val="2"/>
                  <w:vAlign w:val="center"/>
                </w:tcPr>
                <w:p w14:paraId="178FA331">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主要生态环境问题</w:t>
                  </w:r>
                </w:p>
              </w:tc>
              <w:tc>
                <w:tcPr>
                  <w:tcW w:w="3581" w:type="pct"/>
                  <w:tcBorders>
                    <w:right w:val="single" w:color="000000" w:sz="4" w:space="0"/>
                  </w:tcBorders>
                  <w:vAlign w:val="center"/>
                </w:tcPr>
                <w:p w14:paraId="566F5078">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地下水超采、荒漠植被退化、沙漠化威胁、局部土壤盐</w:t>
                  </w:r>
                  <w:r>
                    <w:rPr>
                      <w:rFonts w:hint="default" w:ascii="Times New Roman" w:hAnsi="Times New Roman" w:eastAsia="宋体" w:cs="Times New Roman"/>
                      <w:color w:val="auto"/>
                      <w:spacing w:val="8"/>
                      <w:sz w:val="21"/>
                      <w:szCs w:val="21"/>
                      <w:highlight w:val="none"/>
                      <w:lang w:val="en-US" w:eastAsia="zh-CN"/>
                    </w:rPr>
                    <w:t>渍</w:t>
                  </w:r>
                  <w:r>
                    <w:rPr>
                      <w:rFonts w:hint="default" w:ascii="Times New Roman" w:hAnsi="Times New Roman" w:eastAsia="宋体" w:cs="Times New Roman"/>
                      <w:color w:val="auto"/>
                      <w:spacing w:val="8"/>
                      <w:sz w:val="21"/>
                      <w:szCs w:val="21"/>
                      <w:highlight w:val="none"/>
                    </w:rPr>
                    <w:t>化、河流萎缩、滥开荒地</w:t>
                  </w:r>
                </w:p>
              </w:tc>
            </w:tr>
            <w:tr w14:paraId="73A3D76C">
              <w:trPr>
                <w:trHeight w:val="658" w:hRule="atLeast"/>
                <w:jc w:val="center"/>
              </w:trPr>
              <w:tc>
                <w:tcPr>
                  <w:tcW w:w="1418" w:type="pct"/>
                  <w:gridSpan w:val="2"/>
                  <w:vAlign w:val="center"/>
                </w:tcPr>
                <w:p w14:paraId="2570C636">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主要生态敏感因子、敏感程度</w:t>
                  </w:r>
                </w:p>
              </w:tc>
              <w:tc>
                <w:tcPr>
                  <w:tcW w:w="3581" w:type="pct"/>
                  <w:tcBorders>
                    <w:right w:val="single" w:color="000000" w:sz="4" w:space="0"/>
                  </w:tcBorders>
                  <w:vAlign w:val="center"/>
                </w:tcPr>
                <w:p w14:paraId="3ED26A7C">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生物多样性和生境中度敏感，土壤侵蚀轻度敏感、不敏感，土</w:t>
                  </w:r>
                  <w:r>
                    <w:rPr>
                      <w:rFonts w:hint="default" w:ascii="Times New Roman" w:hAnsi="Times New Roman" w:eastAsia="宋体" w:cs="Times New Roman"/>
                      <w:color w:val="auto"/>
                      <w:spacing w:val="8"/>
                      <w:sz w:val="21"/>
                      <w:szCs w:val="21"/>
                      <w:highlight w:val="none"/>
                    </w:rPr>
                    <w:t>地沙漠化、土壤盐渍化</w:t>
                  </w:r>
                  <w:r>
                    <w:rPr>
                      <w:rFonts w:hint="default" w:ascii="Times New Roman" w:hAnsi="Times New Roman" w:eastAsia="宋体" w:cs="Times New Roman"/>
                      <w:color w:val="auto"/>
                      <w:spacing w:val="8"/>
                      <w:sz w:val="21"/>
                      <w:szCs w:val="21"/>
                      <w:highlight w:val="none"/>
                      <w:lang w:val="en-US" w:eastAsia="zh-CN"/>
                    </w:rPr>
                    <w:t>轻度</w:t>
                  </w:r>
                  <w:r>
                    <w:rPr>
                      <w:rFonts w:hint="default" w:ascii="Times New Roman" w:hAnsi="Times New Roman" w:eastAsia="宋体" w:cs="Times New Roman"/>
                      <w:color w:val="auto"/>
                      <w:spacing w:val="8"/>
                      <w:sz w:val="21"/>
                      <w:szCs w:val="21"/>
                      <w:highlight w:val="none"/>
                    </w:rPr>
                    <w:t>敏感</w:t>
                  </w:r>
                </w:p>
              </w:tc>
            </w:tr>
            <w:tr w14:paraId="07DC14EF">
              <w:trPr>
                <w:trHeight w:val="395" w:hRule="atLeast"/>
                <w:jc w:val="center"/>
              </w:trPr>
              <w:tc>
                <w:tcPr>
                  <w:tcW w:w="1418" w:type="pct"/>
                  <w:gridSpan w:val="2"/>
                  <w:vAlign w:val="center"/>
                </w:tcPr>
                <w:p w14:paraId="4EC0CCF0">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主要保护目标</w:t>
                  </w:r>
                </w:p>
              </w:tc>
              <w:tc>
                <w:tcPr>
                  <w:tcW w:w="3581" w:type="pct"/>
                  <w:tcBorders>
                    <w:right w:val="single" w:color="000000" w:sz="4" w:space="0"/>
                  </w:tcBorders>
                  <w:vAlign w:val="center"/>
                </w:tcPr>
                <w:p w14:paraId="2DC92436">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保护基本农田、保护荒漠植被、保护土壤环境质量</w:t>
                  </w:r>
                </w:p>
              </w:tc>
            </w:tr>
            <w:tr w14:paraId="6E3903E3">
              <w:trPr>
                <w:trHeight w:val="1093" w:hRule="atLeast"/>
                <w:jc w:val="center"/>
              </w:trPr>
              <w:tc>
                <w:tcPr>
                  <w:tcW w:w="1418" w:type="pct"/>
                  <w:gridSpan w:val="2"/>
                  <w:vAlign w:val="center"/>
                </w:tcPr>
                <w:p w14:paraId="74F7DF32">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主要保护措施</w:t>
                  </w:r>
                </w:p>
              </w:tc>
              <w:tc>
                <w:tcPr>
                  <w:tcW w:w="3581" w:type="pct"/>
                  <w:tcBorders>
                    <w:right w:val="single" w:color="000000" w:sz="4" w:space="0"/>
                  </w:tcBorders>
                  <w:vAlign w:val="center"/>
                </w:tcPr>
                <w:p w14:paraId="4FA07960">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节水灌溉、草场休牧、对前山坡耕地和北部沙化土地实施退耕还林(草)，在水源无保障、植被稀少、生态脆弱地带禁止开荒</w:t>
                  </w:r>
                  <w:r>
                    <w:rPr>
                      <w:rFonts w:hint="default" w:ascii="Times New Roman" w:hAnsi="Times New Roman" w:eastAsia="宋体" w:cs="Times New Roman"/>
                      <w:color w:val="auto"/>
                      <w:spacing w:val="8"/>
                      <w:sz w:val="21"/>
                      <w:szCs w:val="21"/>
                      <w:highlight w:val="none"/>
                    </w:rPr>
                    <w:t>、加强农田投入品的使用管理</w:t>
                  </w:r>
                </w:p>
              </w:tc>
            </w:tr>
            <w:tr w14:paraId="0544F87C">
              <w:trPr>
                <w:trHeight w:val="460" w:hRule="atLeast"/>
                <w:jc w:val="center"/>
              </w:trPr>
              <w:tc>
                <w:tcPr>
                  <w:tcW w:w="1418" w:type="pct"/>
                  <w:gridSpan w:val="2"/>
                  <w:tcBorders>
                    <w:bottom w:val="single" w:color="000000" w:sz="10" w:space="0"/>
                  </w:tcBorders>
                  <w:vAlign w:val="top"/>
                </w:tcPr>
                <w:p w14:paraId="754CA6E9">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主要发展方向</w:t>
                  </w:r>
                </w:p>
              </w:tc>
              <w:tc>
                <w:tcPr>
                  <w:tcW w:w="3581" w:type="pct"/>
                  <w:tcBorders>
                    <w:bottom w:val="single" w:color="000000" w:sz="10" w:space="0"/>
                    <w:right w:val="single" w:color="000000" w:sz="4" w:space="0"/>
                  </w:tcBorders>
                  <w:vAlign w:val="center"/>
                </w:tcPr>
                <w:p w14:paraId="63C2A108">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农牧结合，发展优质、高效特色农业和畜牧业</w:t>
                  </w:r>
                </w:p>
              </w:tc>
            </w:tr>
          </w:tbl>
          <w:p w14:paraId="682B6704">
            <w:pPr>
              <w:pStyle w:val="23"/>
              <w:kinsoku/>
              <w:spacing w:before="34" w:line="360" w:lineRule="auto"/>
              <w:ind w:left="13"/>
              <w:rPr>
                <w:rFonts w:hint="default" w:ascii="Times New Roman" w:hAnsi="Times New Roman" w:eastAsia="宋体" w:cs="Times New Roman"/>
                <w:b/>
                <w:bCs/>
                <w:color w:val="auto"/>
                <w:spacing w:val="-6"/>
                <w:sz w:val="24"/>
                <w:szCs w:val="24"/>
                <w:lang w:eastAsia="zh-CN"/>
              </w:rPr>
            </w:pPr>
            <w:r>
              <w:rPr>
                <w:rFonts w:hint="eastAsia" w:ascii="Times New Roman" w:hAnsi="Times New Roman" w:eastAsia="宋体" w:cs="Times New Roman"/>
                <w:b/>
                <w:bCs/>
                <w:color w:val="auto"/>
                <w:spacing w:val="-6"/>
                <w:sz w:val="24"/>
                <w:szCs w:val="24"/>
                <w:lang w:val="en-US" w:eastAsia="zh-CN"/>
              </w:rPr>
              <w:t>2.</w:t>
            </w:r>
            <w:r>
              <w:rPr>
                <w:rFonts w:hint="default" w:ascii="Times New Roman" w:hAnsi="Times New Roman" w:eastAsia="宋体" w:cs="Times New Roman"/>
                <w:b/>
                <w:bCs/>
                <w:color w:val="auto"/>
                <w:spacing w:val="-6"/>
                <w:sz w:val="24"/>
                <w:szCs w:val="24"/>
                <w:lang w:eastAsia="zh-CN"/>
              </w:rPr>
              <w:t>主体功能区规划调查</w:t>
            </w:r>
          </w:p>
          <w:p w14:paraId="7053C18D">
            <w:pPr>
              <w:pStyle w:val="23"/>
              <w:keepNext w:val="0"/>
              <w:keepLines w:val="0"/>
              <w:pageBreakBefore w:val="0"/>
              <w:widowControl/>
              <w:wordWrap/>
              <w:topLinePunct w:val="0"/>
              <w:autoSpaceDE w:val="0"/>
              <w:autoSpaceDN w:val="0"/>
              <w:bidi w:val="0"/>
              <w:adjustRightInd w:val="0"/>
              <w:snapToGrid w:val="0"/>
              <w:spacing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新疆维吾尔自治区主体功能区规划》，新疆按开发方式分为优化开发区域、重点开发区域、限制开发区域和禁止开发区域；按开发内容分为城市化地区、农产品主产区和重点生态功能区；按层级分为国家级和自治区级两个层面。本项目位于新疆维吾尔自治区昌吉回族自治州阜康市境内，所在区域属于《新疆维吾尔自治区主体功能区规划》中的国家级重点开发区域（天山北坡地区）。该区域的功能定位为我国面向中亚、西亚地区对外开放的陆路交通枢纽和重要门户、全国重要的能源基地、我国进口资源的国际大通道，以及石油天然气化工、煤电、煤化工、机电工业及纺织工业基地。</w:t>
            </w:r>
          </w:p>
          <w:p w14:paraId="251A5D20">
            <w:pPr>
              <w:pStyle w:val="23"/>
              <w:keepNext w:val="0"/>
              <w:keepLines w:val="0"/>
              <w:pageBreakBefore w:val="0"/>
              <w:widowControl/>
              <w:wordWrap/>
              <w:topLinePunct w:val="0"/>
              <w:autoSpaceDE w:val="0"/>
              <w:autoSpaceDN w:val="0"/>
              <w:bidi w:val="0"/>
              <w:adjustRightInd w:val="0"/>
              <w:snapToGrid w:val="0"/>
              <w:spacing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油气资源勘探评价井钻试工程，属于能源资源勘探开发活动，项目建设内容与所在区域主体功能定位不存在冲突。项目施工期较短，均为临时占地，占地类型主要为灌木林地和沟渠，不涉及生态保护红线、自然保护区、饮用水水源保护区等禁止开发区域。总体来看，项目建设与区域主体功能区划定位相协调。新疆维吾尔自治区主体功能区规划图见附图4。</w:t>
            </w:r>
          </w:p>
          <w:p w14:paraId="5DDB15EB">
            <w:pPr>
              <w:pStyle w:val="23"/>
              <w:kinsoku/>
              <w:spacing w:before="34" w:line="360" w:lineRule="auto"/>
              <w:ind w:left="13"/>
              <w:rPr>
                <w:rFonts w:hint="default" w:ascii="Times New Roman" w:hAnsi="Times New Roman" w:eastAsia="宋体" w:cs="Times New Roman"/>
                <w:b/>
                <w:bCs/>
                <w:color w:val="auto"/>
                <w:spacing w:val="-6"/>
                <w:sz w:val="24"/>
                <w:szCs w:val="24"/>
                <w:lang w:eastAsia="zh-CN"/>
              </w:rPr>
            </w:pPr>
            <w:r>
              <w:rPr>
                <w:rFonts w:hint="eastAsia" w:ascii="Times New Roman" w:hAnsi="Times New Roman" w:cs="Times New Roman"/>
                <w:b/>
                <w:bCs/>
                <w:color w:val="auto"/>
                <w:spacing w:val="-6"/>
                <w:sz w:val="24"/>
                <w:szCs w:val="24"/>
                <w:lang w:val="en-US" w:eastAsia="zh-CN"/>
              </w:rPr>
              <w:t>3</w:t>
            </w:r>
            <w:r>
              <w:rPr>
                <w:rFonts w:hint="default" w:ascii="Times New Roman" w:hAnsi="Times New Roman" w:eastAsia="宋体" w:cs="Times New Roman"/>
                <w:b/>
                <w:bCs/>
                <w:color w:val="auto"/>
                <w:spacing w:val="-6"/>
                <w:sz w:val="24"/>
                <w:szCs w:val="24"/>
                <w:lang w:eastAsia="zh-CN"/>
              </w:rPr>
              <w:t>.生态环境现状</w:t>
            </w:r>
          </w:p>
          <w:p w14:paraId="48F99624">
            <w:pPr>
              <w:pStyle w:val="23"/>
              <w:keepNext w:val="0"/>
              <w:keepLines w:val="0"/>
              <w:pageBreakBefore w:val="0"/>
              <w:widowControl/>
              <w:wordWrap/>
              <w:topLinePunct w:val="0"/>
              <w:autoSpaceDE w:val="0"/>
              <w:autoSpaceDN w:val="0"/>
              <w:bidi w:val="0"/>
              <w:adjustRightInd w:val="0"/>
              <w:snapToGrid w:val="0"/>
              <w:spacing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生态环境现状调查应从区域生态背景、项目区生态系统类型、植被群落组成及重点保护野生动植物分布等方面进行分析。项目所在区域总体位于准噶尔盆地南部荒漠绿洲农业生态亚区，区域大尺度生态格局以荒漠—绿洲复合生态系统为主，主要生态问题为地下水超采、荒漠植被退化、局部土壤盐渍化和沙漠化威胁。项目区位于其中的荒漠地貌单元，生态系统类型以荒漠灌草生态系统为主，生态稳定性相对较弱，受外界扰动后恢复较慢。</w:t>
            </w:r>
          </w:p>
          <w:p w14:paraId="38E4BD4D">
            <w:pPr>
              <w:pStyle w:val="23"/>
              <w:kinsoku/>
              <w:spacing w:before="34" w:line="360" w:lineRule="auto"/>
              <w:ind w:left="13"/>
              <w:rPr>
                <w:rFonts w:hint="default" w:ascii="Times New Roman" w:hAnsi="Times New Roman" w:eastAsia="宋体" w:cs="Times New Roman"/>
                <w:b/>
                <w:bCs/>
                <w:color w:val="auto"/>
                <w:spacing w:val="-2"/>
                <w:sz w:val="24"/>
                <w:szCs w:val="24"/>
                <w:lang w:eastAsia="zh-CN"/>
              </w:rPr>
            </w:pPr>
            <w:r>
              <w:rPr>
                <w:rFonts w:hint="eastAsia" w:ascii="Times New Roman" w:hAnsi="Times New Roman" w:cs="Times New Roman"/>
                <w:b/>
                <w:bCs/>
                <w:color w:val="auto"/>
                <w:spacing w:val="-2"/>
                <w:sz w:val="24"/>
                <w:szCs w:val="24"/>
                <w:lang w:val="en-US" w:eastAsia="zh-CN"/>
              </w:rPr>
              <w:t>3</w:t>
            </w:r>
            <w:r>
              <w:rPr>
                <w:rFonts w:hint="default" w:ascii="Times New Roman" w:hAnsi="Times New Roman" w:eastAsia="宋体" w:cs="Times New Roman"/>
                <w:b/>
                <w:bCs/>
                <w:color w:val="auto"/>
                <w:spacing w:val="-2"/>
                <w:sz w:val="24"/>
                <w:szCs w:val="24"/>
                <w:lang w:eastAsia="zh-CN"/>
              </w:rPr>
              <w:t>.1植被</w:t>
            </w:r>
            <w:r>
              <w:rPr>
                <w:rFonts w:hint="eastAsia" w:ascii="Times New Roman" w:hAnsi="Times New Roman" w:cs="Times New Roman"/>
                <w:b/>
                <w:bCs/>
                <w:color w:val="auto"/>
                <w:spacing w:val="-2"/>
                <w:sz w:val="24"/>
                <w:szCs w:val="24"/>
                <w:lang w:val="en-US" w:eastAsia="zh-CN"/>
              </w:rPr>
              <w:t>及生态系统</w:t>
            </w:r>
            <w:r>
              <w:rPr>
                <w:rFonts w:hint="default" w:ascii="Times New Roman" w:hAnsi="Times New Roman" w:eastAsia="宋体" w:cs="Times New Roman"/>
                <w:b/>
                <w:bCs/>
                <w:color w:val="auto"/>
                <w:spacing w:val="-2"/>
                <w:sz w:val="24"/>
                <w:szCs w:val="24"/>
                <w:lang w:eastAsia="zh-CN"/>
              </w:rPr>
              <w:t>现状</w:t>
            </w:r>
          </w:p>
          <w:p w14:paraId="1EDDF36F">
            <w:pPr>
              <w:pStyle w:val="23"/>
              <w:keepNext w:val="0"/>
              <w:keepLines w:val="0"/>
              <w:pageBreakBefore w:val="0"/>
              <w:widowControl/>
              <w:wordWrap/>
              <w:topLinePunct w:val="0"/>
              <w:autoSpaceDE w:val="0"/>
              <w:autoSpaceDN w:val="0"/>
              <w:bidi w:val="0"/>
              <w:adjustRightInd w:val="0"/>
              <w:snapToGrid w:val="0"/>
              <w:spacing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和相关资料分析，项目所在区域大范围生态系统类型以荒漠—绿洲复合生态系统为主，项目区具体表现为荒漠灌草生态系统。区域地表覆盖度较低，植被群落结构较为简单，主要受干旱气候、土壤盐渍化及水分条件限制。</w:t>
            </w:r>
          </w:p>
          <w:p w14:paraId="36BD8F56">
            <w:pPr>
              <w:pStyle w:val="23"/>
              <w:keepNext w:val="0"/>
              <w:keepLines w:val="0"/>
              <w:pageBreakBefore w:val="0"/>
              <w:widowControl/>
              <w:wordWrap/>
              <w:topLinePunct w:val="0"/>
              <w:autoSpaceDE w:val="0"/>
              <w:autoSpaceDN w:val="0"/>
              <w:bidi w:val="0"/>
              <w:adjustRightInd w:val="0"/>
              <w:snapToGrid w:val="0"/>
              <w:spacing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项目区主要植被群落为红砂（Reaumuria songarica）、骆驼蓬（Peganum harmala）为主的荒漠灌丛群落，植物种类以耐旱、耐盐碱种为主，生物量较低，呈斑块状、点状分布，多生长于沙砾土和砾质地表。施工区域内植被总体长势一般，生态系统抗干扰能力较弱，植被恢复以自然恢复为主，恢复周期相对较长。</w:t>
            </w:r>
            <w:r>
              <w:rPr>
                <w:rFonts w:hint="eastAsia" w:ascii="Times New Roman" w:hAnsi="Times New Roman" w:cs="Times New Roman"/>
                <w:color w:val="auto"/>
                <w:sz w:val="24"/>
                <w:szCs w:val="24"/>
                <w:highlight w:val="none"/>
                <w:lang w:val="en-US" w:eastAsia="zh-CN"/>
              </w:rPr>
              <w:t>本项目植被类型图见附图6。</w:t>
            </w:r>
          </w:p>
          <w:p w14:paraId="707F44A9">
            <w:pPr>
              <w:pStyle w:val="23"/>
              <w:keepNext w:val="0"/>
              <w:keepLines w:val="0"/>
              <w:pageBreakBefore w:val="0"/>
              <w:widowControl/>
              <w:wordWrap/>
              <w:topLinePunct w:val="0"/>
              <w:autoSpaceDE w:val="0"/>
              <w:autoSpaceDN w:val="0"/>
              <w:bidi w:val="0"/>
              <w:adjustRightInd w:val="0"/>
              <w:snapToGrid w:val="0"/>
              <w:spacing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从保护物种角度分析，根据现场调查及名录核对结果，项目区域及临时占地范围内未发现《国家重点保护野生植物名录（2021年）》和《新疆维吾尔自治区重点保护野生植物名录（2023年）》中所列重点保护野生植物。现阶段项目区未发现国家和自治区重点保护野生植物集中分布点。</w:t>
            </w:r>
          </w:p>
          <w:p w14:paraId="5D7A0965">
            <w:pPr>
              <w:pStyle w:val="23"/>
              <w:kinsoku/>
              <w:spacing w:line="360" w:lineRule="auto"/>
              <w:jc w:val="center"/>
              <w:rPr>
                <w:rFonts w:hint="default" w:ascii="Times New Roman" w:hAnsi="Times New Roman" w:eastAsia="宋体" w:cs="Times New Roman"/>
                <w:color w:val="auto"/>
                <w:lang w:eastAsia="zh-CN"/>
              </w:rPr>
            </w:pPr>
            <w:r>
              <w:rPr>
                <w:rFonts w:ascii="Times New Roman" w:hAnsi="Times New Roman" w:cs="Times New Roman"/>
                <w:color w:val="auto"/>
                <w:highlight w:val="none"/>
              </w:rPr>
              <w:drawing>
                <wp:inline distT="0" distB="0" distL="114300" distR="114300">
                  <wp:extent cx="4962525" cy="2905125"/>
                  <wp:effectExtent l="0" t="0" r="9525" b="952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6"/>
                          <a:stretch>
                            <a:fillRect/>
                          </a:stretch>
                        </pic:blipFill>
                        <pic:spPr>
                          <a:xfrm>
                            <a:off x="0" y="0"/>
                            <a:ext cx="4962525" cy="2905125"/>
                          </a:xfrm>
                          <a:prstGeom prst="rect">
                            <a:avLst/>
                          </a:prstGeom>
                          <a:noFill/>
                          <a:ln>
                            <a:noFill/>
                          </a:ln>
                        </pic:spPr>
                      </pic:pic>
                    </a:graphicData>
                  </a:graphic>
                </wp:inline>
              </w:drawing>
            </w:r>
          </w:p>
          <w:p w14:paraId="2DC7473A">
            <w:pPr>
              <w:pStyle w:val="23"/>
              <w:kinsoku/>
              <w:spacing w:line="360" w:lineRule="auto"/>
              <w:jc w:val="center"/>
              <w:rPr>
                <w:rFonts w:ascii="Times New Roman" w:hAnsi="Times New Roman" w:cs="Times New Roman"/>
                <w:color w:val="auto"/>
                <w:highlight w:val="none"/>
                <w:lang w:eastAsia="zh-CN"/>
              </w:rPr>
            </w:pPr>
            <w:r>
              <w:rPr>
                <w:rFonts w:ascii="Times New Roman" w:hAnsi="Times New Roman" w:cs="Times New Roman"/>
                <w:color w:val="auto"/>
                <w:spacing w:val="-2"/>
                <w:sz w:val="24"/>
                <w:szCs w:val="24"/>
                <w:highlight w:val="none"/>
                <w:lang w:eastAsia="zh-CN"/>
              </w:rPr>
              <w:t>红砂灌丛</w:t>
            </w:r>
          </w:p>
          <w:p w14:paraId="6BB86D89">
            <w:pPr>
              <w:pStyle w:val="23"/>
              <w:kinsoku/>
              <w:spacing w:line="360" w:lineRule="auto"/>
              <w:jc w:val="center"/>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drawing>
                <wp:inline distT="0" distB="0" distL="114300" distR="114300">
                  <wp:extent cx="4960620" cy="3098800"/>
                  <wp:effectExtent l="0" t="0" r="11430" b="6350"/>
                  <wp:docPr id="7" name="图片 7" descr="IMG_20250923_1434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923_143423_1"/>
                          <pic:cNvPicPr>
                            <a:picLocks noChangeAspect="1"/>
                          </pic:cNvPicPr>
                        </pic:nvPicPr>
                        <pic:blipFill>
                          <a:blip r:embed="rId17"/>
                          <a:stretch>
                            <a:fillRect/>
                          </a:stretch>
                        </pic:blipFill>
                        <pic:spPr>
                          <a:xfrm>
                            <a:off x="0" y="0"/>
                            <a:ext cx="4960620" cy="3098800"/>
                          </a:xfrm>
                          <a:prstGeom prst="rect">
                            <a:avLst/>
                          </a:prstGeom>
                        </pic:spPr>
                      </pic:pic>
                    </a:graphicData>
                  </a:graphic>
                </wp:inline>
              </w:drawing>
            </w:r>
          </w:p>
          <w:p w14:paraId="517B9116">
            <w:pPr>
              <w:pStyle w:val="23"/>
              <w:kinsoku/>
              <w:spacing w:line="360" w:lineRule="auto"/>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pacing w:val="-2"/>
                <w:sz w:val="24"/>
                <w:szCs w:val="24"/>
                <w:highlight w:val="none"/>
                <w:lang w:eastAsia="zh-CN"/>
              </w:rPr>
              <w:t>骆驼蓬</w:t>
            </w:r>
            <w:r>
              <w:rPr>
                <w:rFonts w:ascii="Times New Roman" w:hAnsi="Times New Roman" w:eastAsia="宋体" w:cs="Times New Roman"/>
                <w:color w:val="auto"/>
                <w:sz w:val="24"/>
                <w:szCs w:val="24"/>
                <w:highlight w:val="none"/>
                <w:lang w:eastAsia="zh-CN"/>
              </w:rPr>
              <w:t>灌丛</w:t>
            </w:r>
          </w:p>
          <w:p w14:paraId="51044640">
            <w:pPr>
              <w:pStyle w:val="23"/>
              <w:kinsoku/>
              <w:spacing w:line="360" w:lineRule="auto"/>
              <w:rPr>
                <w:rFonts w:hint="default" w:ascii="Times New Roman" w:hAnsi="Times New Roman" w:eastAsia="宋体" w:cs="Times New Roman"/>
                <w:color w:val="auto"/>
                <w:sz w:val="24"/>
                <w:szCs w:val="24"/>
                <w:lang w:eastAsia="zh-CN"/>
              </w:rPr>
            </w:pPr>
            <w:r>
              <w:rPr>
                <w:rFonts w:hint="eastAsia" w:ascii="Times New Roman" w:hAnsi="Times New Roman" w:cs="Times New Roman"/>
                <w:b/>
                <w:bCs/>
                <w:color w:val="auto"/>
                <w:spacing w:val="-2"/>
                <w:sz w:val="24"/>
                <w:szCs w:val="24"/>
                <w:lang w:val="en-US" w:eastAsia="zh-CN"/>
              </w:rPr>
              <w:t>3</w:t>
            </w:r>
            <w:r>
              <w:rPr>
                <w:rFonts w:hint="default" w:ascii="Times New Roman" w:hAnsi="Times New Roman" w:eastAsia="宋体" w:cs="Times New Roman"/>
                <w:b/>
                <w:bCs/>
                <w:color w:val="auto"/>
                <w:spacing w:val="-2"/>
                <w:sz w:val="24"/>
                <w:szCs w:val="24"/>
                <w:lang w:eastAsia="zh-CN"/>
              </w:rPr>
              <w:t>.2野生动物现状</w:t>
            </w:r>
          </w:p>
          <w:p w14:paraId="371D9586">
            <w:pPr>
              <w:pStyle w:val="23"/>
              <w:kinsoku/>
              <w:spacing w:line="360" w:lineRule="auto"/>
              <w:ind w:firstLine="480" w:firstLineChars="200"/>
              <w:jc w:val="both"/>
              <w:rPr>
                <w:rFonts w:ascii="宋体" w:hAnsi="宋体" w:eastAsia="宋体" w:cs="宋体"/>
                <w:color w:val="auto"/>
                <w:sz w:val="24"/>
                <w:szCs w:val="24"/>
              </w:rPr>
            </w:pPr>
            <w:r>
              <w:rPr>
                <w:rFonts w:ascii="宋体" w:hAnsi="宋体" w:eastAsia="宋体" w:cs="宋体"/>
                <w:color w:val="auto"/>
                <w:sz w:val="24"/>
                <w:szCs w:val="24"/>
              </w:rPr>
              <w:t>项目所在区域属于典型荒漠生态环境，野生动物类型以适应荒漠、半荒漠环境的小型兽类、爬行类及鸟类为主。由于项目区周边无河流、湖泊、湿地等特殊生境，动物种类总体较为简单，区域内重点保护野生动物分布主要表现为偶见、过境或在更大尺度生境内活动。</w:t>
            </w:r>
          </w:p>
          <w:p w14:paraId="2C07D859">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按中国动物地理区划的分级标准，项目所在区域属古北界、中亚亚界、蒙新区、准噶尔亚区、准噶尔盆地省。因该区域地处准噶尔盆地东南缘，气候干燥，野生动物的栖息生境极为单一。本项目区域常见啮齿类、爬行类、鸟类等动物，对照《国家重点保护野生动物名录》（2021）、国家林业和草原局公告《陆生野生动物重要栖息地名录（第一批）》（2023年第23号）及自治区人民政府《关于发布新疆维吾尔自治区重点保护野生动物名录（修订）的通知》（新政发〔2022〕75号），未发现以上《名录》中重点保护野生动物和陆生野生动物重要栖息地。区域主要野生动物种类及分布情况见表3-</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p>
          <w:p w14:paraId="440392AB">
            <w:pPr>
              <w:pStyle w:val="23"/>
              <w:kinsoku/>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表3-</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 xml:space="preserve"> 评价区域内主要野生动物及分布情况一览表</w:t>
            </w:r>
          </w:p>
          <w:tbl>
            <w:tblPr>
              <w:tblStyle w:val="22"/>
              <w:tblW w:w="73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8"/>
              <w:gridCol w:w="1419"/>
              <w:gridCol w:w="3264"/>
              <w:gridCol w:w="1928"/>
            </w:tblGrid>
            <w:tr w14:paraId="6D28DBB7">
              <w:trPr>
                <w:trHeight w:val="312" w:hRule="atLeast"/>
                <w:jc w:val="center"/>
              </w:trPr>
              <w:tc>
                <w:tcPr>
                  <w:tcW w:w="2207" w:type="dxa"/>
                  <w:gridSpan w:val="2"/>
                  <w:vMerge w:val="restart"/>
                  <w:tcBorders>
                    <w:top w:val="single" w:color="000000" w:sz="10" w:space="0"/>
                    <w:left w:val="single" w:color="000000" w:sz="2" w:space="0"/>
                    <w:bottom w:val="nil"/>
                  </w:tcBorders>
                  <w:vAlign w:val="center"/>
                </w:tcPr>
                <w:p w14:paraId="581E76C6">
                  <w:pPr>
                    <w:kinsoku/>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中名</w:t>
                  </w:r>
                </w:p>
              </w:tc>
              <w:tc>
                <w:tcPr>
                  <w:tcW w:w="3264" w:type="dxa"/>
                  <w:vMerge w:val="restart"/>
                  <w:tcBorders>
                    <w:top w:val="single" w:color="000000" w:sz="10" w:space="0"/>
                    <w:bottom w:val="nil"/>
                  </w:tcBorders>
                  <w:vAlign w:val="center"/>
                </w:tcPr>
                <w:p w14:paraId="23BF5CCD">
                  <w:pPr>
                    <w:kinsoku/>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学名</w:t>
                  </w:r>
                </w:p>
              </w:tc>
              <w:tc>
                <w:tcPr>
                  <w:tcW w:w="1928" w:type="dxa"/>
                  <w:tcBorders>
                    <w:top w:val="single" w:color="000000" w:sz="10" w:space="0"/>
                    <w:bottom w:val="single" w:color="auto" w:sz="4" w:space="0"/>
                  </w:tcBorders>
                  <w:vAlign w:val="center"/>
                </w:tcPr>
                <w:p w14:paraId="7F57FA43">
                  <w:pPr>
                    <w:kinsoku/>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分布</w:t>
                  </w:r>
                </w:p>
              </w:tc>
            </w:tr>
            <w:tr w14:paraId="33A97203">
              <w:trPr>
                <w:trHeight w:val="312" w:hRule="atLeast"/>
                <w:jc w:val="center"/>
              </w:trPr>
              <w:tc>
                <w:tcPr>
                  <w:tcW w:w="2207" w:type="dxa"/>
                  <w:gridSpan w:val="2"/>
                  <w:vMerge w:val="continue"/>
                  <w:tcBorders>
                    <w:top w:val="nil"/>
                    <w:left w:val="single" w:color="000000" w:sz="2" w:space="0"/>
                  </w:tcBorders>
                  <w:vAlign w:val="center"/>
                </w:tcPr>
                <w:p w14:paraId="5381F397">
                  <w:pPr>
                    <w:kinsoku/>
                    <w:jc w:val="center"/>
                    <w:rPr>
                      <w:rFonts w:hint="default" w:ascii="Times New Roman" w:hAnsi="Times New Roman" w:eastAsia="宋体" w:cs="Times New Roman"/>
                      <w:b/>
                      <w:bCs/>
                      <w:color w:val="auto"/>
                    </w:rPr>
                  </w:pPr>
                </w:p>
              </w:tc>
              <w:tc>
                <w:tcPr>
                  <w:tcW w:w="3264" w:type="dxa"/>
                  <w:vMerge w:val="continue"/>
                  <w:tcBorders>
                    <w:top w:val="nil"/>
                  </w:tcBorders>
                  <w:vAlign w:val="center"/>
                </w:tcPr>
                <w:p w14:paraId="3B6AC84A">
                  <w:pPr>
                    <w:kinsoku/>
                    <w:jc w:val="center"/>
                    <w:rPr>
                      <w:rFonts w:hint="default" w:ascii="Times New Roman" w:hAnsi="Times New Roman" w:eastAsia="宋体" w:cs="Times New Roman"/>
                      <w:b/>
                      <w:bCs/>
                      <w:color w:val="auto"/>
                    </w:rPr>
                  </w:pPr>
                </w:p>
              </w:tc>
              <w:tc>
                <w:tcPr>
                  <w:tcW w:w="1928" w:type="dxa"/>
                  <w:tcBorders>
                    <w:top w:val="single" w:color="auto" w:sz="4" w:space="0"/>
                  </w:tcBorders>
                  <w:vAlign w:val="center"/>
                </w:tcPr>
                <w:p w14:paraId="0A928FF5">
                  <w:pPr>
                    <w:kinsoku/>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荒漠区</w:t>
                  </w:r>
                </w:p>
              </w:tc>
            </w:tr>
            <w:tr w14:paraId="53DB703E">
              <w:trPr>
                <w:trHeight w:val="193" w:hRule="atLeast"/>
                <w:jc w:val="center"/>
              </w:trPr>
              <w:tc>
                <w:tcPr>
                  <w:tcW w:w="788" w:type="dxa"/>
                  <w:tcBorders>
                    <w:left w:val="single" w:color="000000" w:sz="2" w:space="0"/>
                  </w:tcBorders>
                  <w:vAlign w:val="center"/>
                </w:tcPr>
                <w:p w14:paraId="0687A5ED">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1</w:t>
                  </w:r>
                </w:p>
              </w:tc>
              <w:tc>
                <w:tcPr>
                  <w:tcW w:w="1419" w:type="dxa"/>
                  <w:vAlign w:val="center"/>
                </w:tcPr>
                <w:p w14:paraId="1CF5177E">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lang w:eastAsia="zh-CN"/>
                    </w:rPr>
                    <w:t>荒漠</w:t>
                  </w:r>
                  <w:r>
                    <w:rPr>
                      <w:rFonts w:hint="default" w:ascii="Times New Roman" w:hAnsi="Times New Roman" w:eastAsia="宋体" w:cs="Times New Roman"/>
                      <w:color w:val="auto"/>
                      <w:spacing w:val="5"/>
                      <w:sz w:val="21"/>
                      <w:szCs w:val="21"/>
                    </w:rPr>
                    <w:t>沙蜥</w:t>
                  </w:r>
                </w:p>
              </w:tc>
              <w:tc>
                <w:tcPr>
                  <w:tcW w:w="3264" w:type="dxa"/>
                </w:tcPr>
                <w:p w14:paraId="0192FE91">
                  <w:pPr>
                    <w:kinsoku/>
                    <w:jc w:val="center"/>
                    <w:rPr>
                      <w:rFonts w:hint="default" w:ascii="Times New Roman" w:hAnsi="Times New Roman" w:eastAsia="宋体" w:cs="Times New Roman"/>
                      <w:i/>
                      <w:iCs/>
                      <w:color w:val="auto"/>
                    </w:rPr>
                  </w:pPr>
                  <w:r>
                    <w:rPr>
                      <w:rFonts w:hint="default" w:ascii="Times New Roman" w:hAnsi="Times New Roman" w:eastAsia="宋体" w:cs="Times New Roman"/>
                      <w:i/>
                      <w:iCs/>
                      <w:color w:val="auto"/>
                    </w:rPr>
                    <w:t>Phrynocephalus przewalskii</w:t>
                  </w:r>
                </w:p>
              </w:tc>
              <w:tc>
                <w:tcPr>
                  <w:tcW w:w="1928" w:type="dxa"/>
                </w:tcPr>
                <w:p w14:paraId="7F3CA038">
                  <w:pPr>
                    <w:kinsoku/>
                    <w:jc w:val="center"/>
                    <w:rPr>
                      <w:rFonts w:hint="default" w:ascii="Times New Roman" w:hAnsi="Times New Roman" w:eastAsia="宋体" w:cs="Times New Roman"/>
                      <w:i/>
                      <w:iCs/>
                      <w:color w:val="auto"/>
                      <w:lang w:eastAsia="zh-CN"/>
                    </w:rPr>
                  </w:pPr>
                  <w:r>
                    <w:rPr>
                      <w:rFonts w:hint="default" w:ascii="Times New Roman" w:hAnsi="Times New Roman" w:eastAsia="宋体" w:cs="Times New Roman"/>
                      <w:i/>
                      <w:iCs/>
                      <w:color w:val="auto"/>
                      <w:lang w:eastAsia="zh-CN"/>
                    </w:rPr>
                    <w:t>++</w:t>
                  </w:r>
                </w:p>
              </w:tc>
            </w:tr>
            <w:tr w14:paraId="309535CC">
              <w:trPr>
                <w:trHeight w:val="193" w:hRule="atLeast"/>
                <w:jc w:val="center"/>
              </w:trPr>
              <w:tc>
                <w:tcPr>
                  <w:tcW w:w="788" w:type="dxa"/>
                  <w:tcBorders>
                    <w:left w:val="single" w:color="000000" w:sz="2" w:space="0"/>
                  </w:tcBorders>
                  <w:vAlign w:val="center"/>
                </w:tcPr>
                <w:p w14:paraId="246DCF1F">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2</w:t>
                  </w:r>
                </w:p>
              </w:tc>
              <w:tc>
                <w:tcPr>
                  <w:tcW w:w="1419" w:type="dxa"/>
                  <w:vAlign w:val="center"/>
                </w:tcPr>
                <w:p w14:paraId="23AF8E83">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快步麻蜥</w:t>
                  </w:r>
                </w:p>
              </w:tc>
              <w:tc>
                <w:tcPr>
                  <w:tcW w:w="3264" w:type="dxa"/>
                </w:tcPr>
                <w:p w14:paraId="20FAFE8D">
                  <w:pPr>
                    <w:kinsoku/>
                    <w:jc w:val="center"/>
                    <w:rPr>
                      <w:rFonts w:hint="default" w:ascii="Times New Roman" w:hAnsi="Times New Roman" w:eastAsia="宋体" w:cs="Times New Roman"/>
                      <w:i/>
                      <w:iCs/>
                      <w:color w:val="auto"/>
                    </w:rPr>
                  </w:pPr>
                  <w:r>
                    <w:rPr>
                      <w:rFonts w:hint="default" w:ascii="Times New Roman" w:hAnsi="Times New Roman" w:eastAsia="宋体" w:cs="Times New Roman"/>
                      <w:i/>
                      <w:iCs/>
                      <w:color w:val="auto"/>
                    </w:rPr>
                    <w:t>Eremias velox</w:t>
                  </w:r>
                </w:p>
              </w:tc>
              <w:tc>
                <w:tcPr>
                  <w:tcW w:w="1928" w:type="dxa"/>
                </w:tcPr>
                <w:p w14:paraId="58041B39">
                  <w:pPr>
                    <w:kinsoku/>
                    <w:jc w:val="center"/>
                    <w:rPr>
                      <w:rFonts w:hint="default" w:ascii="Times New Roman" w:hAnsi="Times New Roman" w:eastAsia="宋体" w:cs="Times New Roman"/>
                      <w:i/>
                      <w:iCs/>
                      <w:color w:val="auto"/>
                      <w:lang w:eastAsia="zh-CN"/>
                    </w:rPr>
                  </w:pPr>
                  <w:r>
                    <w:rPr>
                      <w:rFonts w:hint="default" w:ascii="Times New Roman" w:hAnsi="Times New Roman" w:eastAsia="宋体" w:cs="Times New Roman"/>
                      <w:i/>
                      <w:iCs/>
                      <w:color w:val="auto"/>
                      <w:lang w:eastAsia="zh-CN"/>
                    </w:rPr>
                    <w:t>+</w:t>
                  </w:r>
                </w:p>
              </w:tc>
            </w:tr>
            <w:tr w14:paraId="7A7B54CE">
              <w:trPr>
                <w:trHeight w:val="193" w:hRule="atLeast"/>
                <w:jc w:val="center"/>
              </w:trPr>
              <w:tc>
                <w:tcPr>
                  <w:tcW w:w="788" w:type="dxa"/>
                  <w:tcBorders>
                    <w:left w:val="single" w:color="000000" w:sz="2" w:space="0"/>
                  </w:tcBorders>
                  <w:vAlign w:val="center"/>
                </w:tcPr>
                <w:p w14:paraId="673D8FA6">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3</w:t>
                  </w:r>
                </w:p>
              </w:tc>
              <w:tc>
                <w:tcPr>
                  <w:tcW w:w="1419" w:type="dxa"/>
                  <w:vAlign w:val="center"/>
                </w:tcPr>
                <w:p w14:paraId="3FBCCA84">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小五趾跳鼠</w:t>
                  </w:r>
                </w:p>
              </w:tc>
              <w:tc>
                <w:tcPr>
                  <w:tcW w:w="3264" w:type="dxa"/>
                </w:tcPr>
                <w:p w14:paraId="48B2036B">
                  <w:pPr>
                    <w:kinsoku/>
                    <w:jc w:val="center"/>
                    <w:rPr>
                      <w:rFonts w:hint="default" w:ascii="Times New Roman" w:hAnsi="Times New Roman" w:eastAsia="宋体" w:cs="Times New Roman"/>
                      <w:i/>
                      <w:iCs/>
                      <w:color w:val="auto"/>
                    </w:rPr>
                  </w:pPr>
                  <w:r>
                    <w:rPr>
                      <w:rFonts w:hint="default" w:ascii="Times New Roman" w:hAnsi="Times New Roman" w:eastAsia="宋体" w:cs="Times New Roman"/>
                      <w:i/>
                      <w:iCs/>
                      <w:color w:val="auto"/>
                    </w:rPr>
                    <w:t>Scarturus elater</w:t>
                  </w:r>
                </w:p>
              </w:tc>
              <w:tc>
                <w:tcPr>
                  <w:tcW w:w="1928" w:type="dxa"/>
                </w:tcPr>
                <w:p w14:paraId="7039F510">
                  <w:pPr>
                    <w:kinsoku/>
                    <w:jc w:val="center"/>
                    <w:rPr>
                      <w:rFonts w:hint="default" w:ascii="Times New Roman" w:hAnsi="Times New Roman" w:eastAsia="宋体" w:cs="Times New Roman"/>
                      <w:i/>
                      <w:iCs/>
                      <w:color w:val="auto"/>
                      <w:lang w:eastAsia="zh-CN"/>
                    </w:rPr>
                  </w:pPr>
                  <w:r>
                    <w:rPr>
                      <w:rFonts w:hint="default" w:ascii="Times New Roman" w:hAnsi="Times New Roman" w:eastAsia="宋体" w:cs="Times New Roman"/>
                      <w:i/>
                      <w:iCs/>
                      <w:color w:val="auto"/>
                      <w:lang w:eastAsia="zh-CN"/>
                    </w:rPr>
                    <w:t>-</w:t>
                  </w:r>
                </w:p>
              </w:tc>
            </w:tr>
            <w:tr w14:paraId="343411A5">
              <w:trPr>
                <w:trHeight w:val="193" w:hRule="atLeast"/>
                <w:jc w:val="center"/>
              </w:trPr>
              <w:tc>
                <w:tcPr>
                  <w:tcW w:w="788" w:type="dxa"/>
                  <w:tcBorders>
                    <w:left w:val="single" w:color="000000" w:sz="2" w:space="0"/>
                  </w:tcBorders>
                  <w:vAlign w:val="center"/>
                </w:tcPr>
                <w:p w14:paraId="6871558D">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4</w:t>
                  </w:r>
                </w:p>
              </w:tc>
              <w:tc>
                <w:tcPr>
                  <w:tcW w:w="1419" w:type="dxa"/>
                  <w:vAlign w:val="center"/>
                </w:tcPr>
                <w:p w14:paraId="5EEBDFA8">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大沙鼠</w:t>
                  </w:r>
                </w:p>
              </w:tc>
              <w:tc>
                <w:tcPr>
                  <w:tcW w:w="3264" w:type="dxa"/>
                </w:tcPr>
                <w:p w14:paraId="19F01D48">
                  <w:pPr>
                    <w:kinsoku/>
                    <w:jc w:val="center"/>
                    <w:rPr>
                      <w:rFonts w:hint="default" w:ascii="Times New Roman" w:hAnsi="Times New Roman" w:eastAsia="宋体" w:cs="Times New Roman"/>
                      <w:i/>
                      <w:iCs/>
                      <w:color w:val="auto"/>
                    </w:rPr>
                  </w:pPr>
                  <w:r>
                    <w:rPr>
                      <w:rFonts w:hint="default" w:ascii="Times New Roman" w:hAnsi="Times New Roman" w:eastAsia="宋体" w:cs="Times New Roman"/>
                      <w:i/>
                      <w:iCs/>
                      <w:color w:val="auto"/>
                    </w:rPr>
                    <w:t>Rhombomys opimus</w:t>
                  </w:r>
                </w:p>
              </w:tc>
              <w:tc>
                <w:tcPr>
                  <w:tcW w:w="1928" w:type="dxa"/>
                </w:tcPr>
                <w:p w14:paraId="2BA00031">
                  <w:pPr>
                    <w:kinsoku/>
                    <w:jc w:val="center"/>
                    <w:rPr>
                      <w:rFonts w:hint="default" w:ascii="Times New Roman" w:hAnsi="Times New Roman" w:eastAsia="宋体" w:cs="Times New Roman"/>
                      <w:i/>
                      <w:iCs/>
                      <w:color w:val="auto"/>
                      <w:lang w:eastAsia="zh-CN"/>
                    </w:rPr>
                  </w:pPr>
                  <w:r>
                    <w:rPr>
                      <w:rFonts w:hint="default" w:ascii="Times New Roman" w:hAnsi="Times New Roman" w:eastAsia="宋体" w:cs="Times New Roman"/>
                      <w:i/>
                      <w:iCs/>
                      <w:color w:val="auto"/>
                      <w:lang w:eastAsia="zh-CN"/>
                    </w:rPr>
                    <w:t>-</w:t>
                  </w:r>
                </w:p>
              </w:tc>
            </w:tr>
            <w:tr w14:paraId="2508C0C9">
              <w:trPr>
                <w:trHeight w:val="193" w:hRule="atLeast"/>
                <w:jc w:val="center"/>
              </w:trPr>
              <w:tc>
                <w:tcPr>
                  <w:tcW w:w="788" w:type="dxa"/>
                  <w:tcBorders>
                    <w:left w:val="single" w:color="000000" w:sz="2" w:space="0"/>
                    <w:bottom w:val="single" w:color="000000" w:sz="10" w:space="0"/>
                  </w:tcBorders>
                  <w:vAlign w:val="center"/>
                </w:tcPr>
                <w:p w14:paraId="4C95C979">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5</w:t>
                  </w:r>
                </w:p>
              </w:tc>
              <w:tc>
                <w:tcPr>
                  <w:tcW w:w="1419" w:type="dxa"/>
                  <w:tcBorders>
                    <w:bottom w:val="single" w:color="000000" w:sz="10" w:space="0"/>
                  </w:tcBorders>
                  <w:vAlign w:val="center"/>
                </w:tcPr>
                <w:p w14:paraId="295EFB54">
                  <w:pPr>
                    <w:pStyle w:val="23"/>
                    <w:kinsoku/>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子午沙鼠</w:t>
                  </w:r>
                </w:p>
              </w:tc>
              <w:tc>
                <w:tcPr>
                  <w:tcW w:w="3264" w:type="dxa"/>
                  <w:tcBorders>
                    <w:bottom w:val="single" w:color="000000" w:sz="10" w:space="0"/>
                  </w:tcBorders>
                </w:tcPr>
                <w:p w14:paraId="3BDC8D39">
                  <w:pPr>
                    <w:kinsoku/>
                    <w:jc w:val="center"/>
                    <w:rPr>
                      <w:rFonts w:hint="default" w:ascii="Times New Roman" w:hAnsi="Times New Roman" w:eastAsia="宋体" w:cs="Times New Roman"/>
                      <w:i/>
                      <w:iCs/>
                      <w:color w:val="auto"/>
                    </w:rPr>
                  </w:pPr>
                  <w:r>
                    <w:rPr>
                      <w:rFonts w:hint="default" w:ascii="Times New Roman" w:hAnsi="Times New Roman" w:eastAsia="宋体" w:cs="Times New Roman"/>
                      <w:i/>
                      <w:iCs/>
                      <w:color w:val="auto"/>
                    </w:rPr>
                    <w:t>Meriones meridianus</w:t>
                  </w:r>
                </w:p>
              </w:tc>
              <w:tc>
                <w:tcPr>
                  <w:tcW w:w="1928" w:type="dxa"/>
                  <w:tcBorders>
                    <w:bottom w:val="single" w:color="000000" w:sz="10" w:space="0"/>
                  </w:tcBorders>
                </w:tcPr>
                <w:p w14:paraId="17229708">
                  <w:pPr>
                    <w:kinsoku/>
                    <w:jc w:val="center"/>
                    <w:rPr>
                      <w:rFonts w:hint="default" w:ascii="Times New Roman" w:hAnsi="Times New Roman" w:eastAsia="宋体" w:cs="Times New Roman"/>
                      <w:i/>
                      <w:iCs/>
                      <w:color w:val="auto"/>
                      <w:lang w:eastAsia="zh-CN"/>
                    </w:rPr>
                  </w:pPr>
                  <w:r>
                    <w:rPr>
                      <w:rFonts w:hint="default" w:ascii="Times New Roman" w:hAnsi="Times New Roman" w:eastAsia="宋体" w:cs="Times New Roman"/>
                      <w:i/>
                      <w:iCs/>
                      <w:color w:val="auto"/>
                      <w:lang w:eastAsia="zh-CN"/>
                    </w:rPr>
                    <w:t>-</w:t>
                  </w:r>
                </w:p>
              </w:tc>
            </w:tr>
          </w:tbl>
          <w:p w14:paraId="5BD89F4E">
            <w:pPr>
              <w:pStyle w:val="23"/>
              <w:kinsoku/>
              <w:spacing w:before="25" w:line="227" w:lineRule="auto"/>
              <w:ind w:left="3"/>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注：++多见，+少见，—偶见</w:t>
            </w:r>
          </w:p>
          <w:p w14:paraId="20646DB2">
            <w:pPr>
              <w:pStyle w:val="23"/>
              <w:kinsoku/>
              <w:spacing w:before="25" w:line="227"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715510" cy="3097530"/>
                  <wp:effectExtent l="0" t="0" r="8890" b="762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8"/>
                          <a:stretch>
                            <a:fillRect/>
                          </a:stretch>
                        </pic:blipFill>
                        <pic:spPr>
                          <a:xfrm>
                            <a:off x="0" y="0"/>
                            <a:ext cx="4715510" cy="3097530"/>
                          </a:xfrm>
                          <a:prstGeom prst="rect">
                            <a:avLst/>
                          </a:prstGeom>
                          <a:noFill/>
                          <a:ln>
                            <a:noFill/>
                          </a:ln>
                        </pic:spPr>
                      </pic:pic>
                    </a:graphicData>
                  </a:graphic>
                </wp:inline>
              </w:drawing>
            </w:r>
          </w:p>
          <w:p w14:paraId="47D110E4">
            <w:pPr>
              <w:pStyle w:val="23"/>
              <w:kinsoku/>
              <w:spacing w:before="25" w:line="227"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荒漠沙蜥</w:t>
            </w:r>
          </w:p>
          <w:p w14:paraId="7D4764FE">
            <w:pPr>
              <w:pStyle w:val="23"/>
              <w:kinsoku/>
              <w:spacing w:before="25" w:line="227"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4716145" cy="3096260"/>
                  <wp:effectExtent l="0" t="0" r="8255" b="8890"/>
                  <wp:docPr id="63" name="图片 63" descr="d86bca94e39b128980537c10cdaeb443"/>
                  <wp:cNvGraphicFramePr/>
                  <a:graphic xmlns:a="http://schemas.openxmlformats.org/drawingml/2006/main">
                    <a:graphicData uri="http://schemas.openxmlformats.org/drawingml/2006/picture">
                      <pic:pic xmlns:pic="http://schemas.openxmlformats.org/drawingml/2006/picture">
                        <pic:nvPicPr>
                          <pic:cNvPr id="63" name="图片 63" descr="d86bca94e39b128980537c10cdaeb443"/>
                          <pic:cNvPicPr/>
                        </pic:nvPicPr>
                        <pic:blipFill>
                          <a:blip r:embed="rId19"/>
                          <a:stretch>
                            <a:fillRect/>
                          </a:stretch>
                        </pic:blipFill>
                        <pic:spPr>
                          <a:xfrm>
                            <a:off x="0" y="0"/>
                            <a:ext cx="4716145" cy="3096260"/>
                          </a:xfrm>
                          <a:prstGeom prst="rect">
                            <a:avLst/>
                          </a:prstGeom>
                        </pic:spPr>
                      </pic:pic>
                    </a:graphicData>
                  </a:graphic>
                </wp:inline>
              </w:drawing>
            </w:r>
          </w:p>
          <w:p w14:paraId="2EA80747">
            <w:pPr>
              <w:pStyle w:val="23"/>
              <w:kinsoku/>
              <w:spacing w:before="25" w:line="227"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快步麻蜥</w:t>
            </w:r>
          </w:p>
          <w:p w14:paraId="3A81E2C1">
            <w:pPr>
              <w:pStyle w:val="23"/>
              <w:kinsoku/>
              <w:spacing w:before="30" w:line="360" w:lineRule="auto"/>
              <w:rPr>
                <w:rFonts w:hint="default" w:ascii="Times New Roman" w:hAnsi="Times New Roman" w:eastAsia="宋体" w:cs="Times New Roman"/>
                <w:color w:val="auto"/>
                <w:sz w:val="24"/>
                <w:szCs w:val="24"/>
                <w:lang w:eastAsia="zh-CN"/>
              </w:rPr>
            </w:pPr>
            <w:r>
              <w:rPr>
                <w:rFonts w:hint="eastAsia" w:ascii="Times New Roman" w:hAnsi="Times New Roman" w:cs="Times New Roman"/>
                <w:b/>
                <w:bCs/>
                <w:color w:val="auto"/>
                <w:spacing w:val="-2"/>
                <w:sz w:val="24"/>
                <w:szCs w:val="24"/>
                <w:lang w:val="en-US" w:eastAsia="zh-CN"/>
              </w:rPr>
              <w:t>3</w:t>
            </w:r>
            <w:r>
              <w:rPr>
                <w:rFonts w:hint="default" w:ascii="Times New Roman" w:hAnsi="Times New Roman" w:eastAsia="宋体" w:cs="Times New Roman"/>
                <w:b/>
                <w:bCs/>
                <w:color w:val="auto"/>
                <w:spacing w:val="-2"/>
                <w:sz w:val="24"/>
                <w:szCs w:val="24"/>
                <w:lang w:eastAsia="zh-CN"/>
              </w:rPr>
              <w:t>.3土地利用类型</w:t>
            </w:r>
          </w:p>
          <w:p w14:paraId="23E4DD7B">
            <w:pPr>
              <w:pStyle w:val="23"/>
              <w:kinsoku/>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根据建设单位提供的土地利用类型资料可知，并参照《土地利用现状分类》（GB/T21010-2017），以确定本工程区域的土地利用类型。本项目占地类型主要为</w:t>
            </w:r>
            <w:r>
              <w:rPr>
                <w:rFonts w:hint="eastAsia" w:ascii="Times New Roman" w:hAnsi="Times New Roman" w:cs="Times New Roman"/>
                <w:color w:val="auto"/>
                <w:sz w:val="24"/>
                <w:szCs w:val="24"/>
                <w:lang w:val="en-US" w:eastAsia="zh-CN"/>
              </w:rPr>
              <w:t>灌木林地和沟渠</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本项目土地利用类型图见附图7。</w:t>
            </w:r>
          </w:p>
          <w:p w14:paraId="1E118995">
            <w:pPr>
              <w:pStyle w:val="23"/>
              <w:kinsoku/>
              <w:spacing w:line="360" w:lineRule="auto"/>
              <w:jc w:val="both"/>
              <w:rPr>
                <w:rFonts w:hint="default" w:ascii="Times New Roman" w:hAnsi="Times New Roman" w:eastAsia="宋体"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.4土地沙化现状</w:t>
            </w:r>
          </w:p>
          <w:p w14:paraId="21D7E110">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按照《中华人民共和国防沙治沙法》（2018年10月26日修订）有关规定、《新疆第六次沙化监测报告》以及《关于加强沙区建设项目环境影响评价工作的通知》（新环环评发〔2020〕138号）文件，在沙化土地范围内从事开发建设活动的，必须事先就该项目可能对当地及相关地区生态产生的影响进行环境影响评价，依法提交环境影响报告；环境影响报告应当包括有关防沙治沙的内容。</w:t>
            </w:r>
          </w:p>
          <w:p w14:paraId="71E1E4AC">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（1）项目区沙化土地现状及防沙治沙工作情况</w:t>
            </w:r>
          </w:p>
          <w:p w14:paraId="020E8DBA">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新疆第六次沙化监测报告》，新疆国土总面积为16648.97万公顷，本次沙化监测区面积为15689.13万公顷，沙化监测区分布在14个地州市，88个县市（区）、10个自治区直辖市共98个行政区域。监测结果显示：沙化土地面积7468.21万公顷，占监测区总面积47.60%，具有明显沙化趋势的土地面积437.96万公顷，占监测区总面积2.79%，非沙化土地面积7782.95万公顷，占监测区总面积49.61%。古尔班通古特沙漠面积48695k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，占全疆沙漠的11.05%；沙漠中的沙化土地面积449.44万hm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，其中：流动沙地3.57万hm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，半固定沙地96.92万hm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，固定沙地344.54万hm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，沙化耕地4.41万hm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w:t>
            </w:r>
          </w:p>
          <w:p w14:paraId="035FDA23">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本项目位于昌吉州</w:t>
            </w:r>
            <w:r>
              <w:rPr>
                <w:rFonts w:hint="eastAsia" w:ascii="Times New Roman" w:hAnsi="Times New Roman" w:cs="Times New Roman"/>
                <w:color w:val="auto"/>
                <w:sz w:val="24"/>
                <w:szCs w:val="24"/>
                <w:lang w:val="en-US" w:eastAsia="zh-CN"/>
              </w:rPr>
              <w:t>阜康市</w:t>
            </w:r>
            <w:r>
              <w:rPr>
                <w:rFonts w:hint="default" w:ascii="Times New Roman" w:hAnsi="Times New Roman" w:eastAsia="宋体" w:cs="Times New Roman"/>
                <w:color w:val="auto"/>
                <w:sz w:val="24"/>
                <w:szCs w:val="24"/>
                <w:lang w:eastAsia="zh-CN"/>
              </w:rPr>
              <w:t>境内，位于古尔班通古特沙漠的准噶尔盆地的南部，不属于沙漠区域以及沙化土地。土地沙化现状见附图</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p>
          <w:p w14:paraId="0F4021B9">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（2）项目实施过程中对周边沙化土地的影响</w:t>
            </w:r>
          </w:p>
          <w:p w14:paraId="2A5A78BC">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根据《土地利用现状分类》本项目临时占地</w:t>
            </w:r>
            <w:r>
              <w:rPr>
                <w:rFonts w:hint="eastAsia" w:ascii="Times New Roman" w:hAnsi="Times New Roman" w:cs="Times New Roman"/>
                <w:color w:val="auto"/>
                <w:sz w:val="24"/>
                <w:szCs w:val="24"/>
                <w:lang w:val="en-US" w:eastAsia="zh-CN"/>
              </w:rPr>
              <w:t>主要</w:t>
            </w:r>
            <w:r>
              <w:rPr>
                <w:rFonts w:hint="default" w:ascii="Times New Roman" w:hAnsi="Times New Roman" w:eastAsia="宋体" w:cs="Times New Roman"/>
                <w:color w:val="auto"/>
                <w:sz w:val="24"/>
                <w:szCs w:val="24"/>
                <w:lang w:eastAsia="zh-CN"/>
              </w:rPr>
              <w:t>为</w:t>
            </w:r>
            <w:r>
              <w:rPr>
                <w:rFonts w:hint="eastAsia" w:ascii="Times New Roman" w:hAnsi="Times New Roman" w:cs="Times New Roman"/>
                <w:color w:val="auto"/>
                <w:sz w:val="24"/>
                <w:szCs w:val="24"/>
                <w:lang w:val="en-US" w:eastAsia="zh-CN"/>
              </w:rPr>
              <w:t>灌木林地和沟渠</w:t>
            </w:r>
            <w:r>
              <w:rPr>
                <w:rFonts w:hint="default" w:ascii="Times New Roman" w:hAnsi="Times New Roman" w:eastAsia="宋体" w:cs="Times New Roman"/>
                <w:color w:val="auto"/>
                <w:sz w:val="24"/>
                <w:szCs w:val="24"/>
                <w:lang w:eastAsia="zh-CN"/>
              </w:rPr>
              <w:t>，项目临时占地不占用基本农田，存在土地沙化的潜在危害，拟建工程占地范围不涉及已建设的防沙治沙设施。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废渣遇大风天气易产生严重的扬尘，形成沙尘天气。</w:t>
            </w:r>
          </w:p>
          <w:p w14:paraId="6BD69A46">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（3）可能造成的土地沙化和沙尘等生态危害。</w:t>
            </w:r>
          </w:p>
          <w:p w14:paraId="22E96D0D">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在施工期土地开挖过程中，若未采取分层开挖、分层回填措施，可能导致土壤的蓄水保肥能力降低，影响区域植被生长，造成土壤逐渐沙化。此外，在施工过程中，各种车辆（尤其是重型卡车）在荒漠上行驶将使经过的土壤变紧实，严重的经过多次碾压后植物很难再生长，甚至退化为沙地。</w:t>
            </w:r>
          </w:p>
          <w:p w14:paraId="70094018">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上述施工作业过程中，对原地貌的扰动大大降低了项目占地范围内的土壤抗侵蚀能力，若未采取相应的防护措施，遇大风极易加重区域沙尘天气。</w:t>
            </w:r>
          </w:p>
          <w:p w14:paraId="2DECD7A6">
            <w:pPr>
              <w:pStyle w:val="23"/>
              <w:kinsoku/>
              <w:spacing w:line="360" w:lineRule="auto"/>
              <w:jc w:val="both"/>
              <w:rPr>
                <w:rFonts w:hint="default" w:ascii="Times New Roman" w:hAnsi="Times New Roman" w:eastAsia="宋体"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.5水土流失现状</w:t>
            </w:r>
          </w:p>
          <w:p w14:paraId="7219C9C0">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位于新疆维吾尔自治区昌吉回族自治州，根据《关于划分国家级水土流失重点防治区的公告》《全国水土保持规划国家级水土流失重点预防区和重点治理区复核划分成果》（办水保〔2013〕188号），项目区属于“天山北坡国家级水土流失重点预防区”。</w:t>
            </w:r>
          </w:p>
          <w:p w14:paraId="625DD1C5">
            <w:pPr>
              <w:pStyle w:val="23"/>
              <w:kinsoku/>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1"/>
                <w:szCs w:val="21"/>
                <w:lang w:eastAsia="zh-CN"/>
              </w:rPr>
              <w:t>表3-</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eastAsia="zh-CN"/>
              </w:rPr>
              <w:t xml:space="preserve"> 项目区域在国家级水土流失区划中情况</w:t>
            </w:r>
          </w:p>
          <w:tbl>
            <w:tblPr>
              <w:tblStyle w:val="22"/>
              <w:tblW w:w="79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2727"/>
              <w:gridCol w:w="3252"/>
            </w:tblGrid>
            <w:tr w14:paraId="45D45AE3">
              <w:trPr>
                <w:trHeight w:val="193" w:hRule="atLeast"/>
                <w:jc w:val="center"/>
              </w:trPr>
              <w:tc>
                <w:tcPr>
                  <w:tcW w:w="1979" w:type="dxa"/>
                  <w:vAlign w:val="center"/>
                </w:tcPr>
                <w:p w14:paraId="444558B2">
                  <w:pPr>
                    <w:pStyle w:val="23"/>
                    <w:kinsoku/>
                    <w:spacing w:before="42" w:line="234"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7"/>
                      <w:sz w:val="21"/>
                      <w:szCs w:val="21"/>
                      <w:lang w:eastAsia="zh-CN"/>
                    </w:rPr>
                    <w:t>涉及水土流失区划</w:t>
                  </w:r>
                  <w:r>
                    <w:rPr>
                      <w:rFonts w:hint="default" w:ascii="Times New Roman" w:hAnsi="Times New Roman" w:eastAsia="宋体" w:cs="Times New Roman"/>
                      <w:b/>
                      <w:bCs/>
                      <w:color w:val="auto"/>
                      <w:spacing w:val="3"/>
                      <w:sz w:val="21"/>
                      <w:szCs w:val="21"/>
                      <w:lang w:eastAsia="zh-CN"/>
                    </w:rPr>
                    <w:t>的行政区域</w:t>
                  </w:r>
                </w:p>
              </w:tc>
              <w:tc>
                <w:tcPr>
                  <w:tcW w:w="2727" w:type="dxa"/>
                  <w:vAlign w:val="center"/>
                </w:tcPr>
                <w:p w14:paraId="33686E3F">
                  <w:pPr>
                    <w:pStyle w:val="23"/>
                    <w:kinsoku/>
                    <w:spacing w:before="175"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大类</w:t>
                  </w:r>
                </w:p>
              </w:tc>
              <w:tc>
                <w:tcPr>
                  <w:tcW w:w="3252" w:type="dxa"/>
                  <w:tcBorders>
                    <w:right w:val="single" w:color="000000" w:sz="4" w:space="0"/>
                  </w:tcBorders>
                  <w:vAlign w:val="center"/>
                </w:tcPr>
                <w:p w14:paraId="485A2899">
                  <w:pPr>
                    <w:pStyle w:val="23"/>
                    <w:kinsoku/>
                    <w:spacing w:before="175" w:line="23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区名称</w:t>
                  </w:r>
                </w:p>
              </w:tc>
            </w:tr>
            <w:tr w14:paraId="48441111">
              <w:trPr>
                <w:trHeight w:val="193" w:hRule="atLeast"/>
                <w:jc w:val="center"/>
              </w:trPr>
              <w:tc>
                <w:tcPr>
                  <w:tcW w:w="1979" w:type="dxa"/>
                  <w:vAlign w:val="center"/>
                </w:tcPr>
                <w:p w14:paraId="7EAF801E">
                  <w:pPr>
                    <w:pStyle w:val="23"/>
                    <w:kinsoku/>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7"/>
                      <w:sz w:val="21"/>
                      <w:szCs w:val="21"/>
                      <w:lang w:eastAsia="zh-CN"/>
                    </w:rPr>
                    <w:t>阜康市</w:t>
                  </w:r>
                </w:p>
              </w:tc>
              <w:tc>
                <w:tcPr>
                  <w:tcW w:w="2727" w:type="dxa"/>
                  <w:vAlign w:val="center"/>
                </w:tcPr>
                <w:p w14:paraId="2DD2EDF2">
                  <w:pPr>
                    <w:pStyle w:val="23"/>
                    <w:kinsoku/>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7"/>
                      <w:sz w:val="21"/>
                      <w:szCs w:val="21"/>
                      <w:lang w:eastAsia="zh-CN"/>
                    </w:rPr>
                    <w:t>国家级水土流失重点预防区</w:t>
                  </w:r>
                </w:p>
              </w:tc>
              <w:tc>
                <w:tcPr>
                  <w:tcW w:w="3252" w:type="dxa"/>
                  <w:tcBorders>
                    <w:right w:val="single" w:color="000000" w:sz="4" w:space="0"/>
                  </w:tcBorders>
                  <w:vAlign w:val="center"/>
                </w:tcPr>
                <w:p w14:paraId="0FFF17E3">
                  <w:pPr>
                    <w:pStyle w:val="23"/>
                    <w:kinsoku/>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8"/>
                      <w:sz w:val="21"/>
                      <w:szCs w:val="21"/>
                      <w:lang w:eastAsia="zh-CN"/>
                    </w:rPr>
                    <w:t>天山北坡国家级水土流失重点预</w:t>
                  </w:r>
                  <w:r>
                    <w:rPr>
                      <w:rFonts w:hint="default" w:ascii="Times New Roman" w:hAnsi="Times New Roman" w:eastAsia="宋体" w:cs="Times New Roman"/>
                      <w:color w:val="auto"/>
                      <w:spacing w:val="-2"/>
                      <w:sz w:val="21"/>
                      <w:szCs w:val="21"/>
                      <w:lang w:eastAsia="zh-CN"/>
                    </w:rPr>
                    <w:t>防区</w:t>
                  </w:r>
                </w:p>
              </w:tc>
            </w:tr>
          </w:tbl>
          <w:p w14:paraId="764F9C74">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根据《关于印发新疆自治区级水土流失重点预防区和重点治理区复核划分成果的通知》（新水水保〔2019〕4号）：全疆共划分了2个自治区级重点预防区，4个自治区级重点治理区</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本项目属于天山北坡诸小河流域重点治理区</w:t>
            </w:r>
            <w:r>
              <w:rPr>
                <w:rFonts w:hint="default" w:ascii="Times New Roman" w:hAnsi="Times New Roman" w:eastAsia="宋体" w:cs="Times New Roman"/>
                <w:color w:val="auto"/>
                <w:sz w:val="24"/>
                <w:szCs w:val="24"/>
                <w:lang w:eastAsia="zh-CN"/>
              </w:rPr>
              <w:t>。依据《昌吉州水土流失重点预防区和重点治理区划分成果》及《昌吉回族自治州两区划分图 》可知，本项目不在昌吉回族自治州两区划分的水土流失预防区和治理区。水土保持区划见附图</w:t>
            </w:r>
            <w:r>
              <w:rPr>
                <w:rFonts w:hint="eastAsia"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lang w:eastAsia="zh-CN"/>
              </w:rPr>
              <w:t>。</w:t>
            </w:r>
          </w:p>
          <w:p w14:paraId="673201D4">
            <w:pPr>
              <w:pStyle w:val="23"/>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本项目环评提出，按照水土保持方案的要求，严格执行各项水土保持措施。</w:t>
            </w:r>
          </w:p>
          <w:p w14:paraId="047D0D3E">
            <w:pPr>
              <w:pStyle w:val="23"/>
              <w:kinsoku/>
              <w:spacing w:line="360" w:lineRule="auto"/>
              <w:jc w:val="both"/>
              <w:rPr>
                <w:rFonts w:hint="default" w:ascii="Times New Roman" w:hAnsi="Times New Roman" w:eastAsia="宋体" w:cs="Times New Roman"/>
                <w:b/>
                <w:bCs/>
                <w:color w:val="auto"/>
                <w:sz w:val="24"/>
                <w:szCs w:val="24"/>
                <w:lang w:eastAsia="zh-CN"/>
              </w:rPr>
            </w:pPr>
            <w:r>
              <w:rPr>
                <w:rFonts w:hint="eastAsia"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lang w:eastAsia="zh-CN"/>
              </w:rPr>
              <w:t>.环境空气质量现状调查及评价</w:t>
            </w:r>
          </w:p>
          <w:p w14:paraId="4C71B43A">
            <w:pPr>
              <w:pStyle w:val="23"/>
              <w:kinsoku/>
              <w:spacing w:before="38" w:line="356" w:lineRule="auto"/>
              <w:rPr>
                <w:rFonts w:hint="default" w:ascii="Times New Roman" w:hAnsi="Times New Roman" w:eastAsia="宋体" w:cs="Times New Roman"/>
                <w:b/>
                <w:bCs/>
                <w:color w:val="auto"/>
                <w:spacing w:val="-2"/>
                <w:sz w:val="24"/>
                <w:szCs w:val="24"/>
                <w:lang w:eastAsia="zh-CN"/>
              </w:rPr>
            </w:pPr>
            <w:r>
              <w:rPr>
                <w:rFonts w:hint="eastAsia" w:ascii="Times New Roman" w:hAnsi="Times New Roman" w:cs="Times New Roman"/>
                <w:b/>
                <w:bCs/>
                <w:color w:val="auto"/>
                <w:spacing w:val="-2"/>
                <w:sz w:val="24"/>
                <w:szCs w:val="24"/>
                <w:lang w:val="en-US" w:eastAsia="zh-CN"/>
              </w:rPr>
              <w:t>4</w:t>
            </w:r>
            <w:r>
              <w:rPr>
                <w:rFonts w:hint="default" w:ascii="Times New Roman" w:hAnsi="Times New Roman" w:eastAsia="宋体" w:cs="Times New Roman"/>
                <w:b/>
                <w:bCs/>
                <w:color w:val="auto"/>
                <w:spacing w:val="-2"/>
                <w:sz w:val="24"/>
                <w:szCs w:val="24"/>
                <w:lang w:eastAsia="zh-CN"/>
              </w:rPr>
              <w:t>.1数据来源</w:t>
            </w:r>
          </w:p>
          <w:p w14:paraId="411BF175">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根据《环境影响评价技术导则大气环境》（HJ2.2-2018）对环境质量现状数据的要求，本项目基本污染物环境质量现状评价采用环境空气质量模型空气质量数据，作为本项目环境空气现状评价基本污染物SO</w:t>
            </w:r>
            <w:r>
              <w:rPr>
                <w:rFonts w:hint="default" w:ascii="Times New Roman" w:hAnsi="Times New Roman" w:eastAsia="宋体" w:cs="Times New Roman"/>
                <w:color w:val="auto"/>
                <w:spacing w:val="-2"/>
                <w:sz w:val="24"/>
                <w:szCs w:val="24"/>
                <w:vertAlign w:val="subscript"/>
                <w:lang w:eastAsia="zh-CN"/>
              </w:rPr>
              <w:t>2</w:t>
            </w:r>
            <w:r>
              <w:rPr>
                <w:rFonts w:hint="default" w:ascii="Times New Roman" w:hAnsi="Times New Roman" w:eastAsia="宋体" w:cs="Times New Roman"/>
                <w:color w:val="auto"/>
                <w:spacing w:val="-2"/>
                <w:sz w:val="24"/>
                <w:szCs w:val="24"/>
                <w:lang w:eastAsia="zh-CN"/>
              </w:rPr>
              <w:t>、NO</w:t>
            </w:r>
            <w:r>
              <w:rPr>
                <w:rFonts w:hint="default" w:ascii="Times New Roman" w:hAnsi="Times New Roman" w:eastAsia="宋体" w:cs="Times New Roman"/>
                <w:color w:val="auto"/>
                <w:spacing w:val="-2"/>
                <w:sz w:val="24"/>
                <w:szCs w:val="24"/>
                <w:vertAlign w:val="subscript"/>
                <w:lang w:eastAsia="zh-CN"/>
              </w:rPr>
              <w:t>2</w:t>
            </w:r>
            <w:r>
              <w:rPr>
                <w:rFonts w:hint="default" w:ascii="Times New Roman" w:hAnsi="Times New Roman" w:eastAsia="宋体" w:cs="Times New Roman"/>
                <w:color w:val="auto"/>
                <w:spacing w:val="-2"/>
                <w:sz w:val="24"/>
                <w:szCs w:val="24"/>
                <w:lang w:eastAsia="zh-CN"/>
              </w:rPr>
              <w:t>、PM</w:t>
            </w:r>
            <w:r>
              <w:rPr>
                <w:rFonts w:hint="default" w:ascii="Times New Roman" w:hAnsi="Times New Roman" w:eastAsia="宋体" w:cs="Times New Roman"/>
                <w:color w:val="auto"/>
                <w:spacing w:val="-2"/>
                <w:sz w:val="24"/>
                <w:szCs w:val="24"/>
                <w:vertAlign w:val="subscript"/>
                <w:lang w:eastAsia="zh-CN"/>
              </w:rPr>
              <w:t>10</w:t>
            </w:r>
            <w:r>
              <w:rPr>
                <w:rFonts w:hint="default" w:ascii="Times New Roman" w:hAnsi="Times New Roman" w:eastAsia="宋体" w:cs="Times New Roman"/>
                <w:color w:val="auto"/>
                <w:spacing w:val="-2"/>
                <w:sz w:val="24"/>
                <w:szCs w:val="24"/>
                <w:lang w:eastAsia="zh-CN"/>
              </w:rPr>
              <w:t>、PM</w:t>
            </w:r>
            <w:r>
              <w:rPr>
                <w:rFonts w:hint="default" w:ascii="Times New Roman" w:hAnsi="Times New Roman" w:eastAsia="宋体" w:cs="Times New Roman"/>
                <w:color w:val="auto"/>
                <w:spacing w:val="-2"/>
                <w:sz w:val="24"/>
                <w:szCs w:val="24"/>
                <w:vertAlign w:val="subscript"/>
                <w:lang w:eastAsia="zh-CN"/>
              </w:rPr>
              <w:t>2.5</w:t>
            </w:r>
            <w:r>
              <w:rPr>
                <w:rFonts w:hint="default" w:ascii="Times New Roman" w:hAnsi="Times New Roman" w:eastAsia="宋体" w:cs="Times New Roman"/>
                <w:color w:val="auto"/>
                <w:spacing w:val="-2"/>
                <w:sz w:val="24"/>
                <w:szCs w:val="24"/>
                <w:lang w:eastAsia="zh-CN"/>
              </w:rPr>
              <w:t>、CO和O</w:t>
            </w:r>
            <w:r>
              <w:rPr>
                <w:rFonts w:hint="default" w:ascii="Times New Roman" w:hAnsi="Times New Roman" w:eastAsia="宋体" w:cs="Times New Roman"/>
                <w:color w:val="auto"/>
                <w:spacing w:val="-2"/>
                <w:sz w:val="24"/>
                <w:szCs w:val="24"/>
                <w:vertAlign w:val="subscript"/>
                <w:lang w:eastAsia="zh-CN"/>
              </w:rPr>
              <w:t>3</w:t>
            </w:r>
            <w:r>
              <w:rPr>
                <w:rFonts w:hint="default" w:ascii="Times New Roman" w:hAnsi="Times New Roman" w:eastAsia="宋体" w:cs="Times New Roman"/>
                <w:color w:val="auto"/>
                <w:spacing w:val="-2"/>
                <w:sz w:val="24"/>
                <w:szCs w:val="24"/>
                <w:lang w:eastAsia="zh-CN"/>
              </w:rPr>
              <w:t>的数据来源。</w:t>
            </w:r>
          </w:p>
          <w:p w14:paraId="680AEDEB">
            <w:pPr>
              <w:pStyle w:val="23"/>
              <w:kinsoku/>
              <w:spacing w:before="38" w:line="356" w:lineRule="auto"/>
              <w:rPr>
                <w:rFonts w:hint="default" w:ascii="Times New Roman" w:hAnsi="Times New Roman" w:eastAsia="宋体" w:cs="Times New Roman"/>
                <w:b/>
                <w:bCs/>
                <w:color w:val="auto"/>
                <w:spacing w:val="-2"/>
                <w:sz w:val="24"/>
                <w:szCs w:val="24"/>
                <w:lang w:eastAsia="zh-CN"/>
              </w:rPr>
            </w:pPr>
            <w:r>
              <w:rPr>
                <w:rFonts w:hint="eastAsia" w:ascii="Times New Roman" w:hAnsi="Times New Roman" w:cs="Times New Roman"/>
                <w:b/>
                <w:bCs/>
                <w:color w:val="auto"/>
                <w:spacing w:val="-2"/>
                <w:sz w:val="24"/>
                <w:szCs w:val="24"/>
                <w:lang w:val="en-US" w:eastAsia="zh-CN"/>
              </w:rPr>
              <w:t>4</w:t>
            </w:r>
            <w:r>
              <w:rPr>
                <w:rFonts w:hint="default" w:ascii="Times New Roman" w:hAnsi="Times New Roman" w:eastAsia="宋体" w:cs="Times New Roman"/>
                <w:b/>
                <w:bCs/>
                <w:color w:val="auto"/>
                <w:spacing w:val="-2"/>
                <w:sz w:val="24"/>
                <w:szCs w:val="24"/>
                <w:lang w:eastAsia="zh-CN"/>
              </w:rPr>
              <w:t>.2评价标准</w:t>
            </w:r>
          </w:p>
          <w:p w14:paraId="0656371A">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基本污染物SO</w:t>
            </w:r>
            <w:r>
              <w:rPr>
                <w:rFonts w:hint="default" w:ascii="Times New Roman" w:hAnsi="Times New Roman" w:eastAsia="宋体" w:cs="Times New Roman"/>
                <w:color w:val="auto"/>
                <w:spacing w:val="-2"/>
                <w:sz w:val="24"/>
                <w:szCs w:val="24"/>
                <w:vertAlign w:val="subscript"/>
                <w:lang w:eastAsia="zh-CN"/>
              </w:rPr>
              <w:t>2</w:t>
            </w:r>
            <w:r>
              <w:rPr>
                <w:rFonts w:hint="default" w:ascii="Times New Roman" w:hAnsi="Times New Roman" w:eastAsia="宋体" w:cs="Times New Roman"/>
                <w:color w:val="auto"/>
                <w:spacing w:val="-2"/>
                <w:sz w:val="24"/>
                <w:szCs w:val="24"/>
                <w:lang w:eastAsia="zh-CN"/>
              </w:rPr>
              <w:t>、NO</w:t>
            </w:r>
            <w:r>
              <w:rPr>
                <w:rFonts w:hint="default" w:ascii="Times New Roman" w:hAnsi="Times New Roman" w:eastAsia="宋体" w:cs="Times New Roman"/>
                <w:color w:val="auto"/>
                <w:spacing w:val="-2"/>
                <w:sz w:val="24"/>
                <w:szCs w:val="24"/>
                <w:vertAlign w:val="subscript"/>
                <w:lang w:eastAsia="zh-CN"/>
              </w:rPr>
              <w:t>2</w:t>
            </w:r>
            <w:r>
              <w:rPr>
                <w:rFonts w:hint="default" w:ascii="Times New Roman" w:hAnsi="Times New Roman" w:eastAsia="宋体" w:cs="Times New Roman"/>
                <w:color w:val="auto"/>
                <w:spacing w:val="-2"/>
                <w:sz w:val="24"/>
                <w:szCs w:val="24"/>
                <w:lang w:eastAsia="zh-CN"/>
              </w:rPr>
              <w:t>、PM</w:t>
            </w:r>
            <w:r>
              <w:rPr>
                <w:rFonts w:hint="default" w:ascii="Times New Roman" w:hAnsi="Times New Roman" w:eastAsia="宋体" w:cs="Times New Roman"/>
                <w:color w:val="auto"/>
                <w:spacing w:val="-2"/>
                <w:sz w:val="24"/>
                <w:szCs w:val="24"/>
                <w:vertAlign w:val="subscript"/>
                <w:lang w:eastAsia="zh-CN"/>
              </w:rPr>
              <w:t>10</w:t>
            </w:r>
            <w:r>
              <w:rPr>
                <w:rFonts w:hint="default" w:ascii="Times New Roman" w:hAnsi="Times New Roman" w:eastAsia="宋体" w:cs="Times New Roman"/>
                <w:color w:val="auto"/>
                <w:spacing w:val="-2"/>
                <w:sz w:val="24"/>
                <w:szCs w:val="24"/>
                <w:lang w:eastAsia="zh-CN"/>
              </w:rPr>
              <w:t>、PM</w:t>
            </w:r>
            <w:r>
              <w:rPr>
                <w:rFonts w:hint="default" w:ascii="Times New Roman" w:hAnsi="Times New Roman" w:eastAsia="宋体" w:cs="Times New Roman"/>
                <w:color w:val="auto"/>
                <w:spacing w:val="-2"/>
                <w:sz w:val="24"/>
                <w:szCs w:val="24"/>
                <w:vertAlign w:val="subscript"/>
                <w:lang w:eastAsia="zh-CN"/>
              </w:rPr>
              <w:t>2.5</w:t>
            </w:r>
            <w:r>
              <w:rPr>
                <w:rFonts w:hint="default" w:ascii="Times New Roman" w:hAnsi="Times New Roman" w:eastAsia="宋体" w:cs="Times New Roman"/>
                <w:color w:val="auto"/>
                <w:spacing w:val="-2"/>
                <w:sz w:val="24"/>
                <w:szCs w:val="24"/>
                <w:lang w:eastAsia="zh-CN"/>
              </w:rPr>
              <w:t>、CO和O</w:t>
            </w:r>
            <w:r>
              <w:rPr>
                <w:rFonts w:hint="default" w:ascii="Times New Roman" w:hAnsi="Times New Roman" w:eastAsia="宋体" w:cs="Times New Roman"/>
                <w:color w:val="auto"/>
                <w:spacing w:val="-2"/>
                <w:sz w:val="24"/>
                <w:szCs w:val="24"/>
                <w:vertAlign w:val="subscript"/>
                <w:lang w:eastAsia="zh-CN"/>
              </w:rPr>
              <w:t>3</w:t>
            </w:r>
            <w:r>
              <w:rPr>
                <w:rFonts w:hint="default" w:ascii="Times New Roman" w:hAnsi="Times New Roman" w:eastAsia="宋体" w:cs="Times New Roman"/>
                <w:color w:val="auto"/>
                <w:spacing w:val="-2"/>
                <w:sz w:val="24"/>
                <w:szCs w:val="24"/>
                <w:lang w:eastAsia="zh-CN"/>
              </w:rPr>
              <w:t>执行《环境空气质量标准》（GB3095-20</w:t>
            </w:r>
            <w:r>
              <w:rPr>
                <w:rFonts w:hint="eastAsia" w:ascii="Times New Roman" w:hAnsi="Times New Roman" w:cs="Times New Roman"/>
                <w:color w:val="auto"/>
                <w:spacing w:val="-2"/>
                <w:sz w:val="24"/>
                <w:szCs w:val="24"/>
                <w:lang w:val="en-US" w:eastAsia="zh-CN"/>
              </w:rPr>
              <w:t>26</w:t>
            </w:r>
            <w:r>
              <w:rPr>
                <w:rFonts w:hint="default" w:ascii="Times New Roman" w:hAnsi="Times New Roman" w:eastAsia="宋体" w:cs="Times New Roman"/>
                <w:color w:val="auto"/>
                <w:spacing w:val="-2"/>
                <w:sz w:val="24"/>
                <w:szCs w:val="24"/>
                <w:lang w:eastAsia="zh-CN"/>
              </w:rPr>
              <w:t>）中的二级标准。</w:t>
            </w:r>
          </w:p>
          <w:p w14:paraId="348C950C">
            <w:pPr>
              <w:pStyle w:val="23"/>
              <w:kinsoku/>
              <w:spacing w:before="38" w:line="356" w:lineRule="auto"/>
              <w:rPr>
                <w:rFonts w:hint="default" w:ascii="Times New Roman" w:hAnsi="Times New Roman" w:eastAsia="宋体" w:cs="Times New Roman"/>
                <w:b/>
                <w:bCs/>
                <w:color w:val="auto"/>
                <w:spacing w:val="-2"/>
                <w:sz w:val="24"/>
                <w:szCs w:val="24"/>
                <w:lang w:eastAsia="zh-CN"/>
              </w:rPr>
            </w:pPr>
            <w:r>
              <w:rPr>
                <w:rFonts w:hint="eastAsia" w:ascii="Times New Roman" w:hAnsi="Times New Roman" w:cs="Times New Roman"/>
                <w:b/>
                <w:bCs/>
                <w:color w:val="auto"/>
                <w:spacing w:val="-2"/>
                <w:sz w:val="24"/>
                <w:szCs w:val="24"/>
                <w:lang w:val="en-US" w:eastAsia="zh-CN"/>
              </w:rPr>
              <w:t>4</w:t>
            </w:r>
            <w:r>
              <w:rPr>
                <w:rFonts w:hint="default" w:ascii="Times New Roman" w:hAnsi="Times New Roman" w:eastAsia="宋体" w:cs="Times New Roman"/>
                <w:b/>
                <w:bCs/>
                <w:color w:val="auto"/>
                <w:spacing w:val="-2"/>
                <w:sz w:val="24"/>
                <w:szCs w:val="24"/>
                <w:lang w:eastAsia="zh-CN"/>
              </w:rPr>
              <w:t>.3评价方法</w:t>
            </w:r>
          </w:p>
          <w:p w14:paraId="103EB478">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14:paraId="509E2188">
            <w:pPr>
              <w:pStyle w:val="23"/>
              <w:kinsoku/>
              <w:spacing w:before="38" w:line="356" w:lineRule="auto"/>
              <w:rPr>
                <w:rFonts w:hint="default" w:ascii="Times New Roman" w:hAnsi="Times New Roman" w:eastAsia="宋体" w:cs="Times New Roman"/>
                <w:b/>
                <w:bCs/>
                <w:color w:val="auto"/>
                <w:spacing w:val="-2"/>
                <w:sz w:val="24"/>
                <w:szCs w:val="24"/>
                <w:lang w:eastAsia="zh-CN"/>
              </w:rPr>
            </w:pPr>
            <w:r>
              <w:rPr>
                <w:rFonts w:hint="eastAsia" w:ascii="Times New Roman" w:hAnsi="Times New Roman" w:cs="Times New Roman"/>
                <w:b/>
                <w:bCs/>
                <w:color w:val="auto"/>
                <w:spacing w:val="-2"/>
                <w:sz w:val="24"/>
                <w:szCs w:val="24"/>
                <w:lang w:val="en-US" w:eastAsia="zh-CN"/>
              </w:rPr>
              <w:t>4</w:t>
            </w:r>
            <w:r>
              <w:rPr>
                <w:rFonts w:hint="default" w:ascii="Times New Roman" w:hAnsi="Times New Roman" w:eastAsia="宋体" w:cs="Times New Roman"/>
                <w:b/>
                <w:bCs/>
                <w:color w:val="auto"/>
                <w:spacing w:val="-2"/>
                <w:sz w:val="24"/>
                <w:szCs w:val="24"/>
                <w:lang w:eastAsia="zh-CN"/>
              </w:rPr>
              <w:t>.4空气质量达标区判定</w:t>
            </w:r>
          </w:p>
          <w:p w14:paraId="209444FC">
            <w:pPr>
              <w:pStyle w:val="23"/>
              <w:kinsoku/>
              <w:spacing w:before="38" w:line="356" w:lineRule="auto"/>
              <w:ind w:firstLine="482"/>
              <w:jc w:val="both"/>
              <w:rPr>
                <w:rFonts w:ascii="Times New Roman" w:hAnsi="Times New Roman" w:cs="Times New Roman"/>
                <w:color w:val="auto"/>
                <w:sz w:val="24"/>
                <w:szCs w:val="24"/>
                <w:highlight w:val="none"/>
                <w:lang w:eastAsia="zh-CN"/>
              </w:rPr>
            </w:pPr>
            <w:bookmarkStart w:id="16" w:name="_Ref179977892"/>
            <w:bookmarkStart w:id="17" w:name="_Ref21430043"/>
            <w:r>
              <w:rPr>
                <w:rFonts w:ascii="Times New Roman" w:hAnsi="Times New Roman" w:cs="Times New Roman"/>
                <w:color w:val="auto"/>
                <w:spacing w:val="-2"/>
                <w:sz w:val="24"/>
                <w:szCs w:val="24"/>
                <w:highlight w:val="none"/>
                <w:lang w:eastAsia="zh-CN"/>
              </w:rPr>
              <w:t>根据《环境影响评价技术导则 大气环境》（HJ2.2-2018）要求，项目位于昌吉回族自治州阜康市，根据新疆维吾尔自治区生态环境厅发布的《2024年12月和1-12月“乌-昌-石”“奎-独-乌”区域各县（市、 区）环境空气质量状况及排名》数据显示，</w:t>
            </w:r>
            <w:r>
              <w:rPr>
                <w:rFonts w:hint="eastAsia" w:ascii="Times New Roman" w:hAnsi="Times New Roman" w:cs="Times New Roman"/>
                <w:color w:val="auto"/>
                <w:spacing w:val="-2"/>
                <w:sz w:val="24"/>
                <w:szCs w:val="24"/>
                <w:highlight w:val="none"/>
                <w:lang w:val="en-US" w:eastAsia="zh-CN"/>
              </w:rPr>
              <w:t>阜康市</w:t>
            </w:r>
            <w:r>
              <w:rPr>
                <w:rFonts w:ascii="Times New Roman" w:hAnsi="Times New Roman" w:cs="Times New Roman"/>
                <w:color w:val="auto"/>
                <w:spacing w:val="-2"/>
                <w:sz w:val="24"/>
                <w:szCs w:val="24"/>
                <w:highlight w:val="none"/>
                <w:lang w:eastAsia="zh-CN"/>
              </w:rPr>
              <w:t>2024年基本污染物中SO</w:t>
            </w:r>
            <w:r>
              <w:rPr>
                <w:rFonts w:ascii="Times New Roman" w:hAnsi="Times New Roman" w:cs="Times New Roman"/>
                <w:color w:val="auto"/>
                <w:spacing w:val="-2"/>
                <w:sz w:val="24"/>
                <w:szCs w:val="24"/>
                <w:highlight w:val="none"/>
                <w:vertAlign w:val="subscript"/>
                <w:lang w:eastAsia="zh-CN"/>
              </w:rPr>
              <w:t>2</w:t>
            </w:r>
            <w:r>
              <w:rPr>
                <w:rFonts w:ascii="Times New Roman" w:hAnsi="Times New Roman" w:cs="Times New Roman"/>
                <w:color w:val="auto"/>
                <w:spacing w:val="-2"/>
                <w:sz w:val="24"/>
                <w:szCs w:val="24"/>
                <w:highlight w:val="none"/>
                <w:lang w:eastAsia="zh-CN"/>
              </w:rPr>
              <w:t>、NO</w:t>
            </w:r>
            <w:r>
              <w:rPr>
                <w:rFonts w:ascii="Times New Roman" w:hAnsi="Times New Roman" w:cs="Times New Roman"/>
                <w:color w:val="auto"/>
                <w:spacing w:val="-2"/>
                <w:sz w:val="24"/>
                <w:szCs w:val="24"/>
                <w:highlight w:val="none"/>
                <w:vertAlign w:val="subscript"/>
                <w:lang w:eastAsia="zh-CN"/>
              </w:rPr>
              <w:t>2</w:t>
            </w:r>
            <w:r>
              <w:rPr>
                <w:rFonts w:ascii="Times New Roman" w:hAnsi="Times New Roman" w:cs="Times New Roman"/>
                <w:color w:val="auto"/>
                <w:spacing w:val="-2"/>
                <w:sz w:val="24"/>
                <w:szCs w:val="24"/>
                <w:highlight w:val="none"/>
                <w:lang w:eastAsia="zh-CN"/>
              </w:rPr>
              <w:t>、CO、O</w:t>
            </w:r>
            <w:r>
              <w:rPr>
                <w:rFonts w:ascii="Times New Roman" w:hAnsi="Times New Roman" w:cs="Times New Roman"/>
                <w:color w:val="auto"/>
                <w:spacing w:val="-2"/>
                <w:sz w:val="24"/>
                <w:szCs w:val="24"/>
                <w:highlight w:val="none"/>
                <w:vertAlign w:val="subscript"/>
                <w:lang w:eastAsia="zh-CN"/>
              </w:rPr>
              <w:t>3</w:t>
            </w:r>
            <w:r>
              <w:rPr>
                <w:rFonts w:ascii="Times New Roman" w:hAnsi="Times New Roman" w:cs="Times New Roman"/>
                <w:color w:val="auto"/>
                <w:spacing w:val="-2"/>
                <w:sz w:val="24"/>
                <w:szCs w:val="24"/>
                <w:highlight w:val="none"/>
                <w:lang w:eastAsia="zh-CN"/>
              </w:rPr>
              <w:t>的现状浓度均符合《环境空气质量标准》（GB3095-20</w:t>
            </w:r>
            <w:r>
              <w:rPr>
                <w:rFonts w:hint="eastAsia" w:ascii="Times New Roman" w:hAnsi="Times New Roman" w:cs="Times New Roman"/>
                <w:color w:val="auto"/>
                <w:sz w:val="24"/>
                <w:szCs w:val="24"/>
                <w:highlight w:val="none"/>
                <w:lang w:val="en-US" w:eastAsia="zh-CN"/>
              </w:rPr>
              <w:t>26</w:t>
            </w:r>
            <w:r>
              <w:rPr>
                <w:rFonts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lang w:val="en-US" w:eastAsia="zh-CN"/>
              </w:rPr>
              <w:t>过渡阶段二级浓度限值</w:t>
            </w:r>
            <w:r>
              <w:rPr>
                <w:rFonts w:ascii="Times New Roman" w:hAnsi="Times New Roman" w:cs="Times New Roman"/>
                <w:color w:val="auto"/>
                <w:sz w:val="24"/>
                <w:szCs w:val="24"/>
                <w:highlight w:val="none"/>
                <w:lang w:eastAsia="zh-CN"/>
              </w:rPr>
              <w:t>，PM</w:t>
            </w:r>
            <w:r>
              <w:rPr>
                <w:rFonts w:ascii="Times New Roman" w:hAnsi="Times New Roman" w:cs="Times New Roman"/>
                <w:color w:val="auto"/>
                <w:sz w:val="24"/>
                <w:szCs w:val="24"/>
                <w:highlight w:val="none"/>
                <w:vertAlign w:val="subscript"/>
                <w:lang w:eastAsia="zh-CN"/>
              </w:rPr>
              <w:t>10</w:t>
            </w:r>
            <w:r>
              <w:rPr>
                <w:rFonts w:hint="eastAsia" w:ascii="Times New Roman" w:hAnsi="Times New Roman" w:cs="Times New Roman"/>
                <w:color w:val="auto"/>
                <w:spacing w:val="-2"/>
                <w:sz w:val="24"/>
                <w:szCs w:val="24"/>
                <w:highlight w:val="none"/>
                <w:lang w:eastAsia="zh-CN"/>
              </w:rPr>
              <w:t>、</w:t>
            </w:r>
            <w:r>
              <w:rPr>
                <w:rFonts w:ascii="Times New Roman" w:hAnsi="Times New Roman" w:cs="Times New Roman"/>
                <w:color w:val="auto"/>
                <w:sz w:val="24"/>
                <w:szCs w:val="24"/>
                <w:highlight w:val="none"/>
                <w:lang w:eastAsia="zh-CN"/>
              </w:rPr>
              <w:t>PM</w:t>
            </w:r>
            <w:r>
              <w:rPr>
                <w:rFonts w:ascii="Times New Roman" w:hAnsi="Times New Roman" w:cs="Times New Roman"/>
                <w:color w:val="auto"/>
                <w:sz w:val="24"/>
                <w:szCs w:val="24"/>
                <w:highlight w:val="none"/>
                <w:vertAlign w:val="subscript"/>
                <w:lang w:eastAsia="zh-CN"/>
              </w:rPr>
              <w:t>2.5</w:t>
            </w:r>
            <w:r>
              <w:rPr>
                <w:rFonts w:ascii="Times New Roman" w:hAnsi="Times New Roman" w:cs="Times New Roman"/>
                <w:color w:val="auto"/>
                <w:sz w:val="24"/>
                <w:szCs w:val="24"/>
                <w:highlight w:val="none"/>
                <w:lang w:eastAsia="zh-CN"/>
              </w:rPr>
              <w:t>的现状浓度超标，具体情况见下表。</w:t>
            </w:r>
          </w:p>
          <w:p w14:paraId="0D89A4E8">
            <w:pPr>
              <w:pStyle w:val="6"/>
              <w:kinsoku/>
              <w:spacing w:line="240" w:lineRule="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w:t>
            </w:r>
            <w:bookmarkEnd w:id="16"/>
            <w:r>
              <w:rPr>
                <w:rFonts w:hint="default" w:ascii="Times New Roman" w:hAnsi="Times New Roman" w:eastAsia="宋体" w:cs="Times New Roman"/>
                <w:b/>
                <w:bCs/>
                <w:color w:val="auto"/>
                <w:lang w:eastAsia="zh-CN"/>
              </w:rPr>
              <w:t>3-</w:t>
            </w: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eastAsia="zh-CN"/>
              </w:rPr>
              <w:t xml:space="preserve"> 大气质量及评价结果一览表</w:t>
            </w:r>
          </w:p>
          <w:tbl>
            <w:tblPr>
              <w:tblStyle w:val="22"/>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2887"/>
              <w:gridCol w:w="1052"/>
              <w:gridCol w:w="1174"/>
              <w:gridCol w:w="1176"/>
              <w:gridCol w:w="903"/>
            </w:tblGrid>
            <w:tr w14:paraId="37F94D68">
              <w:trPr>
                <w:trHeight w:val="557" w:hRule="atLeast"/>
                <w:jc w:val="center"/>
              </w:trPr>
              <w:tc>
                <w:tcPr>
                  <w:tcW w:w="554" w:type="pct"/>
                  <w:vAlign w:val="center"/>
                </w:tcPr>
                <w:p w14:paraId="74882215">
                  <w:pPr>
                    <w:pStyle w:val="23"/>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污染物</w:t>
                  </w:r>
                </w:p>
              </w:tc>
              <w:tc>
                <w:tcPr>
                  <w:tcW w:w="1782" w:type="pct"/>
                  <w:vAlign w:val="center"/>
                </w:tcPr>
                <w:p w14:paraId="25907C9C">
                  <w:pPr>
                    <w:pStyle w:val="23"/>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评价指标</w:t>
                  </w:r>
                </w:p>
              </w:tc>
              <w:tc>
                <w:tcPr>
                  <w:tcW w:w="650" w:type="pct"/>
                  <w:vAlign w:val="center"/>
                </w:tcPr>
                <w:p w14:paraId="3309459D">
                  <w:pPr>
                    <w:pStyle w:val="23"/>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现状浓度(μ</w:t>
                  </w:r>
                  <w:r>
                    <w:rPr>
                      <w:rFonts w:hint="default" w:ascii="Times New Roman" w:hAnsi="Times New Roman" w:eastAsia="宋体" w:cs="Times New Roman"/>
                      <w:b/>
                      <w:bCs/>
                      <w:color w:val="auto"/>
                      <w:spacing w:val="2"/>
                      <w:sz w:val="21"/>
                      <w:szCs w:val="21"/>
                    </w:rPr>
                    <w:t>g/m</w:t>
                  </w:r>
                  <w:r>
                    <w:rPr>
                      <w:rFonts w:hint="default" w:ascii="Times New Roman" w:hAnsi="Times New Roman" w:eastAsia="宋体" w:cs="Times New Roman"/>
                      <w:b/>
                      <w:bCs/>
                      <w:color w:val="auto"/>
                      <w:spacing w:val="2"/>
                      <w:sz w:val="21"/>
                      <w:szCs w:val="21"/>
                      <w:vertAlign w:val="superscript"/>
                      <w:lang w:eastAsia="zh-CN"/>
                    </w:rPr>
                    <w:t>3</w:t>
                  </w:r>
                  <w:r>
                    <w:rPr>
                      <w:rFonts w:hint="default" w:ascii="Times New Roman" w:hAnsi="Times New Roman" w:eastAsia="宋体" w:cs="Times New Roman"/>
                      <w:b/>
                      <w:bCs/>
                      <w:color w:val="auto"/>
                      <w:spacing w:val="2"/>
                      <w:sz w:val="21"/>
                      <w:szCs w:val="21"/>
                    </w:rPr>
                    <w:t>）</w:t>
                  </w:r>
                </w:p>
              </w:tc>
              <w:tc>
                <w:tcPr>
                  <w:tcW w:w="726" w:type="pct"/>
                  <w:vAlign w:val="center"/>
                </w:tcPr>
                <w:p w14:paraId="05C062D1">
                  <w:pPr>
                    <w:pStyle w:val="23"/>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标准值(μg/</w:t>
                  </w:r>
                  <w:r>
                    <w:rPr>
                      <w:rFonts w:hint="default" w:ascii="Times New Roman" w:hAnsi="Times New Roman" w:eastAsia="宋体" w:cs="Times New Roman"/>
                      <w:b/>
                      <w:bCs/>
                      <w:color w:val="auto"/>
                      <w:spacing w:val="3"/>
                      <w:position w:val="-1"/>
                      <w:sz w:val="21"/>
                      <w:szCs w:val="21"/>
                    </w:rPr>
                    <w:t>m</w:t>
                  </w:r>
                  <w:r>
                    <w:rPr>
                      <w:rFonts w:hint="default" w:ascii="Times New Roman" w:hAnsi="Times New Roman" w:eastAsia="宋体" w:cs="Times New Roman"/>
                      <w:b/>
                      <w:bCs/>
                      <w:color w:val="auto"/>
                      <w:spacing w:val="3"/>
                      <w:position w:val="-1"/>
                      <w:sz w:val="21"/>
                      <w:szCs w:val="21"/>
                      <w:vertAlign w:val="superscript"/>
                      <w:lang w:eastAsia="zh-CN"/>
                    </w:rPr>
                    <w:t>3</w:t>
                  </w:r>
                  <w:r>
                    <w:rPr>
                      <w:rFonts w:hint="default" w:ascii="Times New Roman" w:hAnsi="Times New Roman" w:eastAsia="宋体" w:cs="Times New Roman"/>
                      <w:b/>
                      <w:bCs/>
                      <w:color w:val="auto"/>
                      <w:spacing w:val="3"/>
                      <w:position w:val="-1"/>
                      <w:sz w:val="21"/>
                      <w:szCs w:val="21"/>
                    </w:rPr>
                    <w:t>）</w:t>
                  </w:r>
                </w:p>
              </w:tc>
              <w:tc>
                <w:tcPr>
                  <w:tcW w:w="727" w:type="pct"/>
                  <w:vAlign w:val="center"/>
                </w:tcPr>
                <w:p w14:paraId="409BAA0B">
                  <w:pPr>
                    <w:pStyle w:val="23"/>
                    <w:jc w:val="center"/>
                    <w:rPr>
                      <w:rFonts w:hint="default" w:ascii="Times New Roman" w:hAnsi="Times New Roman" w:eastAsia="宋体" w:cs="Times New Roman"/>
                      <w:b/>
                      <w:bCs/>
                      <w:color w:val="auto"/>
                      <w:spacing w:val="-5"/>
                      <w:sz w:val="21"/>
                      <w:szCs w:val="21"/>
                    </w:rPr>
                  </w:pPr>
                  <w:r>
                    <w:rPr>
                      <w:rFonts w:hint="default" w:ascii="Times New Roman" w:hAnsi="Times New Roman" w:eastAsia="宋体" w:cs="Times New Roman"/>
                      <w:b/>
                      <w:bCs/>
                      <w:color w:val="auto"/>
                      <w:spacing w:val="-5"/>
                      <w:sz w:val="21"/>
                      <w:szCs w:val="21"/>
                    </w:rPr>
                    <w:t>占标率</w:t>
                  </w:r>
                </w:p>
                <w:p w14:paraId="2ED731BA">
                  <w:pPr>
                    <w:pStyle w:val="23"/>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w:t>
                  </w:r>
                </w:p>
              </w:tc>
              <w:tc>
                <w:tcPr>
                  <w:tcW w:w="558" w:type="pct"/>
                  <w:tcBorders>
                    <w:right w:val="single" w:color="000000" w:sz="4" w:space="0"/>
                  </w:tcBorders>
                  <w:vAlign w:val="center"/>
                </w:tcPr>
                <w:p w14:paraId="109B7C39">
                  <w:pPr>
                    <w:pStyle w:val="23"/>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5"/>
                      <w:sz w:val="21"/>
                      <w:szCs w:val="21"/>
                    </w:rPr>
                    <w:t>达标</w:t>
                  </w:r>
                  <w:r>
                    <w:rPr>
                      <w:rFonts w:hint="default" w:ascii="Times New Roman" w:hAnsi="Times New Roman" w:eastAsia="宋体" w:cs="Times New Roman"/>
                      <w:b/>
                      <w:bCs/>
                      <w:color w:val="auto"/>
                      <w:spacing w:val="4"/>
                      <w:sz w:val="21"/>
                      <w:szCs w:val="21"/>
                    </w:rPr>
                    <w:t>情况</w:t>
                  </w:r>
                </w:p>
              </w:tc>
            </w:tr>
            <w:tr w14:paraId="1969E6F6">
              <w:trPr>
                <w:trHeight w:val="471" w:hRule="atLeast"/>
                <w:jc w:val="center"/>
              </w:trPr>
              <w:tc>
                <w:tcPr>
                  <w:tcW w:w="554" w:type="pct"/>
                  <w:vAlign w:val="center"/>
                </w:tcPr>
                <w:p w14:paraId="721B592F">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spacing w:val="3"/>
                      <w:position w:val="-1"/>
                      <w:vertAlign w:val="subscript"/>
                    </w:rPr>
                    <w:t>2</w:t>
                  </w:r>
                </w:p>
              </w:tc>
              <w:tc>
                <w:tcPr>
                  <w:tcW w:w="1782" w:type="pct"/>
                  <w:vAlign w:val="center"/>
                </w:tcPr>
                <w:p w14:paraId="1E394814">
                  <w:pPr>
                    <w:pStyle w:val="2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1052" w:type="dxa"/>
                  <w:vAlign w:val="center"/>
                </w:tcPr>
                <w:p w14:paraId="168EDF3D">
                  <w:pPr>
                    <w:pStyle w:val="28"/>
                    <w:spacing w:line="240" w:lineRule="auto"/>
                    <w:rPr>
                      <w:rFonts w:hint="default" w:ascii="Times New Roman" w:hAnsi="Times New Roman" w:eastAsia="宋体" w:cs="Times New Roman"/>
                      <w:color w:val="auto"/>
                    </w:rPr>
                  </w:pPr>
                  <w:r>
                    <w:rPr>
                      <w:rFonts w:hint="eastAsia" w:ascii="Times New Roman" w:hAnsi="Times New Roman" w:eastAsia="宋体" w:cs="Times New Roman"/>
                      <w:color w:val="auto"/>
                      <w:highlight w:val="none"/>
                      <w:lang w:val="en-US" w:eastAsia="zh-CN"/>
                    </w:rPr>
                    <w:t>8</w:t>
                  </w:r>
                </w:p>
              </w:tc>
              <w:tc>
                <w:tcPr>
                  <w:tcW w:w="1174" w:type="dxa"/>
                  <w:vAlign w:val="center"/>
                </w:tcPr>
                <w:p w14:paraId="0216F4F1">
                  <w:pPr>
                    <w:pStyle w:val="2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176" w:type="dxa"/>
                  <w:vAlign w:val="center"/>
                </w:tcPr>
                <w:p w14:paraId="45BF637E">
                  <w:pPr>
                    <w:pStyle w:val="28"/>
                    <w:spacing w:line="240" w:lineRule="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13.33%</w:t>
                  </w:r>
                </w:p>
              </w:tc>
              <w:tc>
                <w:tcPr>
                  <w:tcW w:w="903" w:type="dxa"/>
                  <w:tcBorders>
                    <w:right w:val="single" w:color="000000" w:sz="4" w:space="0"/>
                  </w:tcBorders>
                  <w:vAlign w:val="center"/>
                </w:tcPr>
                <w:p w14:paraId="5A58BD7A">
                  <w:pPr>
                    <w:pStyle w:val="23"/>
                    <w:jc w:val="center"/>
                    <w:rPr>
                      <w:rFonts w:hint="default" w:ascii="Times New Roman" w:hAnsi="Times New Roman" w:eastAsia="宋体" w:cs="Times New Roman"/>
                      <w:color w:val="auto"/>
                      <w:sz w:val="21"/>
                      <w:szCs w:val="21"/>
                    </w:rPr>
                  </w:pPr>
                  <w:r>
                    <w:rPr>
                      <w:rFonts w:ascii="Times New Roman" w:hAnsi="Times New Roman" w:cs="Times New Roman"/>
                      <w:color w:val="auto"/>
                      <w:spacing w:val="5"/>
                      <w:sz w:val="21"/>
                      <w:szCs w:val="21"/>
                      <w:highlight w:val="none"/>
                    </w:rPr>
                    <w:t>达标</w:t>
                  </w:r>
                </w:p>
              </w:tc>
            </w:tr>
            <w:tr w14:paraId="0287193F">
              <w:trPr>
                <w:trHeight w:val="471" w:hRule="atLeast"/>
                <w:jc w:val="center"/>
              </w:trPr>
              <w:tc>
                <w:tcPr>
                  <w:tcW w:w="554" w:type="pct"/>
                  <w:vAlign w:val="center"/>
                </w:tcPr>
                <w:p w14:paraId="0ECE2597">
                  <w:pPr>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6"/>
                    </w:rPr>
                    <w:t>NO</w:t>
                  </w:r>
                  <w:r>
                    <w:rPr>
                      <w:rFonts w:hint="default" w:ascii="Times New Roman" w:hAnsi="Times New Roman" w:eastAsia="宋体" w:cs="Times New Roman"/>
                      <w:color w:val="auto"/>
                      <w:spacing w:val="6"/>
                      <w:position w:val="-1"/>
                      <w:vertAlign w:val="subscript"/>
                    </w:rPr>
                    <w:t>2</w:t>
                  </w:r>
                </w:p>
              </w:tc>
              <w:tc>
                <w:tcPr>
                  <w:tcW w:w="1782" w:type="pct"/>
                  <w:vAlign w:val="center"/>
                </w:tcPr>
                <w:p w14:paraId="1584CA81">
                  <w:pPr>
                    <w:pStyle w:val="2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1052" w:type="dxa"/>
                  <w:vAlign w:val="center"/>
                </w:tcPr>
                <w:p w14:paraId="225976A1">
                  <w:pPr>
                    <w:pStyle w:val="28"/>
                    <w:spacing w:line="240" w:lineRule="auto"/>
                    <w:rPr>
                      <w:rFonts w:hint="default" w:ascii="Times New Roman" w:hAnsi="Times New Roman" w:eastAsia="宋体" w:cs="Times New Roman"/>
                      <w:color w:val="auto"/>
                    </w:rPr>
                  </w:pPr>
                  <w:r>
                    <w:rPr>
                      <w:rFonts w:hint="eastAsia" w:ascii="Times New Roman" w:hAnsi="Times New Roman" w:eastAsia="宋体" w:cs="Times New Roman"/>
                      <w:color w:val="auto"/>
                      <w:highlight w:val="none"/>
                      <w:lang w:val="en-US" w:eastAsia="zh-CN"/>
                    </w:rPr>
                    <w:t>24</w:t>
                  </w:r>
                </w:p>
              </w:tc>
              <w:tc>
                <w:tcPr>
                  <w:tcW w:w="1174" w:type="dxa"/>
                  <w:vAlign w:val="center"/>
                </w:tcPr>
                <w:p w14:paraId="5D28C811">
                  <w:pPr>
                    <w:pStyle w:val="2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1176" w:type="dxa"/>
                  <w:vAlign w:val="center"/>
                </w:tcPr>
                <w:p w14:paraId="00901C41">
                  <w:pPr>
                    <w:pStyle w:val="28"/>
                    <w:spacing w:line="240" w:lineRule="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60.00%</w:t>
                  </w:r>
                </w:p>
              </w:tc>
              <w:tc>
                <w:tcPr>
                  <w:tcW w:w="903" w:type="dxa"/>
                  <w:tcBorders>
                    <w:right w:val="single" w:color="000000" w:sz="4" w:space="0"/>
                  </w:tcBorders>
                  <w:vAlign w:val="center"/>
                </w:tcPr>
                <w:p w14:paraId="3398A88E">
                  <w:pPr>
                    <w:pStyle w:val="23"/>
                    <w:jc w:val="center"/>
                    <w:rPr>
                      <w:rFonts w:hint="default" w:ascii="Times New Roman" w:hAnsi="Times New Roman" w:eastAsia="宋体" w:cs="Times New Roman"/>
                      <w:color w:val="auto"/>
                      <w:sz w:val="21"/>
                      <w:szCs w:val="21"/>
                    </w:rPr>
                  </w:pPr>
                  <w:r>
                    <w:rPr>
                      <w:rFonts w:ascii="Times New Roman" w:hAnsi="Times New Roman" w:cs="Times New Roman"/>
                      <w:color w:val="auto"/>
                      <w:spacing w:val="5"/>
                      <w:sz w:val="21"/>
                      <w:szCs w:val="21"/>
                      <w:highlight w:val="none"/>
                    </w:rPr>
                    <w:t>达标</w:t>
                  </w:r>
                </w:p>
              </w:tc>
            </w:tr>
            <w:tr w14:paraId="5AEA3CE2">
              <w:trPr>
                <w:trHeight w:val="471" w:hRule="atLeast"/>
                <w:jc w:val="center"/>
              </w:trPr>
              <w:tc>
                <w:tcPr>
                  <w:tcW w:w="554" w:type="pct"/>
                  <w:vAlign w:val="center"/>
                </w:tcPr>
                <w:p w14:paraId="13E033B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spacing w:val="8"/>
                      <w:position w:val="-1"/>
                      <w:vertAlign w:val="subscript"/>
                    </w:rPr>
                    <w:t>10</w:t>
                  </w:r>
                </w:p>
              </w:tc>
              <w:tc>
                <w:tcPr>
                  <w:tcW w:w="1782" w:type="pct"/>
                  <w:vAlign w:val="center"/>
                </w:tcPr>
                <w:p w14:paraId="1B2C703A">
                  <w:pPr>
                    <w:pStyle w:val="2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1052" w:type="dxa"/>
                  <w:vAlign w:val="center"/>
                </w:tcPr>
                <w:p w14:paraId="12DA1C28">
                  <w:pPr>
                    <w:pStyle w:val="28"/>
                    <w:spacing w:line="240" w:lineRule="auto"/>
                    <w:rPr>
                      <w:rFonts w:hint="default" w:ascii="Times New Roman" w:hAnsi="Times New Roman" w:eastAsia="宋体" w:cs="Times New Roman"/>
                      <w:color w:val="auto"/>
                      <w:lang w:eastAsia="zh-CN"/>
                    </w:rPr>
                  </w:pPr>
                  <w:r>
                    <w:rPr>
                      <w:rFonts w:hint="eastAsia" w:ascii="Times New Roman" w:hAnsi="Times New Roman" w:eastAsia="宋体" w:cs="Times New Roman"/>
                      <w:color w:val="auto"/>
                      <w:highlight w:val="none"/>
                      <w:lang w:val="en-US" w:eastAsia="zh-CN"/>
                    </w:rPr>
                    <w:t>67</w:t>
                  </w:r>
                </w:p>
              </w:tc>
              <w:tc>
                <w:tcPr>
                  <w:tcW w:w="1174" w:type="dxa"/>
                  <w:vAlign w:val="center"/>
                </w:tcPr>
                <w:p w14:paraId="5476D367">
                  <w:pPr>
                    <w:pStyle w:val="28"/>
                    <w:spacing w:line="240" w:lineRule="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60</w:t>
                  </w:r>
                </w:p>
              </w:tc>
              <w:tc>
                <w:tcPr>
                  <w:tcW w:w="1176" w:type="dxa"/>
                  <w:vAlign w:val="center"/>
                </w:tcPr>
                <w:p w14:paraId="6D9906B2">
                  <w:pPr>
                    <w:pStyle w:val="28"/>
                    <w:spacing w:line="240" w:lineRule="auto"/>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111.67%</w:t>
                  </w:r>
                </w:p>
              </w:tc>
              <w:tc>
                <w:tcPr>
                  <w:tcW w:w="903" w:type="dxa"/>
                  <w:tcBorders>
                    <w:right w:val="single" w:color="000000" w:sz="4" w:space="0"/>
                  </w:tcBorders>
                  <w:vAlign w:val="center"/>
                </w:tcPr>
                <w:p w14:paraId="22A2CEF4">
                  <w:pPr>
                    <w:pStyle w:val="23"/>
                    <w:jc w:val="center"/>
                    <w:rPr>
                      <w:rFonts w:hint="default" w:ascii="Times New Roman" w:hAnsi="Times New Roman" w:eastAsia="宋体" w:cs="Times New Roman"/>
                      <w:color w:val="auto"/>
                      <w:sz w:val="21"/>
                      <w:szCs w:val="21"/>
                    </w:rPr>
                  </w:pPr>
                  <w:r>
                    <w:rPr>
                      <w:rFonts w:ascii="Times New Roman" w:hAnsi="Times New Roman" w:eastAsia="宋体" w:cs="Times New Roman"/>
                      <w:b/>
                      <w:color w:val="auto"/>
                      <w:highlight w:val="none"/>
                    </w:rPr>
                    <w:t>超标</w:t>
                  </w:r>
                </w:p>
              </w:tc>
            </w:tr>
            <w:tr w14:paraId="769D002F">
              <w:trPr>
                <w:trHeight w:val="471" w:hRule="atLeast"/>
                <w:jc w:val="center"/>
              </w:trPr>
              <w:tc>
                <w:tcPr>
                  <w:tcW w:w="554" w:type="pct"/>
                  <w:vAlign w:val="center"/>
                </w:tcPr>
                <w:p w14:paraId="672E869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spacing w:val="6"/>
                      <w:position w:val="-1"/>
                      <w:vertAlign w:val="subscript"/>
                    </w:rPr>
                    <w:t>2.5</w:t>
                  </w:r>
                </w:p>
              </w:tc>
              <w:tc>
                <w:tcPr>
                  <w:tcW w:w="1782" w:type="pct"/>
                  <w:vAlign w:val="center"/>
                </w:tcPr>
                <w:p w14:paraId="7EED21B1">
                  <w:pPr>
                    <w:pStyle w:val="2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1052" w:type="dxa"/>
                  <w:vAlign w:val="center"/>
                </w:tcPr>
                <w:p w14:paraId="6A328C44">
                  <w:pPr>
                    <w:pStyle w:val="28"/>
                    <w:spacing w:line="240" w:lineRule="auto"/>
                    <w:rPr>
                      <w:rFonts w:hint="default" w:ascii="Times New Roman" w:hAnsi="Times New Roman" w:eastAsia="宋体" w:cs="Times New Roman"/>
                      <w:color w:val="auto"/>
                      <w:spacing w:val="7"/>
                    </w:rPr>
                  </w:pPr>
                  <w:r>
                    <w:rPr>
                      <w:rFonts w:hint="eastAsia" w:ascii="Times New Roman" w:hAnsi="Times New Roman" w:eastAsia="宋体" w:cs="Times New Roman"/>
                      <w:color w:val="auto"/>
                      <w:highlight w:val="none"/>
                      <w:lang w:val="en-US" w:eastAsia="zh-CN"/>
                    </w:rPr>
                    <w:t>37</w:t>
                  </w:r>
                </w:p>
              </w:tc>
              <w:tc>
                <w:tcPr>
                  <w:tcW w:w="1174" w:type="dxa"/>
                  <w:vAlign w:val="center"/>
                </w:tcPr>
                <w:p w14:paraId="303C0E68">
                  <w:pPr>
                    <w:pStyle w:val="28"/>
                    <w:spacing w:line="240" w:lineRule="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30</w:t>
                  </w:r>
                </w:p>
              </w:tc>
              <w:tc>
                <w:tcPr>
                  <w:tcW w:w="1176" w:type="dxa"/>
                  <w:vAlign w:val="center"/>
                </w:tcPr>
                <w:p w14:paraId="0B016F5F">
                  <w:pPr>
                    <w:pStyle w:val="28"/>
                    <w:spacing w:line="240" w:lineRule="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123.33%</w:t>
                  </w:r>
                </w:p>
              </w:tc>
              <w:tc>
                <w:tcPr>
                  <w:tcW w:w="903" w:type="dxa"/>
                  <w:tcBorders>
                    <w:right w:val="single" w:color="000000" w:sz="4" w:space="0"/>
                  </w:tcBorders>
                  <w:vAlign w:val="center"/>
                </w:tcPr>
                <w:p w14:paraId="511A3CD8">
                  <w:pPr>
                    <w:pStyle w:val="28"/>
                    <w:spacing w:line="240" w:lineRule="auto"/>
                    <w:rPr>
                      <w:rFonts w:hint="default" w:ascii="Times New Roman" w:hAnsi="Times New Roman" w:eastAsia="宋体" w:cs="Times New Roman"/>
                      <w:color w:val="auto"/>
                    </w:rPr>
                  </w:pPr>
                  <w:r>
                    <w:rPr>
                      <w:rFonts w:ascii="Times New Roman" w:hAnsi="Times New Roman" w:eastAsia="宋体" w:cs="Times New Roman"/>
                      <w:b/>
                      <w:color w:val="auto"/>
                      <w:highlight w:val="none"/>
                    </w:rPr>
                    <w:t>超标</w:t>
                  </w:r>
                </w:p>
              </w:tc>
            </w:tr>
            <w:tr w14:paraId="78EA2C06">
              <w:trPr>
                <w:trHeight w:val="471" w:hRule="atLeast"/>
                <w:jc w:val="center"/>
              </w:trPr>
              <w:tc>
                <w:tcPr>
                  <w:tcW w:w="554" w:type="pct"/>
                  <w:vAlign w:val="center"/>
                </w:tcPr>
                <w:p w14:paraId="001D037D">
                  <w:pPr>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rPr>
                    <w:t>CO</w:t>
                  </w:r>
                </w:p>
              </w:tc>
              <w:tc>
                <w:tcPr>
                  <w:tcW w:w="1782" w:type="pct"/>
                  <w:vAlign w:val="center"/>
                </w:tcPr>
                <w:p w14:paraId="741B81FD">
                  <w:pPr>
                    <w:pStyle w:val="23"/>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24小时平均第95百分位数</w:t>
                  </w:r>
                </w:p>
              </w:tc>
              <w:tc>
                <w:tcPr>
                  <w:tcW w:w="1052" w:type="dxa"/>
                  <w:vAlign w:val="center"/>
                </w:tcPr>
                <w:p w14:paraId="5E56ADDD">
                  <w:pPr>
                    <w:pStyle w:val="28"/>
                    <w:spacing w:line="240" w:lineRule="auto"/>
                    <w:rPr>
                      <w:rFonts w:hint="default" w:ascii="Times New Roman" w:hAnsi="Times New Roman" w:eastAsia="宋体" w:cs="Times New Roman"/>
                      <w:color w:val="auto"/>
                      <w:spacing w:val="7"/>
                      <w:lang w:eastAsia="zh-CN"/>
                    </w:rPr>
                  </w:pPr>
                  <w:r>
                    <w:rPr>
                      <w:rFonts w:ascii="Times New Roman" w:hAnsi="Times New Roman" w:eastAsia="宋体" w:cs="Times New Roman"/>
                      <w:color w:val="auto"/>
                      <w:highlight w:val="none"/>
                    </w:rPr>
                    <w:t>0.8(mg/m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w:t>
                  </w:r>
                </w:p>
              </w:tc>
              <w:tc>
                <w:tcPr>
                  <w:tcW w:w="1174" w:type="dxa"/>
                  <w:vAlign w:val="center"/>
                </w:tcPr>
                <w:p w14:paraId="3E58CF2D">
                  <w:pPr>
                    <w:pStyle w:val="28"/>
                    <w:spacing w:line="24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4(mg/m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1176" w:type="dxa"/>
                  <w:vAlign w:val="center"/>
                </w:tcPr>
                <w:p w14:paraId="7010CDA8">
                  <w:pPr>
                    <w:pStyle w:val="28"/>
                    <w:spacing w:line="240" w:lineRule="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20.00%</w:t>
                  </w:r>
                </w:p>
              </w:tc>
              <w:tc>
                <w:tcPr>
                  <w:tcW w:w="903" w:type="dxa"/>
                  <w:tcBorders>
                    <w:right w:val="single" w:color="000000" w:sz="4" w:space="0"/>
                  </w:tcBorders>
                  <w:vAlign w:val="center"/>
                </w:tcPr>
                <w:p w14:paraId="4FAE9DD7">
                  <w:pPr>
                    <w:pStyle w:val="28"/>
                    <w:spacing w:line="240" w:lineRule="auto"/>
                    <w:rPr>
                      <w:rFonts w:hint="default" w:ascii="Times New Roman" w:hAnsi="Times New Roman" w:eastAsia="宋体" w:cs="Times New Roman"/>
                      <w:color w:val="auto"/>
                      <w:spacing w:val="5"/>
                    </w:rPr>
                  </w:pPr>
                  <w:r>
                    <w:rPr>
                      <w:rFonts w:ascii="Times New Roman" w:hAnsi="Times New Roman" w:eastAsia="宋体" w:cs="Times New Roman"/>
                      <w:color w:val="auto"/>
                      <w:spacing w:val="5"/>
                      <w:highlight w:val="none"/>
                    </w:rPr>
                    <w:t>达标</w:t>
                  </w:r>
                </w:p>
              </w:tc>
            </w:tr>
            <w:tr w14:paraId="2937999D">
              <w:trPr>
                <w:trHeight w:val="490" w:hRule="atLeast"/>
                <w:jc w:val="center"/>
              </w:trPr>
              <w:tc>
                <w:tcPr>
                  <w:tcW w:w="554" w:type="pct"/>
                  <w:vAlign w:val="center"/>
                </w:tcPr>
                <w:p w14:paraId="4AA7EA19">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O</w:t>
                  </w:r>
                  <w:r>
                    <w:rPr>
                      <w:rFonts w:hint="default" w:ascii="Times New Roman" w:hAnsi="Times New Roman" w:eastAsia="宋体" w:cs="Times New Roman"/>
                      <w:color w:val="auto"/>
                      <w:position w:val="-1"/>
                      <w:vertAlign w:val="subscript"/>
                    </w:rPr>
                    <w:t>3</w:t>
                  </w:r>
                </w:p>
              </w:tc>
              <w:tc>
                <w:tcPr>
                  <w:tcW w:w="1782" w:type="pct"/>
                  <w:vAlign w:val="center"/>
                </w:tcPr>
                <w:p w14:paraId="26CCAE1B">
                  <w:pPr>
                    <w:pStyle w:val="23"/>
                    <w:jc w:val="center"/>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最大8小时平均第90百分位数</w:t>
                  </w:r>
                </w:p>
              </w:tc>
              <w:tc>
                <w:tcPr>
                  <w:tcW w:w="1052" w:type="dxa"/>
                  <w:vAlign w:val="center"/>
                </w:tcPr>
                <w:p w14:paraId="1540004D">
                  <w:pPr>
                    <w:pStyle w:val="28"/>
                    <w:spacing w:line="240" w:lineRule="auto"/>
                    <w:rPr>
                      <w:rFonts w:hint="default" w:ascii="Times New Roman" w:hAnsi="Times New Roman" w:eastAsia="宋体" w:cs="Times New Roman"/>
                      <w:color w:val="auto"/>
                      <w:spacing w:val="2"/>
                      <w:lang w:eastAsia="zh-CN"/>
                    </w:rPr>
                  </w:pPr>
                  <w:r>
                    <w:rPr>
                      <w:rFonts w:ascii="Times New Roman" w:hAnsi="Times New Roman" w:eastAsia="宋体" w:cs="Times New Roman"/>
                      <w:color w:val="auto"/>
                      <w:highlight w:val="none"/>
                      <w:lang w:eastAsia="zh-CN"/>
                    </w:rPr>
                    <w:t>92</w:t>
                  </w:r>
                </w:p>
              </w:tc>
              <w:tc>
                <w:tcPr>
                  <w:tcW w:w="1174" w:type="dxa"/>
                  <w:vAlign w:val="center"/>
                </w:tcPr>
                <w:p w14:paraId="5358502E">
                  <w:pPr>
                    <w:pStyle w:val="28"/>
                    <w:spacing w:line="240" w:lineRule="auto"/>
                    <w:rPr>
                      <w:rFonts w:hint="default" w:ascii="Times New Roman" w:hAnsi="Times New Roman" w:eastAsia="宋体" w:cs="Times New Roman"/>
                      <w:color w:val="auto"/>
                      <w:spacing w:val="2"/>
                      <w:lang w:eastAsia="zh-CN"/>
                    </w:rPr>
                  </w:pPr>
                  <w:r>
                    <w:rPr>
                      <w:rFonts w:hint="default" w:ascii="Times New Roman" w:hAnsi="Times New Roman" w:eastAsia="宋体" w:cs="Times New Roman"/>
                      <w:color w:val="auto"/>
                      <w:lang w:eastAsia="zh-CN"/>
                    </w:rPr>
                    <w:t>160</w:t>
                  </w:r>
                </w:p>
              </w:tc>
              <w:tc>
                <w:tcPr>
                  <w:tcW w:w="1176" w:type="dxa"/>
                  <w:vAlign w:val="center"/>
                </w:tcPr>
                <w:p w14:paraId="7E08D61D">
                  <w:pPr>
                    <w:pStyle w:val="28"/>
                    <w:spacing w:line="240" w:lineRule="auto"/>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57.50%</w:t>
                  </w:r>
                </w:p>
              </w:tc>
              <w:tc>
                <w:tcPr>
                  <w:tcW w:w="903" w:type="dxa"/>
                  <w:tcBorders>
                    <w:right w:val="single" w:color="000000" w:sz="4" w:space="0"/>
                  </w:tcBorders>
                  <w:vAlign w:val="center"/>
                </w:tcPr>
                <w:p w14:paraId="340B1BD5">
                  <w:pPr>
                    <w:pStyle w:val="23"/>
                    <w:jc w:val="center"/>
                    <w:rPr>
                      <w:rFonts w:hint="default" w:ascii="Times New Roman" w:hAnsi="Times New Roman" w:eastAsia="宋体" w:cs="Times New Roman"/>
                      <w:color w:val="auto"/>
                      <w:spacing w:val="5"/>
                      <w:sz w:val="21"/>
                      <w:szCs w:val="21"/>
                      <w:lang w:eastAsia="zh-CN"/>
                    </w:rPr>
                  </w:pPr>
                  <w:r>
                    <w:rPr>
                      <w:rFonts w:ascii="Times New Roman" w:hAnsi="Times New Roman" w:cs="Times New Roman"/>
                      <w:color w:val="auto"/>
                      <w:spacing w:val="5"/>
                      <w:sz w:val="21"/>
                      <w:szCs w:val="21"/>
                      <w:highlight w:val="none"/>
                      <w:lang w:eastAsia="zh-CN"/>
                    </w:rPr>
                    <w:t>达标</w:t>
                  </w:r>
                </w:p>
              </w:tc>
            </w:tr>
          </w:tbl>
          <w:p w14:paraId="3AF207A3">
            <w:pPr>
              <w:pStyle w:val="6"/>
              <w:kinsoku/>
              <w:spacing w:line="240" w:lineRule="auto"/>
              <w:rPr>
                <w:rFonts w:hint="default" w:ascii="Times New Roman" w:hAnsi="Times New Roman" w:eastAsia="宋体" w:cs="Times New Roman"/>
                <w:b/>
                <w:bCs/>
                <w:color w:val="auto"/>
                <w:lang w:eastAsia="zh-CN"/>
              </w:rPr>
            </w:pPr>
          </w:p>
          <w:bookmarkEnd w:id="17"/>
          <w:p w14:paraId="6C7B0CF8">
            <w:pPr>
              <w:pStyle w:val="23"/>
              <w:kinsoku/>
              <w:spacing w:before="38" w:line="356" w:lineRule="auto"/>
              <w:rPr>
                <w:rFonts w:hint="default" w:ascii="Times New Roman" w:hAnsi="Times New Roman" w:eastAsia="宋体" w:cs="Times New Roman"/>
                <w:b/>
                <w:bCs/>
                <w:color w:val="auto"/>
                <w:spacing w:val="-2"/>
                <w:sz w:val="24"/>
                <w:szCs w:val="24"/>
                <w:lang w:eastAsia="zh-CN"/>
              </w:rPr>
            </w:pPr>
            <w:r>
              <w:rPr>
                <w:rFonts w:hint="eastAsia" w:ascii="Times New Roman" w:hAnsi="Times New Roman" w:cs="Times New Roman"/>
                <w:b/>
                <w:bCs/>
                <w:color w:val="auto"/>
                <w:spacing w:val="-2"/>
                <w:sz w:val="24"/>
                <w:szCs w:val="24"/>
                <w:lang w:val="en-US" w:eastAsia="zh-CN"/>
              </w:rPr>
              <w:t>5</w:t>
            </w:r>
            <w:r>
              <w:rPr>
                <w:rFonts w:hint="default" w:ascii="Times New Roman" w:hAnsi="Times New Roman" w:eastAsia="宋体" w:cs="Times New Roman"/>
                <w:b/>
                <w:bCs/>
                <w:color w:val="auto"/>
                <w:spacing w:val="-2"/>
                <w:sz w:val="24"/>
                <w:szCs w:val="24"/>
                <w:lang w:eastAsia="zh-CN"/>
              </w:rPr>
              <w:t>.声环境质量现状</w:t>
            </w:r>
          </w:p>
          <w:p w14:paraId="47AD6F4B">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根据《建设项目环境影响报告表编制技术指南（生态影响类）（试行）》本项目50m范围内无声环境保护目标，因此，本项目可不开展声环境质量现状监测评价。</w:t>
            </w:r>
          </w:p>
          <w:p w14:paraId="63936AFB">
            <w:pPr>
              <w:pStyle w:val="23"/>
              <w:kinsoku/>
              <w:spacing w:before="38" w:line="360" w:lineRule="auto"/>
              <w:rPr>
                <w:rFonts w:hint="default" w:ascii="Times New Roman" w:hAnsi="Times New Roman" w:eastAsia="宋体" w:cs="Times New Roman"/>
                <w:b/>
                <w:bCs/>
                <w:color w:val="auto"/>
                <w:spacing w:val="-2"/>
                <w:sz w:val="24"/>
                <w:szCs w:val="24"/>
                <w:lang w:eastAsia="zh-CN"/>
              </w:rPr>
            </w:pPr>
            <w:r>
              <w:rPr>
                <w:rFonts w:hint="eastAsia" w:ascii="Times New Roman" w:hAnsi="Times New Roman" w:cs="Times New Roman"/>
                <w:b/>
                <w:bCs/>
                <w:color w:val="auto"/>
                <w:spacing w:val="-2"/>
                <w:sz w:val="24"/>
                <w:szCs w:val="24"/>
                <w:lang w:val="en-US" w:eastAsia="zh-CN"/>
              </w:rPr>
              <w:t>6</w:t>
            </w:r>
            <w:r>
              <w:rPr>
                <w:rFonts w:hint="default" w:ascii="Times New Roman" w:hAnsi="Times New Roman" w:eastAsia="宋体" w:cs="Times New Roman"/>
                <w:b/>
                <w:bCs/>
                <w:color w:val="auto"/>
                <w:spacing w:val="-2"/>
                <w:sz w:val="24"/>
                <w:szCs w:val="24"/>
                <w:lang w:eastAsia="zh-CN"/>
              </w:rPr>
              <w:t>.地表水和地下水环境质量现状</w:t>
            </w:r>
          </w:p>
          <w:p w14:paraId="297C1E1D">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本项目钻井期间钻井废水循环利用，本工程区周边5km范围内无常年天然地表水体分布，与地表水体无水力联系。</w:t>
            </w:r>
            <w:r>
              <w:rPr>
                <w:rFonts w:ascii="宋体" w:hAnsi="宋体" w:eastAsia="宋体" w:cs="宋体"/>
                <w:color w:val="auto"/>
                <w:sz w:val="24"/>
                <w:szCs w:val="24"/>
              </w:rPr>
              <w:t>根据现场踏勘及建设单位核实情况，本项目临时占地范围内涉及的沟渠为区域地表自然冲沟，沟内现状无常年地表径流，现场未见引水、蓄水、分水闸、泵站、衬砌渠系等农田灌溉设施，周边也未见该沟渠直接服务的成片灌溉农田。结合项目周边土地利用现状分析，该沟渠现阶段不承担农田灌溉功能，主要发挥区域雨季汇水、排水作用。本项目施工期将占用部分沟渠用地，施工时应尽量减少对原有沟渠形态的扰动，不得随意阻断沟道；临时道路跨沟位置应采取预埋涵管或保留过水断面等措施，保障沟渠排水通畅。施工结束后及时清理施工废弃物，并对沟渠地形地貌进行恢复，防止影响区域排水功能。</w:t>
            </w:r>
          </w:p>
          <w:p w14:paraId="199C0CD7">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本工程行业类别是矿产资源地质勘查（含油气资源勘探），按照《环境影响评价技术导则-地下水环境》（HJ610-2016）标准划分，本工程为地下水环境影响评价中Ⅳ类项目，Ⅳ类建设项目不开展地下水环境影响评价。</w:t>
            </w:r>
          </w:p>
          <w:p w14:paraId="12A54077">
            <w:pPr>
              <w:pStyle w:val="23"/>
              <w:kinsoku/>
              <w:spacing w:before="38" w:line="356" w:lineRule="auto"/>
              <w:rPr>
                <w:rFonts w:hint="default" w:ascii="Times New Roman" w:hAnsi="Times New Roman" w:eastAsia="宋体" w:cs="Times New Roman"/>
                <w:b/>
                <w:bCs/>
                <w:color w:val="auto"/>
                <w:spacing w:val="-2"/>
                <w:sz w:val="24"/>
                <w:szCs w:val="24"/>
                <w:lang w:eastAsia="zh-CN"/>
              </w:rPr>
            </w:pPr>
            <w:r>
              <w:rPr>
                <w:rFonts w:hint="eastAsia" w:ascii="Times New Roman" w:hAnsi="Times New Roman" w:cs="Times New Roman"/>
                <w:b/>
                <w:bCs/>
                <w:color w:val="auto"/>
                <w:spacing w:val="-2"/>
                <w:sz w:val="24"/>
                <w:szCs w:val="24"/>
                <w:lang w:val="en-US" w:eastAsia="zh-CN"/>
              </w:rPr>
              <w:t>7</w:t>
            </w:r>
            <w:r>
              <w:rPr>
                <w:rFonts w:hint="default" w:ascii="Times New Roman" w:hAnsi="Times New Roman" w:eastAsia="宋体" w:cs="Times New Roman"/>
                <w:b/>
                <w:bCs/>
                <w:color w:val="auto"/>
                <w:spacing w:val="-2"/>
                <w:sz w:val="24"/>
                <w:szCs w:val="24"/>
                <w:lang w:eastAsia="zh-CN"/>
              </w:rPr>
              <w:t>.土壤环境质量现状</w:t>
            </w:r>
          </w:p>
          <w:p w14:paraId="68A6DD16">
            <w:pPr>
              <w:pStyle w:val="23"/>
              <w:kinsoku/>
              <w:spacing w:before="38" w:line="356" w:lineRule="auto"/>
              <w:ind w:firstLine="482"/>
              <w:jc w:val="both"/>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eastAsia="zh-CN"/>
              </w:rPr>
              <w:t>根据《环境影响评价技术导则 土壤环境（试行）》（HJ964-2018）中4.2.2“根据行业特征、工艺特点或规模大小等将建设项目类别分为Ⅰ类、Ⅱ类、Ⅲ类、Ⅳ类，其中Ⅳ类建设项目可不展开土壤环境影响评价；自身为敏感目标的建设项目，可根据需要仅对土壤现状进行调查”，本项目属于附录A中的其他行业项目，即为Ⅳ类建设项目可不开展土壤环境影响评价，钻井期采用泥浆不落地、罐区进行防渗，本次环评未开展土壤现状调查。</w:t>
            </w:r>
            <w:r>
              <w:rPr>
                <w:rFonts w:hint="default" w:ascii="Times New Roman" w:hAnsi="Times New Roman" w:eastAsia="宋体" w:cs="Times New Roman"/>
                <w:color w:val="auto"/>
                <w:spacing w:val="-2"/>
                <w:sz w:val="24"/>
                <w:szCs w:val="24"/>
                <w:lang w:val="en-US" w:eastAsia="zh-CN"/>
              </w:rPr>
              <w:t>本项目土壤类型图见附图</w:t>
            </w:r>
            <w:r>
              <w:rPr>
                <w:rFonts w:hint="eastAsia" w:ascii="Times New Roman" w:hAnsi="Times New Roman" w:cs="Times New Roman"/>
                <w:color w:val="auto"/>
                <w:spacing w:val="-2"/>
                <w:sz w:val="24"/>
                <w:szCs w:val="24"/>
                <w:lang w:val="en-US" w:eastAsia="zh-CN"/>
              </w:rPr>
              <w:t>8</w:t>
            </w:r>
            <w:r>
              <w:rPr>
                <w:rFonts w:hint="default" w:ascii="Times New Roman" w:hAnsi="Times New Roman" w:eastAsia="宋体" w:cs="Times New Roman"/>
                <w:color w:val="auto"/>
                <w:spacing w:val="-2"/>
                <w:sz w:val="24"/>
                <w:szCs w:val="24"/>
                <w:lang w:val="en-US" w:eastAsia="zh-CN"/>
              </w:rPr>
              <w:t>。</w:t>
            </w:r>
          </w:p>
        </w:tc>
      </w:tr>
      <w:tr w14:paraId="1F43D1D6">
        <w:trPr>
          <w:trHeight w:val="1390" w:hRule="atLeast"/>
          <w:jc w:val="center"/>
        </w:trPr>
        <w:tc>
          <w:tcPr>
            <w:tcW w:w="991" w:type="dxa"/>
            <w:tcBorders>
              <w:left w:val="single" w:color="000000" w:sz="4" w:space="0"/>
            </w:tcBorders>
            <w:vAlign w:val="center"/>
          </w:tcPr>
          <w:p w14:paraId="15D14640">
            <w:pPr>
              <w:pStyle w:val="23"/>
              <w:kinsoku/>
              <w:spacing w:before="171" w:line="228" w:lineRule="auto"/>
              <w:ind w:left="3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14"/>
                <w:sz w:val="24"/>
                <w:szCs w:val="24"/>
                <w:lang w:eastAsia="zh-CN"/>
              </w:rPr>
              <w:t>与项目有关的原有</w:t>
            </w:r>
            <w:r>
              <w:rPr>
                <w:rFonts w:hint="default" w:ascii="Times New Roman" w:hAnsi="Times New Roman" w:eastAsia="宋体" w:cs="Times New Roman"/>
                <w:color w:val="auto"/>
                <w:spacing w:val="15"/>
                <w:sz w:val="24"/>
                <w:szCs w:val="24"/>
                <w:lang w:eastAsia="zh-CN"/>
              </w:rPr>
              <w:t>环境污染</w:t>
            </w:r>
            <w:r>
              <w:rPr>
                <w:rFonts w:hint="default" w:ascii="Times New Roman" w:hAnsi="Times New Roman" w:eastAsia="宋体" w:cs="Times New Roman"/>
                <w:color w:val="auto"/>
                <w:spacing w:val="14"/>
                <w:sz w:val="24"/>
                <w:szCs w:val="24"/>
                <w:lang w:eastAsia="zh-CN"/>
              </w:rPr>
              <w:t>和生态破</w:t>
            </w:r>
            <w:r>
              <w:rPr>
                <w:rFonts w:hint="default" w:ascii="Times New Roman" w:hAnsi="Times New Roman" w:eastAsia="宋体" w:cs="Times New Roman"/>
                <w:color w:val="auto"/>
                <w:spacing w:val="13"/>
                <w:sz w:val="24"/>
                <w:szCs w:val="24"/>
                <w:lang w:eastAsia="zh-CN"/>
              </w:rPr>
              <w:t>坏问题</w:t>
            </w:r>
          </w:p>
        </w:tc>
        <w:tc>
          <w:tcPr>
            <w:tcW w:w="8108" w:type="dxa"/>
            <w:tcBorders>
              <w:right w:val="single" w:color="000000" w:sz="4" w:space="0"/>
            </w:tcBorders>
            <w:vAlign w:val="center"/>
          </w:tcPr>
          <w:p w14:paraId="1880C64A">
            <w:pPr>
              <w:pStyle w:val="23"/>
              <w:kinsoku/>
              <w:spacing w:before="78" w:line="219"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lang w:eastAsia="zh-CN"/>
              </w:rPr>
              <w:t>本项目为新建项目，不存在原有环境污染和生态破坏问题。</w:t>
            </w:r>
          </w:p>
        </w:tc>
      </w:tr>
      <w:tr w14:paraId="0982A3AB">
        <w:trPr>
          <w:trHeight w:val="351" w:hRule="atLeast"/>
          <w:jc w:val="center"/>
        </w:trPr>
        <w:tc>
          <w:tcPr>
            <w:tcW w:w="991" w:type="dxa"/>
            <w:tcBorders>
              <w:left w:val="single" w:color="000000" w:sz="4" w:space="0"/>
            </w:tcBorders>
            <w:vAlign w:val="center"/>
          </w:tcPr>
          <w:p w14:paraId="07D5C720">
            <w:pPr>
              <w:pStyle w:val="23"/>
              <w:kinsoku/>
              <w:spacing w:before="171" w:line="228" w:lineRule="auto"/>
              <w:ind w:left="30"/>
              <w:jc w:val="center"/>
              <w:rPr>
                <w:rFonts w:hint="default" w:ascii="Times New Roman" w:hAnsi="Times New Roman" w:eastAsia="宋体" w:cs="Times New Roman"/>
                <w:color w:val="auto"/>
                <w:spacing w:val="13"/>
              </w:rPr>
            </w:pPr>
            <w:r>
              <w:rPr>
                <w:rFonts w:hint="default" w:ascii="Times New Roman" w:hAnsi="Times New Roman" w:eastAsia="宋体" w:cs="Times New Roman"/>
                <w:color w:val="auto"/>
                <w:spacing w:val="14"/>
                <w:sz w:val="24"/>
                <w:szCs w:val="24"/>
              </w:rPr>
              <w:t>生态环境保护目标</w:t>
            </w:r>
          </w:p>
        </w:tc>
        <w:tc>
          <w:tcPr>
            <w:tcW w:w="8108" w:type="dxa"/>
            <w:tcBorders>
              <w:right w:val="single" w:color="000000" w:sz="4" w:space="0"/>
            </w:tcBorders>
          </w:tcPr>
          <w:p w14:paraId="2F44DBEF">
            <w:pPr>
              <w:pStyle w:val="23"/>
              <w:kinsoku/>
              <w:spacing w:before="38" w:line="356"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1.环境保护目标</w:t>
            </w:r>
          </w:p>
          <w:p w14:paraId="375C249E">
            <w:pPr>
              <w:pStyle w:val="23"/>
              <w:kinsoku/>
              <w:spacing w:before="38" w:line="356"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根据现场调查，项目周边500m范围内无自然保护区、风景名胜区、居住区、文化区、人群较集中的区域，周边50m范围内无声环境保护目标，项目占地范围内无地下水集中式饮用水水源和热水、矿泉水、温泉等特殊地下水资源。生态环境评价范围内的野生动植物保护要求为禁止随意踩踏碾压、砍伐，保护野生动植物生境不被破坏，禁止随意踩踏碾压野生植被，车辆行驶及物料堆放等禁止占用周边的耕地。</w:t>
            </w:r>
            <w:r>
              <w:rPr>
                <w:rFonts w:ascii="宋体" w:hAnsi="宋体" w:eastAsia="宋体" w:cs="宋体"/>
                <w:color w:val="auto"/>
                <w:sz w:val="24"/>
                <w:szCs w:val="24"/>
              </w:rPr>
              <w:t>本项目井场及临时道路占地类型主要为灌木林地和沟渠，不直接占用耕地。结合现场踏勘和周边土地利用现状，项目区周边存在耕地分布，耕地属于项目周边土壤环境敏感对象之一，因此在环境保护目标识别中予以关注。项目与周边耕地的最近距离应根据井场总平面布置图、临时道路布设图及现场踏勘结果进一步核实，并在环境保护目标表中补充标明。由于项目不直接占用耕地，耕地不属于项目永久或临时占地范围内的土壤保护对象，而属于项目外围需防控污染影响的土壤环境敏感目标。</w:t>
            </w:r>
          </w:p>
          <w:p w14:paraId="7FB63A56">
            <w:pPr>
              <w:pStyle w:val="23"/>
              <w:kinsoku/>
              <w:spacing w:before="38" w:line="356"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根据本项目特性和所在地环境特征，本项目环境保护目标具体情况见表3-</w:t>
            </w:r>
            <w:r>
              <w:rPr>
                <w:rFonts w:hint="default" w:ascii="Times New Roman" w:hAnsi="Times New Roman" w:eastAsia="宋体" w:cs="Times New Roman"/>
                <w:color w:val="auto"/>
                <w:spacing w:val="-2"/>
                <w:sz w:val="24"/>
                <w:szCs w:val="24"/>
                <w:lang w:val="en-US" w:eastAsia="zh-CN"/>
              </w:rPr>
              <w:t>5</w:t>
            </w:r>
            <w:r>
              <w:rPr>
                <w:rFonts w:hint="default" w:ascii="Times New Roman" w:hAnsi="Times New Roman" w:eastAsia="宋体" w:cs="Times New Roman"/>
                <w:color w:val="auto"/>
                <w:spacing w:val="-2"/>
                <w:sz w:val="24"/>
                <w:szCs w:val="24"/>
                <w:lang w:eastAsia="zh-CN"/>
              </w:rPr>
              <w:t>。</w:t>
            </w:r>
          </w:p>
          <w:p w14:paraId="0CE8DF45">
            <w:pPr>
              <w:pStyle w:val="23"/>
              <w:kinsoku/>
              <w:spacing w:before="38"/>
              <w:jc w:val="center"/>
              <w:rPr>
                <w:rFonts w:hint="default" w:ascii="Times New Roman" w:hAnsi="Times New Roman" w:eastAsia="宋体" w:cs="Times New Roman"/>
                <w:b/>
                <w:bCs/>
                <w:color w:val="auto"/>
                <w:spacing w:val="-2"/>
                <w:sz w:val="21"/>
                <w:szCs w:val="21"/>
                <w:lang w:eastAsia="zh-CN"/>
              </w:rPr>
            </w:pPr>
            <w:r>
              <w:rPr>
                <w:rFonts w:hint="default" w:ascii="Times New Roman" w:hAnsi="Times New Roman" w:eastAsia="宋体" w:cs="Times New Roman"/>
                <w:b/>
                <w:bCs/>
                <w:color w:val="auto"/>
                <w:spacing w:val="-2"/>
                <w:sz w:val="21"/>
                <w:szCs w:val="21"/>
                <w:lang w:eastAsia="zh-CN"/>
              </w:rPr>
              <w:t>表3-</w:t>
            </w:r>
            <w:r>
              <w:rPr>
                <w:rFonts w:hint="default" w:ascii="Times New Roman" w:hAnsi="Times New Roman" w:eastAsia="宋体" w:cs="Times New Roman"/>
                <w:b/>
                <w:bCs/>
                <w:color w:val="auto"/>
                <w:spacing w:val="-2"/>
                <w:sz w:val="21"/>
                <w:szCs w:val="21"/>
                <w:lang w:val="en-US" w:eastAsia="zh-CN"/>
              </w:rPr>
              <w:t>5</w:t>
            </w:r>
            <w:r>
              <w:rPr>
                <w:rFonts w:hint="default" w:ascii="Times New Roman" w:hAnsi="Times New Roman" w:eastAsia="宋体" w:cs="Times New Roman"/>
                <w:b/>
                <w:bCs/>
                <w:color w:val="auto"/>
                <w:spacing w:val="-2"/>
                <w:sz w:val="21"/>
                <w:szCs w:val="21"/>
                <w:lang w:eastAsia="zh-CN"/>
              </w:rPr>
              <w:t xml:space="preserve"> 主要环境敏感目标一览表</w:t>
            </w:r>
          </w:p>
          <w:tbl>
            <w:tblPr>
              <w:tblStyle w:val="17"/>
              <w:tblW w:w="7919" w:type="dxa"/>
              <w:jc w:val="center"/>
              <w:tblLayout w:type="fixed"/>
              <w:tblCellMar>
                <w:top w:w="0" w:type="dxa"/>
                <w:left w:w="108" w:type="dxa"/>
                <w:bottom w:w="0" w:type="dxa"/>
                <w:right w:w="108" w:type="dxa"/>
              </w:tblCellMar>
            </w:tblPr>
            <w:tblGrid>
              <w:gridCol w:w="1062"/>
              <w:gridCol w:w="1366"/>
              <w:gridCol w:w="723"/>
              <w:gridCol w:w="4768"/>
            </w:tblGrid>
            <w:tr w14:paraId="7B26629A">
              <w:trPr>
                <w:trHeight w:val="287" w:hRule="atLeast"/>
                <w:jc w:val="center"/>
              </w:trPr>
              <w:tc>
                <w:tcPr>
                  <w:tcW w:w="1062" w:type="dxa"/>
                  <w:tcBorders>
                    <w:top w:val="single" w:color="000000" w:sz="4" w:space="0"/>
                    <w:left w:val="single" w:color="000000" w:sz="4" w:space="0"/>
                    <w:bottom w:val="single" w:color="000000" w:sz="4" w:space="0"/>
                    <w:right w:val="single" w:color="000000" w:sz="4" w:space="0"/>
                  </w:tcBorders>
                  <w:vAlign w:val="center"/>
                </w:tcPr>
                <w:p w14:paraId="5CCA0E71">
                  <w:pPr>
                    <w:kinsoku/>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bidi="ar"/>
                    </w:rPr>
                    <w:t>保护要素</w:t>
                  </w:r>
                </w:p>
              </w:tc>
              <w:tc>
                <w:tcPr>
                  <w:tcW w:w="1366" w:type="dxa"/>
                  <w:tcBorders>
                    <w:top w:val="single" w:color="000000" w:sz="4" w:space="0"/>
                    <w:left w:val="single" w:color="000000" w:sz="4" w:space="0"/>
                    <w:bottom w:val="single" w:color="000000" w:sz="4" w:space="0"/>
                    <w:right w:val="single" w:color="000000" w:sz="4" w:space="0"/>
                  </w:tcBorders>
                  <w:vAlign w:val="center"/>
                </w:tcPr>
                <w:p w14:paraId="4E98DD9E">
                  <w:pPr>
                    <w:kinsoku/>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bidi="ar"/>
                    </w:rPr>
                    <w:t>保护对象</w:t>
                  </w:r>
                </w:p>
              </w:tc>
              <w:tc>
                <w:tcPr>
                  <w:tcW w:w="723" w:type="dxa"/>
                  <w:tcBorders>
                    <w:top w:val="single" w:color="000000" w:sz="4" w:space="0"/>
                    <w:left w:val="single" w:color="000000" w:sz="4" w:space="0"/>
                    <w:bottom w:val="single" w:color="000000" w:sz="4" w:space="0"/>
                    <w:right w:val="single" w:color="000000" w:sz="4" w:space="0"/>
                  </w:tcBorders>
                  <w:vAlign w:val="center"/>
                </w:tcPr>
                <w:p w14:paraId="597AC4B3">
                  <w:pPr>
                    <w:kinsoku/>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bidi="ar"/>
                    </w:rPr>
                    <w:t>规模</w:t>
                  </w:r>
                </w:p>
              </w:tc>
              <w:tc>
                <w:tcPr>
                  <w:tcW w:w="4768" w:type="dxa"/>
                  <w:tcBorders>
                    <w:top w:val="single" w:color="000000" w:sz="4" w:space="0"/>
                    <w:left w:val="single" w:color="000000" w:sz="4" w:space="0"/>
                    <w:bottom w:val="single" w:color="000000" w:sz="4" w:space="0"/>
                    <w:right w:val="single" w:color="000000" w:sz="4" w:space="0"/>
                  </w:tcBorders>
                  <w:vAlign w:val="center"/>
                </w:tcPr>
                <w:p w14:paraId="55D8D9BF">
                  <w:pPr>
                    <w:kinsoku/>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bidi="ar"/>
                    </w:rPr>
                    <w:t>保护级别</w:t>
                  </w:r>
                </w:p>
              </w:tc>
            </w:tr>
            <w:tr w14:paraId="59F66F66">
              <w:trPr>
                <w:trHeight w:val="565" w:hRule="atLeast"/>
                <w:jc w:val="center"/>
              </w:trPr>
              <w:tc>
                <w:tcPr>
                  <w:tcW w:w="1062" w:type="dxa"/>
                  <w:tcBorders>
                    <w:top w:val="single" w:color="000000" w:sz="4" w:space="0"/>
                    <w:left w:val="single" w:color="000000" w:sz="4" w:space="0"/>
                    <w:bottom w:val="single" w:color="000000" w:sz="4" w:space="0"/>
                    <w:right w:val="single" w:color="000000" w:sz="4" w:space="0"/>
                  </w:tcBorders>
                  <w:vAlign w:val="center"/>
                </w:tcPr>
                <w:p w14:paraId="0AA1B592">
                  <w:pPr>
                    <w:kinsoku/>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环境空气</w:t>
                  </w:r>
                </w:p>
              </w:tc>
              <w:tc>
                <w:tcPr>
                  <w:tcW w:w="1366" w:type="dxa"/>
                  <w:tcBorders>
                    <w:top w:val="single" w:color="000000" w:sz="4" w:space="0"/>
                    <w:left w:val="single" w:color="000000" w:sz="4" w:space="0"/>
                    <w:bottom w:val="single" w:color="000000" w:sz="4" w:space="0"/>
                    <w:right w:val="single" w:color="000000" w:sz="4" w:space="0"/>
                  </w:tcBorders>
                  <w:vAlign w:val="center"/>
                </w:tcPr>
                <w:p w14:paraId="78BF4CD2">
                  <w:pPr>
                    <w:kinsoku/>
                    <w:jc w:val="center"/>
                    <w:textAlignment w:val="top"/>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项目区周边大气环境</w:t>
                  </w:r>
                </w:p>
              </w:tc>
              <w:tc>
                <w:tcPr>
                  <w:tcW w:w="723" w:type="dxa"/>
                  <w:tcBorders>
                    <w:top w:val="single" w:color="000000" w:sz="4" w:space="0"/>
                    <w:left w:val="single" w:color="000000" w:sz="4" w:space="0"/>
                    <w:bottom w:val="single" w:color="000000" w:sz="4" w:space="0"/>
                    <w:right w:val="single" w:color="000000" w:sz="4" w:space="0"/>
                  </w:tcBorders>
                  <w:vAlign w:val="center"/>
                </w:tcPr>
                <w:p w14:paraId="5DF309A0">
                  <w:pPr>
                    <w:kinsoku/>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w:t>
                  </w:r>
                </w:p>
              </w:tc>
              <w:tc>
                <w:tcPr>
                  <w:tcW w:w="4768" w:type="dxa"/>
                  <w:tcBorders>
                    <w:top w:val="single" w:color="000000" w:sz="4" w:space="0"/>
                    <w:left w:val="single" w:color="000000" w:sz="4" w:space="0"/>
                    <w:bottom w:val="single" w:color="000000" w:sz="4" w:space="0"/>
                    <w:right w:val="single" w:color="000000" w:sz="4" w:space="0"/>
                  </w:tcBorders>
                  <w:vAlign w:val="center"/>
                </w:tcPr>
                <w:p w14:paraId="4FC52A59">
                  <w:pPr>
                    <w:kinsoku/>
                    <w:jc w:val="center"/>
                    <w:textAlignment w:val="top"/>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符合《环境空气质量标准》(GB3095-20</w:t>
                  </w:r>
                  <w:r>
                    <w:rPr>
                      <w:rFonts w:hint="eastAsia" w:ascii="Times New Roman" w:hAnsi="Times New Roman" w:eastAsia="宋体" w:cs="Times New Roman"/>
                      <w:color w:val="auto"/>
                      <w:lang w:val="en-US" w:eastAsia="zh-CN" w:bidi="ar"/>
                    </w:rPr>
                    <w:t>26</w:t>
                  </w:r>
                  <w:r>
                    <w:rPr>
                      <w:rFonts w:hint="default" w:ascii="Times New Roman" w:hAnsi="Times New Roman" w:eastAsia="宋体" w:cs="Times New Roman"/>
                      <w:color w:val="auto"/>
                      <w:lang w:eastAsia="zh-CN" w:bidi="ar"/>
                    </w:rPr>
                    <w:t>)的二级标准</w:t>
                  </w:r>
                </w:p>
              </w:tc>
            </w:tr>
            <w:tr w14:paraId="717C4C33">
              <w:trPr>
                <w:trHeight w:val="287" w:hRule="atLeast"/>
                <w:jc w:val="center"/>
              </w:trPr>
              <w:tc>
                <w:tcPr>
                  <w:tcW w:w="1062" w:type="dxa"/>
                  <w:tcBorders>
                    <w:top w:val="single" w:color="000000" w:sz="4" w:space="0"/>
                    <w:left w:val="single" w:color="000000" w:sz="4" w:space="0"/>
                    <w:bottom w:val="single" w:color="000000" w:sz="4" w:space="0"/>
                    <w:right w:val="single" w:color="000000" w:sz="4" w:space="0"/>
                  </w:tcBorders>
                  <w:vAlign w:val="center"/>
                </w:tcPr>
                <w:p w14:paraId="5E1C7871">
                  <w:pPr>
                    <w:kinsoku/>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声环境</w:t>
                  </w:r>
                </w:p>
              </w:tc>
              <w:tc>
                <w:tcPr>
                  <w:tcW w:w="1366" w:type="dxa"/>
                  <w:tcBorders>
                    <w:top w:val="single" w:color="000000" w:sz="4" w:space="0"/>
                    <w:left w:val="single" w:color="000000" w:sz="4" w:space="0"/>
                    <w:bottom w:val="single" w:color="000000" w:sz="4" w:space="0"/>
                    <w:right w:val="single" w:color="000000" w:sz="4" w:space="0"/>
                  </w:tcBorders>
                  <w:vAlign w:val="center"/>
                </w:tcPr>
                <w:p w14:paraId="05455F78">
                  <w:pPr>
                    <w:kinsoku/>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无</w:t>
                  </w:r>
                </w:p>
              </w:tc>
              <w:tc>
                <w:tcPr>
                  <w:tcW w:w="723" w:type="dxa"/>
                  <w:tcBorders>
                    <w:top w:val="single" w:color="000000" w:sz="4" w:space="0"/>
                    <w:left w:val="single" w:color="000000" w:sz="4" w:space="0"/>
                    <w:bottom w:val="single" w:color="000000" w:sz="4" w:space="0"/>
                    <w:right w:val="single" w:color="000000" w:sz="4" w:space="0"/>
                  </w:tcBorders>
                  <w:vAlign w:val="center"/>
                </w:tcPr>
                <w:p w14:paraId="516C3EF5">
                  <w:pPr>
                    <w:kinsoku/>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w:t>
                  </w:r>
                </w:p>
              </w:tc>
              <w:tc>
                <w:tcPr>
                  <w:tcW w:w="4768" w:type="dxa"/>
                  <w:tcBorders>
                    <w:top w:val="single" w:color="000000" w:sz="4" w:space="0"/>
                    <w:left w:val="single" w:color="000000" w:sz="4" w:space="0"/>
                    <w:bottom w:val="single" w:color="000000" w:sz="4" w:space="0"/>
                    <w:right w:val="single" w:color="000000" w:sz="4" w:space="0"/>
                  </w:tcBorders>
                  <w:vAlign w:val="center"/>
                </w:tcPr>
                <w:p w14:paraId="40B817F8">
                  <w:pPr>
                    <w:kinsoku/>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《声环境质量标准》(GB3096—2008)2类标准。</w:t>
                  </w:r>
                </w:p>
              </w:tc>
            </w:tr>
            <w:tr w14:paraId="44CC05BB">
              <w:trPr>
                <w:trHeight w:val="565" w:hRule="atLeast"/>
                <w:jc w:val="center"/>
              </w:trPr>
              <w:tc>
                <w:tcPr>
                  <w:tcW w:w="1062" w:type="dxa"/>
                  <w:vMerge w:val="restart"/>
                  <w:tcBorders>
                    <w:top w:val="single" w:color="000000" w:sz="4" w:space="0"/>
                    <w:left w:val="single" w:color="000000" w:sz="4" w:space="0"/>
                    <w:bottom w:val="single" w:color="000000" w:sz="4" w:space="0"/>
                    <w:right w:val="single" w:color="000000" w:sz="4" w:space="0"/>
                  </w:tcBorders>
                  <w:vAlign w:val="center"/>
                </w:tcPr>
                <w:p w14:paraId="488428D4">
                  <w:pPr>
                    <w:kinsoku/>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生态环境</w:t>
                  </w:r>
                </w:p>
              </w:tc>
              <w:tc>
                <w:tcPr>
                  <w:tcW w:w="1366" w:type="dxa"/>
                  <w:tcBorders>
                    <w:top w:val="single" w:color="000000" w:sz="4" w:space="0"/>
                    <w:left w:val="single" w:color="000000" w:sz="4" w:space="0"/>
                    <w:bottom w:val="single" w:color="000000" w:sz="4" w:space="0"/>
                    <w:right w:val="single" w:color="000000" w:sz="4" w:space="0"/>
                  </w:tcBorders>
                  <w:vAlign w:val="center"/>
                </w:tcPr>
                <w:p w14:paraId="111F20DD">
                  <w:pPr>
                    <w:kinsoku/>
                    <w:jc w:val="center"/>
                    <w:textAlignment w:val="top"/>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荒漠植被、野生动物</w:t>
                  </w:r>
                </w:p>
              </w:tc>
              <w:tc>
                <w:tcPr>
                  <w:tcW w:w="723" w:type="dxa"/>
                  <w:tcBorders>
                    <w:top w:val="single" w:color="000000" w:sz="4" w:space="0"/>
                    <w:left w:val="single" w:color="000000" w:sz="4" w:space="0"/>
                    <w:bottom w:val="single" w:color="000000" w:sz="4" w:space="0"/>
                    <w:right w:val="single" w:color="000000" w:sz="4" w:space="0"/>
                  </w:tcBorders>
                  <w:vAlign w:val="center"/>
                </w:tcPr>
                <w:p w14:paraId="723C7B93">
                  <w:pPr>
                    <w:kinsoku/>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w:t>
                  </w:r>
                </w:p>
              </w:tc>
              <w:tc>
                <w:tcPr>
                  <w:tcW w:w="4768" w:type="dxa"/>
                  <w:tcBorders>
                    <w:top w:val="single" w:color="000000" w:sz="4" w:space="0"/>
                    <w:left w:val="single" w:color="000000" w:sz="4" w:space="0"/>
                    <w:bottom w:val="single" w:color="000000" w:sz="4" w:space="0"/>
                    <w:right w:val="single" w:color="000000" w:sz="4" w:space="0"/>
                  </w:tcBorders>
                  <w:vAlign w:val="center"/>
                </w:tcPr>
                <w:p w14:paraId="155DA693">
                  <w:pPr>
                    <w:kinsoku/>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保护生境不被破坏，保护植被，禁止捕杀野生动物。</w:t>
                  </w:r>
                </w:p>
              </w:tc>
            </w:tr>
            <w:tr w14:paraId="2DEC6F3D">
              <w:trPr>
                <w:trHeight w:val="565" w:hRule="atLeast"/>
                <w:jc w:val="center"/>
              </w:trPr>
              <w:tc>
                <w:tcPr>
                  <w:tcW w:w="1062" w:type="dxa"/>
                  <w:vMerge w:val="continue"/>
                  <w:tcBorders>
                    <w:top w:val="single" w:color="000000" w:sz="4" w:space="0"/>
                    <w:left w:val="single" w:color="000000" w:sz="4" w:space="0"/>
                    <w:bottom w:val="single" w:color="000000" w:sz="4" w:space="0"/>
                    <w:right w:val="single" w:color="000000" w:sz="4" w:space="0"/>
                  </w:tcBorders>
                  <w:vAlign w:val="center"/>
                </w:tcPr>
                <w:p w14:paraId="6204B6D7">
                  <w:pPr>
                    <w:kinsoku/>
                    <w:jc w:val="center"/>
                    <w:rPr>
                      <w:rFonts w:hint="default" w:ascii="Times New Roman" w:hAnsi="Times New Roman" w:eastAsia="宋体" w:cs="Times New Roman"/>
                      <w:color w:val="auto"/>
                      <w:lang w:eastAsia="zh-CN"/>
                    </w:rPr>
                  </w:pPr>
                </w:p>
              </w:tc>
              <w:tc>
                <w:tcPr>
                  <w:tcW w:w="1366" w:type="dxa"/>
                  <w:tcBorders>
                    <w:top w:val="single" w:color="000000" w:sz="4" w:space="0"/>
                    <w:left w:val="single" w:color="000000" w:sz="4" w:space="0"/>
                    <w:bottom w:val="single" w:color="000000" w:sz="4" w:space="0"/>
                    <w:right w:val="single" w:color="000000" w:sz="4" w:space="0"/>
                  </w:tcBorders>
                  <w:vAlign w:val="center"/>
                </w:tcPr>
                <w:p w14:paraId="69E74320">
                  <w:pPr>
                    <w:kinsoku/>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水土流失预防</w:t>
                  </w:r>
                </w:p>
              </w:tc>
              <w:tc>
                <w:tcPr>
                  <w:tcW w:w="723" w:type="dxa"/>
                  <w:tcBorders>
                    <w:top w:val="single" w:color="000000" w:sz="4" w:space="0"/>
                    <w:left w:val="single" w:color="000000" w:sz="4" w:space="0"/>
                    <w:bottom w:val="single" w:color="000000" w:sz="4" w:space="0"/>
                    <w:right w:val="single" w:color="000000" w:sz="4" w:space="0"/>
                  </w:tcBorders>
                  <w:vAlign w:val="center"/>
                </w:tcPr>
                <w:p w14:paraId="6807077A">
                  <w:pPr>
                    <w:kinsoku/>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bidi="ar"/>
                    </w:rPr>
                    <w:t>/</w:t>
                  </w:r>
                </w:p>
              </w:tc>
              <w:tc>
                <w:tcPr>
                  <w:tcW w:w="4768" w:type="dxa"/>
                  <w:tcBorders>
                    <w:top w:val="single" w:color="000000" w:sz="4" w:space="0"/>
                    <w:left w:val="single" w:color="000000" w:sz="4" w:space="0"/>
                    <w:bottom w:val="single" w:color="000000" w:sz="4" w:space="0"/>
                    <w:right w:val="single" w:color="000000" w:sz="4" w:space="0"/>
                  </w:tcBorders>
                  <w:vAlign w:val="center"/>
                </w:tcPr>
                <w:p w14:paraId="70B6BFE4">
                  <w:pPr>
                    <w:kinsoku/>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保护项目区域生态系统完整性和稳定性，做好植被恢复与水土保持工作。</w:t>
                  </w:r>
                </w:p>
              </w:tc>
            </w:tr>
            <w:tr w14:paraId="6EEBE7DC">
              <w:trPr>
                <w:trHeight w:val="291" w:hRule="atLeast"/>
                <w:jc w:val="center"/>
              </w:trPr>
              <w:tc>
                <w:tcPr>
                  <w:tcW w:w="1062" w:type="dxa"/>
                  <w:tcBorders>
                    <w:top w:val="single" w:color="000000" w:sz="4" w:space="0"/>
                    <w:left w:val="single" w:color="000000" w:sz="4" w:space="0"/>
                    <w:bottom w:val="single" w:color="000000" w:sz="4" w:space="0"/>
                    <w:right w:val="single" w:color="000000" w:sz="4" w:space="0"/>
                  </w:tcBorders>
                  <w:vAlign w:val="center"/>
                </w:tcPr>
                <w:p w14:paraId="62742FBB">
                  <w:pPr>
                    <w:kinsoku/>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水环境</w:t>
                  </w:r>
                </w:p>
              </w:tc>
              <w:tc>
                <w:tcPr>
                  <w:tcW w:w="1366" w:type="dxa"/>
                  <w:tcBorders>
                    <w:top w:val="single" w:color="000000" w:sz="4" w:space="0"/>
                    <w:left w:val="single" w:color="000000" w:sz="4" w:space="0"/>
                    <w:bottom w:val="single" w:color="000000" w:sz="4" w:space="0"/>
                    <w:right w:val="single" w:color="000000" w:sz="4" w:space="0"/>
                  </w:tcBorders>
                  <w:vAlign w:val="center"/>
                </w:tcPr>
                <w:p w14:paraId="1E57F818">
                  <w:pPr>
                    <w:kinsoku/>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区域地下水</w:t>
                  </w:r>
                </w:p>
              </w:tc>
              <w:tc>
                <w:tcPr>
                  <w:tcW w:w="723" w:type="dxa"/>
                  <w:tcBorders>
                    <w:top w:val="single" w:color="000000" w:sz="4" w:space="0"/>
                    <w:left w:val="single" w:color="000000" w:sz="4" w:space="0"/>
                    <w:bottom w:val="single" w:color="000000" w:sz="4" w:space="0"/>
                    <w:right w:val="single" w:color="000000" w:sz="4" w:space="0"/>
                  </w:tcBorders>
                  <w:vAlign w:val="center"/>
                </w:tcPr>
                <w:p w14:paraId="2FD57E6C">
                  <w:pPr>
                    <w:kinsoku/>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w:t>
                  </w:r>
                </w:p>
              </w:tc>
              <w:tc>
                <w:tcPr>
                  <w:tcW w:w="4768" w:type="dxa"/>
                  <w:tcBorders>
                    <w:top w:val="single" w:color="000000" w:sz="4" w:space="0"/>
                    <w:left w:val="single" w:color="000000" w:sz="4" w:space="0"/>
                    <w:bottom w:val="single" w:color="000000" w:sz="4" w:space="0"/>
                    <w:right w:val="single" w:color="000000" w:sz="4" w:space="0"/>
                  </w:tcBorders>
                  <w:vAlign w:val="center"/>
                </w:tcPr>
                <w:p w14:paraId="2C5FB693">
                  <w:pPr>
                    <w:kinsoku/>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bidi="ar"/>
                    </w:rPr>
                    <w:t>确保地下水不受污染</w:t>
                  </w:r>
                  <w:r>
                    <w:rPr>
                      <w:rFonts w:hint="eastAsia" w:ascii="Times New Roman" w:hAnsi="Times New Roman" w:eastAsia="宋体" w:cs="Times New Roman"/>
                      <w:color w:val="auto"/>
                      <w:lang w:eastAsia="zh-CN" w:bidi="ar"/>
                    </w:rPr>
                    <w:t>。</w:t>
                  </w:r>
                </w:p>
              </w:tc>
            </w:tr>
            <w:tr w14:paraId="4FAA48E4">
              <w:trPr>
                <w:trHeight w:val="749" w:hRule="atLeast"/>
                <w:jc w:val="center"/>
              </w:trPr>
              <w:tc>
                <w:tcPr>
                  <w:tcW w:w="1062" w:type="dxa"/>
                  <w:tcBorders>
                    <w:top w:val="single" w:color="000000" w:sz="4" w:space="0"/>
                    <w:left w:val="single" w:color="000000" w:sz="4" w:space="0"/>
                    <w:bottom w:val="single" w:color="000000" w:sz="4" w:space="0"/>
                    <w:right w:val="single" w:color="000000" w:sz="4" w:space="0"/>
                  </w:tcBorders>
                  <w:vAlign w:val="center"/>
                </w:tcPr>
                <w:p w14:paraId="6B2AE78B">
                  <w:pPr>
                    <w:pStyle w:val="23"/>
                    <w:kinsoku/>
                    <w:spacing w:before="170" w:line="240" w:lineRule="atLeast"/>
                    <w:jc w:val="center"/>
                    <w:rPr>
                      <w:rFonts w:hint="default" w:ascii="Times New Roman" w:hAnsi="Times New Roman" w:eastAsia="宋体" w:cs="Times New Roman"/>
                      <w:color w:val="auto"/>
                      <w:sz w:val="21"/>
                      <w:szCs w:val="21"/>
                      <w:lang w:eastAsia="zh-CN" w:bidi="ar"/>
                    </w:rPr>
                  </w:pPr>
                  <w:r>
                    <w:rPr>
                      <w:rFonts w:hint="default" w:ascii="Times New Roman" w:hAnsi="Times New Roman" w:eastAsia="宋体" w:cs="Times New Roman"/>
                      <w:color w:val="auto"/>
                      <w:spacing w:val="7"/>
                      <w:sz w:val="21"/>
                      <w:szCs w:val="21"/>
                    </w:rPr>
                    <w:t>土壤环境</w:t>
                  </w:r>
                </w:p>
              </w:tc>
              <w:tc>
                <w:tcPr>
                  <w:tcW w:w="1366" w:type="dxa"/>
                  <w:tcBorders>
                    <w:top w:val="single" w:color="000000" w:sz="4" w:space="0"/>
                    <w:left w:val="single" w:color="000000" w:sz="4" w:space="0"/>
                    <w:bottom w:val="single" w:color="000000" w:sz="4" w:space="0"/>
                    <w:right w:val="single" w:color="000000" w:sz="4" w:space="0"/>
                  </w:tcBorders>
                  <w:vAlign w:val="center"/>
                </w:tcPr>
                <w:p w14:paraId="6801ACD0">
                  <w:pPr>
                    <w:pStyle w:val="23"/>
                    <w:kinsoku/>
                    <w:spacing w:before="169" w:line="240" w:lineRule="atLeast"/>
                    <w:jc w:val="center"/>
                    <w:rPr>
                      <w:rFonts w:hint="default" w:ascii="Times New Roman" w:hAnsi="Times New Roman" w:eastAsia="宋体" w:cs="Times New Roman"/>
                      <w:color w:val="auto"/>
                      <w:sz w:val="21"/>
                      <w:szCs w:val="21"/>
                      <w:lang w:eastAsia="zh-CN" w:bidi="ar"/>
                    </w:rPr>
                  </w:pPr>
                  <w:r>
                    <w:rPr>
                      <w:rFonts w:hint="default" w:ascii="Times New Roman" w:hAnsi="Times New Roman" w:eastAsia="宋体" w:cs="Times New Roman"/>
                      <w:color w:val="auto"/>
                      <w:spacing w:val="4"/>
                      <w:sz w:val="21"/>
                      <w:szCs w:val="21"/>
                    </w:rPr>
                    <w:t>耕地</w:t>
                  </w:r>
                </w:p>
              </w:tc>
              <w:tc>
                <w:tcPr>
                  <w:tcW w:w="723" w:type="dxa"/>
                  <w:tcBorders>
                    <w:top w:val="single" w:color="000000" w:sz="4" w:space="0"/>
                    <w:left w:val="single" w:color="000000" w:sz="4" w:space="0"/>
                    <w:bottom w:val="single" w:color="000000" w:sz="4" w:space="0"/>
                    <w:right w:val="single" w:color="000000" w:sz="4" w:space="0"/>
                  </w:tcBorders>
                  <w:vAlign w:val="center"/>
                </w:tcPr>
                <w:p w14:paraId="234FA85E">
                  <w:pPr>
                    <w:kinsoku/>
                    <w:spacing w:line="240" w:lineRule="atLeast"/>
                    <w:jc w:val="center"/>
                    <w:textAlignment w:val="center"/>
                    <w:rPr>
                      <w:rFonts w:hint="default"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w:t>
                  </w:r>
                </w:p>
              </w:tc>
              <w:tc>
                <w:tcPr>
                  <w:tcW w:w="4768" w:type="dxa"/>
                  <w:tcBorders>
                    <w:top w:val="single" w:color="000000" w:sz="4" w:space="0"/>
                    <w:left w:val="single" w:color="000000" w:sz="4" w:space="0"/>
                    <w:bottom w:val="single" w:color="000000" w:sz="4" w:space="0"/>
                    <w:right w:val="single" w:color="000000" w:sz="4" w:space="0"/>
                  </w:tcBorders>
                  <w:vAlign w:val="center"/>
                </w:tcPr>
                <w:p w14:paraId="41FADAD7">
                  <w:pPr>
                    <w:pStyle w:val="23"/>
                    <w:kinsoku/>
                    <w:spacing w:before="169" w:line="240" w:lineRule="atLeast"/>
                    <w:jc w:val="both"/>
                    <w:rPr>
                      <w:rFonts w:hint="eastAsia" w:ascii="Times New Roman" w:hAnsi="Times New Roman" w:eastAsia="宋体" w:cs="Times New Roman"/>
                      <w:color w:val="auto"/>
                      <w:lang w:eastAsia="zh-CN" w:bidi="ar"/>
                    </w:rPr>
                  </w:pPr>
                  <w:r>
                    <w:rPr>
                      <w:rFonts w:hint="default" w:ascii="Times New Roman" w:hAnsi="Times New Roman" w:eastAsia="宋体" w:cs="Times New Roman"/>
                      <w:color w:val="auto"/>
                      <w:spacing w:val="4"/>
                      <w:sz w:val="21"/>
                      <w:szCs w:val="21"/>
                    </w:rPr>
                    <w:t>项目占地范围内主要为灌木林地和沟渠；项目周边最近耕地位于井场外侧</w:t>
                  </w:r>
                  <w:r>
                    <w:rPr>
                      <w:rFonts w:hint="eastAsia" w:ascii="Times New Roman" w:hAnsi="Times New Roman" w:eastAsia="宋体" w:cs="Times New Roman"/>
                      <w:color w:val="auto"/>
                      <w:spacing w:val="4"/>
                      <w:sz w:val="21"/>
                      <w:szCs w:val="21"/>
                      <w:lang w:val="en-US" w:eastAsia="zh-CN"/>
                    </w:rPr>
                    <w:t>200</w:t>
                  </w:r>
                  <w:r>
                    <w:rPr>
                      <w:rFonts w:hint="default" w:ascii="Times New Roman" w:hAnsi="Times New Roman" w:eastAsia="宋体" w:cs="Times New Roman"/>
                      <w:color w:val="auto"/>
                      <w:spacing w:val="4"/>
                      <w:sz w:val="21"/>
                      <w:szCs w:val="21"/>
                    </w:rPr>
                    <w:t xml:space="preserve"> m，主要保护要求为避免施工扬尘、废水、钻井液、油类物质及固体废物对周边耕地土壤环境造成污染影响</w:t>
                  </w:r>
                  <w:r>
                    <w:rPr>
                      <w:rFonts w:hint="eastAsia" w:ascii="Times New Roman" w:hAnsi="Times New Roman" w:eastAsia="宋体" w:cs="Times New Roman"/>
                      <w:color w:val="auto"/>
                      <w:spacing w:val="4"/>
                      <w:sz w:val="21"/>
                      <w:szCs w:val="21"/>
                      <w:lang w:eastAsia="zh-CN"/>
                    </w:rPr>
                    <w:t>。</w:t>
                  </w:r>
                </w:p>
              </w:tc>
            </w:tr>
          </w:tbl>
          <w:p w14:paraId="52BB240D">
            <w:pPr>
              <w:pStyle w:val="23"/>
              <w:kinsoku/>
              <w:spacing w:before="38" w:line="356"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2.保护要求</w:t>
            </w:r>
          </w:p>
          <w:p w14:paraId="7062DCAA">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（1）保护项目所在区域的空气质量，保持现有空气质量级别，不因本项目的建设降低环境空气质量；</w:t>
            </w:r>
          </w:p>
          <w:p w14:paraId="1BB84CB6">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（2）保护项目所在区域地下水质量保持在现有水平，不受本项目所排废水的影响；</w:t>
            </w:r>
          </w:p>
          <w:p w14:paraId="0863ABC7">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（3）保护项目区声环境质量现状，符合《声环境质量标准》（GB3096-2008）的2类声环境功能限值；</w:t>
            </w:r>
          </w:p>
          <w:p w14:paraId="72C1939B">
            <w:pPr>
              <w:pStyle w:val="23"/>
              <w:kinsoku/>
              <w:spacing w:before="38" w:line="356"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（4）生态环境保护目标：本工程需保护项目区生态环境，使项目的建成对项目区生态环境影响较小；</w:t>
            </w:r>
          </w:p>
          <w:p w14:paraId="0748A8DC">
            <w:pPr>
              <w:pStyle w:val="23"/>
              <w:kinsoku/>
              <w:spacing w:before="38" w:line="356" w:lineRule="auto"/>
              <w:ind w:firstLine="482"/>
              <w:jc w:val="both"/>
              <w:rPr>
                <w:rFonts w:hint="default" w:ascii="Times New Roman" w:hAnsi="Times New Roman" w:eastAsia="宋体" w:cs="Times New Roman"/>
                <w:b/>
                <w:bCs/>
                <w:color w:val="auto"/>
                <w:spacing w:val="5"/>
                <w:lang w:eastAsia="zh-CN"/>
              </w:rPr>
            </w:pPr>
            <w:r>
              <w:rPr>
                <w:rFonts w:hint="default" w:ascii="Times New Roman" w:hAnsi="Times New Roman" w:eastAsia="宋体" w:cs="Times New Roman"/>
                <w:color w:val="auto"/>
                <w:spacing w:val="-2"/>
                <w:sz w:val="24"/>
                <w:szCs w:val="24"/>
                <w:lang w:eastAsia="zh-CN"/>
              </w:rPr>
              <w:t>（5）土壤环境质量按照《土壤环境质量 农用地土壤污染风险管控标准（试行）》（GB15618-2018 ) 执行。</w:t>
            </w:r>
          </w:p>
        </w:tc>
      </w:tr>
      <w:tr w14:paraId="2B16393A">
        <w:trPr>
          <w:trHeight w:val="1612" w:hRule="atLeast"/>
          <w:jc w:val="center"/>
        </w:trPr>
        <w:tc>
          <w:tcPr>
            <w:tcW w:w="991" w:type="dxa"/>
            <w:tcBorders>
              <w:left w:val="single" w:color="000000" w:sz="4" w:space="0"/>
              <w:bottom w:val="single" w:color="auto" w:sz="4" w:space="0"/>
            </w:tcBorders>
            <w:vAlign w:val="center"/>
          </w:tcPr>
          <w:p w14:paraId="73CD7CE2">
            <w:pPr>
              <w:pStyle w:val="23"/>
              <w:kinsoku/>
              <w:spacing w:before="65" w:line="228"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评价标准</w:t>
            </w:r>
          </w:p>
        </w:tc>
        <w:tc>
          <w:tcPr>
            <w:tcW w:w="8108" w:type="dxa"/>
            <w:tcBorders>
              <w:bottom w:val="single" w:color="auto" w:sz="4" w:space="0"/>
              <w:right w:val="single" w:color="000000" w:sz="4" w:space="0"/>
            </w:tcBorders>
            <w:vAlign w:val="center"/>
          </w:tcPr>
          <w:p w14:paraId="2D3CD8EC">
            <w:pPr>
              <w:pStyle w:val="23"/>
              <w:kinsoku/>
              <w:spacing w:line="360" w:lineRule="auto"/>
              <w:ind w:firstLine="420" w:firstLineChars="200"/>
              <w:jc w:val="both"/>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 xml:space="preserve"> </w:t>
            </w:r>
            <w:r>
              <w:rPr>
                <w:rFonts w:hint="default" w:ascii="Times New Roman" w:hAnsi="Times New Roman" w:eastAsia="宋体" w:cs="Times New Roman"/>
                <w:color w:val="auto"/>
                <w:spacing w:val="-2"/>
                <w:sz w:val="24"/>
                <w:szCs w:val="24"/>
                <w:lang w:eastAsia="zh-CN"/>
              </w:rPr>
              <w:t>项目施工期执行标准见表3-</w:t>
            </w:r>
            <w:r>
              <w:rPr>
                <w:rFonts w:hint="default" w:ascii="Times New Roman" w:hAnsi="Times New Roman" w:eastAsia="宋体" w:cs="Times New Roman"/>
                <w:color w:val="auto"/>
                <w:spacing w:val="-2"/>
                <w:sz w:val="24"/>
                <w:szCs w:val="24"/>
                <w:lang w:val="en-US" w:eastAsia="zh-CN"/>
              </w:rPr>
              <w:t>6</w:t>
            </w:r>
            <w:r>
              <w:rPr>
                <w:rFonts w:hint="default" w:ascii="Times New Roman" w:hAnsi="Times New Roman" w:eastAsia="宋体" w:cs="Times New Roman"/>
                <w:color w:val="auto"/>
                <w:spacing w:val="-2"/>
                <w:sz w:val="24"/>
                <w:szCs w:val="24"/>
                <w:lang w:eastAsia="zh-CN"/>
              </w:rPr>
              <w:t>。</w:t>
            </w:r>
          </w:p>
          <w:p w14:paraId="125AA217">
            <w:pPr>
              <w:pStyle w:val="23"/>
              <w:kinsoku/>
              <w:jc w:val="center"/>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b/>
                <w:bCs/>
                <w:color w:val="auto"/>
                <w:sz w:val="21"/>
                <w:szCs w:val="21"/>
              </w:rPr>
              <w:t>表3-</w:t>
            </w:r>
            <w:r>
              <w:rPr>
                <w:rFonts w:hint="default"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eastAsia="zh-CN"/>
              </w:rPr>
              <w:t xml:space="preserve"> 执行标准及限值</w:t>
            </w:r>
          </w:p>
          <w:tbl>
            <w:tblPr>
              <w:tblStyle w:val="22"/>
              <w:tblW w:w="79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9"/>
              <w:gridCol w:w="717"/>
              <w:gridCol w:w="668"/>
              <w:gridCol w:w="5955"/>
            </w:tblGrid>
            <w:tr w14:paraId="539E1CF9">
              <w:trPr>
                <w:trHeight w:val="193" w:hRule="atLeast"/>
                <w:jc w:val="center"/>
              </w:trPr>
              <w:tc>
                <w:tcPr>
                  <w:tcW w:w="1984" w:type="dxa"/>
                  <w:gridSpan w:val="3"/>
                  <w:vAlign w:val="center"/>
                </w:tcPr>
                <w:p w14:paraId="3A09035B">
                  <w:pPr>
                    <w:pStyle w:val="23"/>
                    <w:kinsoku/>
                    <w:spacing w:before="45" w:line="209"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7"/>
                      <w:sz w:val="21"/>
                      <w:szCs w:val="21"/>
                    </w:rPr>
                    <w:t>环境要素</w:t>
                  </w:r>
                </w:p>
              </w:tc>
              <w:tc>
                <w:tcPr>
                  <w:tcW w:w="5955" w:type="dxa"/>
                  <w:tcBorders>
                    <w:right w:val="single" w:color="000000" w:sz="4" w:space="0"/>
                  </w:tcBorders>
                  <w:vAlign w:val="center"/>
                </w:tcPr>
                <w:p w14:paraId="06D279FA">
                  <w:pPr>
                    <w:pStyle w:val="23"/>
                    <w:kinsoku/>
                    <w:spacing w:before="45" w:line="209"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7"/>
                      <w:sz w:val="21"/>
                      <w:szCs w:val="21"/>
                    </w:rPr>
                    <w:t>执行标准</w:t>
                  </w:r>
                </w:p>
              </w:tc>
            </w:tr>
            <w:tr w14:paraId="0F8D7833">
              <w:trPr>
                <w:trHeight w:val="193" w:hRule="atLeast"/>
                <w:jc w:val="center"/>
              </w:trPr>
              <w:tc>
                <w:tcPr>
                  <w:tcW w:w="599" w:type="dxa"/>
                  <w:vMerge w:val="restart"/>
                  <w:tcBorders>
                    <w:bottom w:val="nil"/>
                  </w:tcBorders>
                  <w:vAlign w:val="center"/>
                </w:tcPr>
                <w:p w14:paraId="73CA5C4A">
                  <w:pPr>
                    <w:pStyle w:val="23"/>
                    <w:kinsoku/>
                    <w:spacing w:before="65"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环境质量标准</w:t>
                  </w:r>
                </w:p>
              </w:tc>
              <w:tc>
                <w:tcPr>
                  <w:tcW w:w="717" w:type="dxa"/>
                  <w:vAlign w:val="center"/>
                </w:tcPr>
                <w:p w14:paraId="354368F0">
                  <w:pPr>
                    <w:pStyle w:val="23"/>
                    <w:kinsoku/>
                    <w:spacing w:before="150" w:line="216"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大气环境</w:t>
                  </w:r>
                </w:p>
              </w:tc>
              <w:tc>
                <w:tcPr>
                  <w:tcW w:w="668" w:type="dxa"/>
                  <w:vAlign w:val="center"/>
                </w:tcPr>
                <w:p w14:paraId="761D81F2">
                  <w:pPr>
                    <w:pStyle w:val="23"/>
                    <w:kinsoku/>
                    <w:spacing w:before="65" w:line="227"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基本污染</w:t>
                  </w:r>
                  <w:r>
                    <w:rPr>
                      <w:rFonts w:hint="default" w:ascii="Times New Roman" w:hAnsi="Times New Roman" w:eastAsia="宋体" w:cs="Times New Roman"/>
                      <w:color w:val="auto"/>
                      <w:sz w:val="21"/>
                      <w:szCs w:val="21"/>
                    </w:rPr>
                    <w:t>物</w:t>
                  </w:r>
                </w:p>
              </w:tc>
              <w:tc>
                <w:tcPr>
                  <w:tcW w:w="5955" w:type="dxa"/>
                  <w:tcBorders>
                    <w:right w:val="single" w:color="000000" w:sz="4" w:space="0"/>
                  </w:tcBorders>
                  <w:vAlign w:val="center"/>
                </w:tcPr>
                <w:p w14:paraId="650F1B0C">
                  <w:pPr>
                    <w:pStyle w:val="23"/>
                    <w:kinsoku/>
                    <w:spacing w:before="65" w:line="221"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《环境空气质量标准》（GB3095-20</w:t>
                  </w:r>
                  <w:r>
                    <w:rPr>
                      <w:rFonts w:hint="eastAsia" w:ascii="Times New Roman" w:hAnsi="Times New Roman" w:cs="Times New Roman"/>
                      <w:color w:val="auto"/>
                      <w:spacing w:val="-5"/>
                      <w:sz w:val="21"/>
                      <w:szCs w:val="21"/>
                      <w:lang w:val="en-US" w:eastAsia="zh-CN"/>
                    </w:rPr>
                    <w:t>26</w:t>
                  </w:r>
                  <w:r>
                    <w:rPr>
                      <w:rFonts w:hint="default" w:ascii="Times New Roman" w:hAnsi="Times New Roman" w:eastAsia="宋体" w:cs="Times New Roman"/>
                      <w:color w:val="auto"/>
                      <w:spacing w:val="-5"/>
                      <w:sz w:val="21"/>
                      <w:szCs w:val="21"/>
                    </w:rPr>
                    <w:t>）</w:t>
                  </w:r>
                  <w:r>
                    <w:rPr>
                      <w:rFonts w:hint="eastAsia" w:ascii="Times New Roman" w:hAnsi="Times New Roman" w:cs="Times New Roman"/>
                      <w:color w:val="auto"/>
                      <w:spacing w:val="-5"/>
                      <w:sz w:val="21"/>
                      <w:szCs w:val="21"/>
                      <w:lang w:val="en-US" w:eastAsia="zh-CN"/>
                    </w:rPr>
                    <w:t>过渡阶段</w:t>
                  </w:r>
                  <w:r>
                    <w:rPr>
                      <w:rFonts w:hint="default" w:ascii="Times New Roman" w:hAnsi="Times New Roman" w:eastAsia="宋体" w:cs="Times New Roman"/>
                      <w:color w:val="auto"/>
                      <w:spacing w:val="-5"/>
                      <w:sz w:val="21"/>
                      <w:szCs w:val="21"/>
                    </w:rPr>
                    <w:t>二级（年平均值SO</w:t>
                  </w:r>
                  <w:r>
                    <w:rPr>
                      <w:rFonts w:hint="default" w:ascii="Times New Roman" w:hAnsi="Times New Roman" w:eastAsia="宋体" w:cs="Times New Roman"/>
                      <w:color w:val="auto"/>
                      <w:spacing w:val="-5"/>
                      <w:position w:val="-1"/>
                      <w:sz w:val="21"/>
                      <w:szCs w:val="21"/>
                      <w:vertAlign w:val="subscript"/>
                    </w:rPr>
                    <w:t>2</w:t>
                  </w:r>
                  <w:r>
                    <w:rPr>
                      <w:rFonts w:hint="default" w:ascii="Times New Roman" w:hAnsi="Times New Roman" w:eastAsia="宋体" w:cs="Times New Roman"/>
                      <w:color w:val="auto"/>
                      <w:spacing w:val="-7"/>
                      <w:sz w:val="21"/>
                      <w:szCs w:val="21"/>
                    </w:rPr>
                    <w:t>：60μg/m</w:t>
                  </w:r>
                  <w:r>
                    <w:rPr>
                      <w:rFonts w:hint="default" w:ascii="Times New Roman" w:hAnsi="Times New Roman" w:eastAsia="宋体" w:cs="Times New Roman"/>
                      <w:color w:val="auto"/>
                      <w:spacing w:val="-7"/>
                      <w:sz w:val="21"/>
                      <w:szCs w:val="21"/>
                      <w:vertAlign w:val="superscript"/>
                      <w:lang w:eastAsia="zh-CN"/>
                    </w:rPr>
                    <w:t>3</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pacing w:val="2"/>
                      <w:position w:val="-1"/>
                      <w:sz w:val="21"/>
                      <w:szCs w:val="21"/>
                      <w:vertAlign w:val="subscript"/>
                    </w:rPr>
                    <w:t>2</w:t>
                  </w:r>
                  <w:r>
                    <w:rPr>
                      <w:rFonts w:hint="default" w:ascii="Times New Roman" w:hAnsi="Times New Roman" w:eastAsia="宋体" w:cs="Times New Roman"/>
                      <w:color w:val="auto"/>
                      <w:spacing w:val="2"/>
                      <w:sz w:val="21"/>
                      <w:szCs w:val="21"/>
                    </w:rPr>
                    <w:t>：40μg/m</w:t>
                  </w:r>
                  <w:r>
                    <w:rPr>
                      <w:rFonts w:hint="default" w:ascii="Times New Roman" w:hAnsi="Times New Roman" w:eastAsia="宋体" w:cs="Times New Roman"/>
                      <w:color w:val="auto"/>
                      <w:spacing w:val="2"/>
                      <w:sz w:val="21"/>
                      <w:szCs w:val="21"/>
                      <w:vertAlign w:val="superscript"/>
                      <w:lang w:eastAsia="zh-CN"/>
                    </w:rPr>
                    <w:t>3</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pacing w:val="2"/>
                      <w:position w:val="-1"/>
                      <w:sz w:val="21"/>
                      <w:szCs w:val="21"/>
                      <w:vertAlign w:val="subscript"/>
                    </w:rPr>
                    <w:t>10</w:t>
                  </w:r>
                  <w:r>
                    <w:rPr>
                      <w:rFonts w:hint="default" w:ascii="Times New Roman" w:hAnsi="Times New Roman" w:eastAsia="宋体" w:cs="Times New Roman"/>
                      <w:color w:val="auto"/>
                      <w:spacing w:val="2"/>
                      <w:sz w:val="21"/>
                      <w:szCs w:val="21"/>
                    </w:rPr>
                    <w:t>：</w:t>
                  </w:r>
                  <w:r>
                    <w:rPr>
                      <w:rFonts w:hint="eastAsia" w:ascii="Times New Roman" w:hAnsi="Times New Roman" w:cs="Times New Roman"/>
                      <w:color w:val="auto"/>
                      <w:spacing w:val="2"/>
                      <w:sz w:val="21"/>
                      <w:szCs w:val="21"/>
                      <w:lang w:val="en-US" w:eastAsia="zh-CN"/>
                    </w:rPr>
                    <w:t>6</w:t>
                  </w:r>
                  <w:r>
                    <w:rPr>
                      <w:rFonts w:hint="default" w:ascii="Times New Roman" w:hAnsi="Times New Roman" w:eastAsia="宋体" w:cs="Times New Roman"/>
                      <w:color w:val="auto"/>
                      <w:spacing w:val="2"/>
                      <w:sz w:val="21"/>
                      <w:szCs w:val="21"/>
                    </w:rPr>
                    <w:t>0μg/m</w:t>
                  </w:r>
                  <w:r>
                    <w:rPr>
                      <w:rFonts w:hint="default" w:ascii="Times New Roman" w:hAnsi="Times New Roman" w:eastAsia="宋体" w:cs="Times New Roman"/>
                      <w:color w:val="auto"/>
                      <w:spacing w:val="2"/>
                      <w:sz w:val="21"/>
                      <w:szCs w:val="21"/>
                      <w:vertAlign w:val="superscript"/>
                      <w:lang w:eastAsia="zh-CN"/>
                    </w:rPr>
                    <w:t>3</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pacing w:val="2"/>
                      <w:position w:val="-1"/>
                      <w:sz w:val="21"/>
                      <w:szCs w:val="21"/>
                      <w:vertAlign w:val="subscript"/>
                    </w:rPr>
                    <w:t>2.5</w:t>
                  </w:r>
                  <w:r>
                    <w:rPr>
                      <w:rFonts w:hint="default" w:ascii="Times New Roman" w:hAnsi="Times New Roman" w:eastAsia="宋体" w:cs="Times New Roman"/>
                      <w:color w:val="auto"/>
                      <w:spacing w:val="2"/>
                      <w:sz w:val="21"/>
                      <w:szCs w:val="21"/>
                    </w:rPr>
                    <w:t>：3</w:t>
                  </w:r>
                  <w:r>
                    <w:rPr>
                      <w:rFonts w:hint="eastAsia" w:ascii="Times New Roman" w:hAnsi="Times New Roman" w:cs="Times New Roman"/>
                      <w:color w:val="auto"/>
                      <w:spacing w:val="2"/>
                      <w:sz w:val="21"/>
                      <w:szCs w:val="21"/>
                      <w:lang w:val="en-US" w:eastAsia="zh-CN"/>
                    </w:rPr>
                    <w:t>0</w:t>
                  </w:r>
                  <w:r>
                    <w:rPr>
                      <w:rFonts w:hint="default" w:ascii="Times New Roman" w:hAnsi="Times New Roman" w:eastAsia="宋体" w:cs="Times New Roman"/>
                      <w:color w:val="auto"/>
                      <w:spacing w:val="2"/>
                      <w:sz w:val="21"/>
                      <w:szCs w:val="21"/>
                    </w:rPr>
                    <w:t>μg/m</w:t>
                  </w:r>
                  <w:r>
                    <w:rPr>
                      <w:rFonts w:hint="default" w:ascii="Times New Roman" w:hAnsi="Times New Roman" w:eastAsia="宋体" w:cs="Times New Roman"/>
                      <w:color w:val="auto"/>
                      <w:spacing w:val="2"/>
                      <w:sz w:val="21"/>
                      <w:szCs w:val="21"/>
                      <w:vertAlign w:val="superscript"/>
                      <w:lang w:eastAsia="zh-CN"/>
                    </w:rPr>
                    <w:t>3</w:t>
                  </w:r>
                  <w:r>
                    <w:rPr>
                      <w:rFonts w:hint="default" w:ascii="Times New Roman" w:hAnsi="Times New Roman" w:eastAsia="宋体" w:cs="Times New Roman"/>
                      <w:color w:val="auto"/>
                      <w:spacing w:val="2"/>
                      <w:sz w:val="21"/>
                      <w:szCs w:val="21"/>
                    </w:rPr>
                    <w:t>；O</w:t>
                  </w:r>
                  <w:r>
                    <w:rPr>
                      <w:rFonts w:hint="default" w:ascii="Times New Roman" w:hAnsi="Times New Roman" w:eastAsia="宋体" w:cs="Times New Roman"/>
                      <w:color w:val="auto"/>
                      <w:spacing w:val="2"/>
                      <w:position w:val="-1"/>
                      <w:sz w:val="21"/>
                      <w:szCs w:val="21"/>
                      <w:vertAlign w:val="subscript"/>
                    </w:rPr>
                    <w:t>3</w:t>
                  </w:r>
                  <w:r>
                    <w:rPr>
                      <w:rFonts w:hint="default" w:ascii="Times New Roman" w:hAnsi="Times New Roman" w:eastAsia="宋体" w:cs="Times New Roman"/>
                      <w:color w:val="auto"/>
                      <w:spacing w:val="2"/>
                      <w:sz w:val="21"/>
                      <w:szCs w:val="21"/>
                    </w:rPr>
                    <w:t>日最大</w:t>
                  </w:r>
                  <w:r>
                    <w:rPr>
                      <w:rFonts w:hint="default" w:ascii="Times New Roman" w:hAnsi="Times New Roman" w:eastAsia="宋体" w:cs="Times New Roman"/>
                      <w:color w:val="auto"/>
                      <w:spacing w:val="1"/>
                      <w:sz w:val="21"/>
                      <w:szCs w:val="21"/>
                    </w:rPr>
                    <w:t>8h</w:t>
                  </w:r>
                  <w:r>
                    <w:rPr>
                      <w:rFonts w:hint="default" w:ascii="Times New Roman" w:hAnsi="Times New Roman" w:eastAsia="宋体" w:cs="Times New Roman"/>
                      <w:color w:val="auto"/>
                      <w:spacing w:val="6"/>
                      <w:sz w:val="21"/>
                      <w:szCs w:val="21"/>
                    </w:rPr>
                    <w:t>平均值：160μg/m</w:t>
                  </w:r>
                  <w:r>
                    <w:rPr>
                      <w:rFonts w:hint="default" w:ascii="Times New Roman" w:hAnsi="Times New Roman" w:eastAsia="宋体" w:cs="Times New Roman"/>
                      <w:color w:val="auto"/>
                      <w:spacing w:val="2"/>
                      <w:sz w:val="21"/>
                      <w:szCs w:val="21"/>
                      <w:vertAlign w:val="superscript"/>
                      <w:lang w:eastAsia="zh-CN"/>
                    </w:rPr>
                    <w:t>3</w:t>
                  </w:r>
                  <w:r>
                    <w:rPr>
                      <w:rFonts w:hint="default" w:ascii="Times New Roman" w:hAnsi="Times New Roman" w:eastAsia="宋体" w:cs="Times New Roman"/>
                      <w:color w:val="auto"/>
                      <w:spacing w:val="6"/>
                      <w:sz w:val="21"/>
                      <w:szCs w:val="21"/>
                    </w:rPr>
                    <w:t>；</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pacing w:val="6"/>
                      <w:sz w:val="21"/>
                      <w:szCs w:val="21"/>
                    </w:rPr>
                    <w:t>24h平均值：4</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pacing w:val="6"/>
                      <w:sz w:val="21"/>
                      <w:szCs w:val="21"/>
                    </w:rPr>
                    <w:t>/m</w:t>
                  </w:r>
                  <w:r>
                    <w:rPr>
                      <w:rFonts w:hint="default" w:ascii="Times New Roman" w:hAnsi="Times New Roman" w:eastAsia="宋体" w:cs="Times New Roman"/>
                      <w:color w:val="auto"/>
                      <w:spacing w:val="2"/>
                      <w:sz w:val="21"/>
                      <w:szCs w:val="21"/>
                      <w:vertAlign w:val="superscript"/>
                      <w:lang w:eastAsia="zh-CN"/>
                    </w:rPr>
                    <w:t>3</w:t>
                  </w:r>
                  <w:r>
                    <w:rPr>
                      <w:rFonts w:hint="default" w:ascii="Times New Roman" w:hAnsi="Times New Roman" w:eastAsia="宋体" w:cs="Times New Roman"/>
                      <w:color w:val="auto"/>
                      <w:spacing w:val="6"/>
                      <w:sz w:val="21"/>
                      <w:szCs w:val="21"/>
                    </w:rPr>
                    <w:t>）</w:t>
                  </w:r>
                </w:p>
              </w:tc>
            </w:tr>
            <w:tr w14:paraId="11075D7B">
              <w:trPr>
                <w:trHeight w:val="193" w:hRule="atLeast"/>
                <w:jc w:val="center"/>
              </w:trPr>
              <w:tc>
                <w:tcPr>
                  <w:tcW w:w="599" w:type="dxa"/>
                  <w:vMerge w:val="continue"/>
                  <w:tcBorders>
                    <w:top w:val="nil"/>
                  </w:tcBorders>
                  <w:vAlign w:val="center"/>
                </w:tcPr>
                <w:p w14:paraId="4148F207">
                  <w:pPr>
                    <w:kinsoku/>
                    <w:jc w:val="center"/>
                    <w:rPr>
                      <w:rFonts w:hint="default" w:ascii="Times New Roman" w:hAnsi="Times New Roman" w:eastAsia="宋体" w:cs="Times New Roman"/>
                      <w:color w:val="auto"/>
                    </w:rPr>
                  </w:pPr>
                </w:p>
              </w:tc>
              <w:tc>
                <w:tcPr>
                  <w:tcW w:w="717" w:type="dxa"/>
                  <w:vAlign w:val="center"/>
                </w:tcPr>
                <w:p w14:paraId="2679C48C">
                  <w:pPr>
                    <w:pStyle w:val="23"/>
                    <w:kinsoku/>
                    <w:spacing w:before="150" w:line="21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声环境</w:t>
                  </w:r>
                </w:p>
              </w:tc>
              <w:tc>
                <w:tcPr>
                  <w:tcW w:w="668" w:type="dxa"/>
                  <w:vAlign w:val="center"/>
                </w:tcPr>
                <w:p w14:paraId="2875E5B5">
                  <w:pPr>
                    <w:pStyle w:val="23"/>
                    <w:kinsoku/>
                    <w:spacing w:before="65"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噪声</w:t>
                  </w:r>
                </w:p>
              </w:tc>
              <w:tc>
                <w:tcPr>
                  <w:tcW w:w="5955" w:type="dxa"/>
                  <w:tcBorders>
                    <w:right w:val="single" w:color="000000" w:sz="4" w:space="0"/>
                  </w:tcBorders>
                  <w:vAlign w:val="center"/>
                </w:tcPr>
                <w:p w14:paraId="4DFA2918">
                  <w:pPr>
                    <w:pStyle w:val="23"/>
                    <w:kinsoku/>
                    <w:spacing w:before="192" w:line="228"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8"/>
                      <w:sz w:val="21"/>
                      <w:szCs w:val="21"/>
                      <w:lang w:eastAsia="zh-CN"/>
                    </w:rPr>
                    <w:t>《声环境质量标准》（</w:t>
                  </w:r>
                  <w:r>
                    <w:rPr>
                      <w:rFonts w:hint="default" w:ascii="Times New Roman" w:hAnsi="Times New Roman" w:eastAsia="宋体" w:cs="Times New Roman"/>
                      <w:color w:val="auto"/>
                      <w:sz w:val="21"/>
                      <w:szCs w:val="21"/>
                      <w:lang w:eastAsia="zh-CN"/>
                    </w:rPr>
                    <w:t>GB</w:t>
                  </w:r>
                  <w:r>
                    <w:rPr>
                      <w:rFonts w:hint="default" w:ascii="Times New Roman" w:hAnsi="Times New Roman" w:eastAsia="宋体" w:cs="Times New Roman"/>
                      <w:color w:val="auto"/>
                      <w:spacing w:val="8"/>
                      <w:sz w:val="21"/>
                      <w:szCs w:val="21"/>
                      <w:lang w:eastAsia="zh-CN"/>
                    </w:rPr>
                    <w:t>3096-2008）2类（昼间：60</w:t>
                  </w:r>
                  <w:r>
                    <w:rPr>
                      <w:rFonts w:hint="default" w:ascii="Times New Roman" w:hAnsi="Times New Roman" w:eastAsia="宋体" w:cs="Times New Roman"/>
                      <w:color w:val="auto"/>
                      <w:sz w:val="21"/>
                      <w:szCs w:val="21"/>
                      <w:lang w:eastAsia="zh-CN"/>
                    </w:rPr>
                    <w:t>dB</w:t>
                  </w:r>
                  <w:r>
                    <w:rPr>
                      <w:rFonts w:hint="default" w:ascii="Times New Roman" w:hAnsi="Times New Roman" w:eastAsia="宋体" w:cs="Times New Roman"/>
                      <w:color w:val="auto"/>
                      <w:spacing w:val="8"/>
                      <w:sz w:val="21"/>
                      <w:szCs w:val="21"/>
                      <w:lang w:eastAsia="zh-CN"/>
                    </w:rPr>
                    <w:t>（A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8"/>
                      <w:sz w:val="21"/>
                      <w:szCs w:val="21"/>
                      <w:lang w:eastAsia="zh-CN"/>
                    </w:rPr>
                    <w:t>夜间：50</w:t>
                  </w:r>
                  <w:r>
                    <w:rPr>
                      <w:rFonts w:hint="default" w:ascii="Times New Roman" w:hAnsi="Times New Roman" w:eastAsia="宋体" w:cs="Times New Roman"/>
                      <w:color w:val="auto"/>
                      <w:sz w:val="21"/>
                      <w:szCs w:val="21"/>
                      <w:lang w:eastAsia="zh-CN"/>
                    </w:rPr>
                    <w:t>dB</w:t>
                  </w:r>
                  <w:r>
                    <w:rPr>
                      <w:rFonts w:hint="default" w:ascii="Times New Roman" w:hAnsi="Times New Roman" w:eastAsia="宋体" w:cs="Times New Roman"/>
                      <w:color w:val="auto"/>
                      <w:spacing w:val="8"/>
                      <w:sz w:val="21"/>
                      <w:szCs w:val="21"/>
                      <w:lang w:eastAsia="zh-CN"/>
                    </w:rPr>
                    <w:t>（A</w:t>
                  </w:r>
                  <w:r>
                    <w:rPr>
                      <w:rFonts w:hint="default" w:ascii="Times New Roman" w:hAnsi="Times New Roman" w:eastAsia="宋体" w:cs="Times New Roman"/>
                      <w:color w:val="auto"/>
                      <w:sz w:val="21"/>
                      <w:szCs w:val="21"/>
                      <w:lang w:eastAsia="zh-CN"/>
                    </w:rPr>
                    <w:t>））</w:t>
                  </w:r>
                </w:p>
              </w:tc>
            </w:tr>
            <w:tr w14:paraId="2F35AE00">
              <w:trPr>
                <w:trHeight w:val="193" w:hRule="atLeast"/>
                <w:jc w:val="center"/>
              </w:trPr>
              <w:tc>
                <w:tcPr>
                  <w:tcW w:w="599" w:type="dxa"/>
                  <w:vMerge w:val="restart"/>
                  <w:tcBorders>
                    <w:bottom w:val="nil"/>
                  </w:tcBorders>
                  <w:vAlign w:val="center"/>
                </w:tcPr>
                <w:p w14:paraId="6299F067">
                  <w:pPr>
                    <w:pStyle w:val="23"/>
                    <w:kinsoku/>
                    <w:spacing w:before="65"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污染</w:t>
                  </w:r>
                  <w:r>
                    <w:rPr>
                      <w:rFonts w:hint="default" w:ascii="Times New Roman" w:hAnsi="Times New Roman" w:eastAsia="宋体" w:cs="Times New Roman"/>
                      <w:color w:val="auto"/>
                      <w:spacing w:val="4"/>
                      <w:sz w:val="21"/>
                      <w:szCs w:val="21"/>
                    </w:rPr>
                    <w:t>排放标准</w:t>
                  </w:r>
                </w:p>
              </w:tc>
              <w:tc>
                <w:tcPr>
                  <w:tcW w:w="717" w:type="dxa"/>
                  <w:vMerge w:val="restart"/>
                  <w:vAlign w:val="center"/>
                </w:tcPr>
                <w:p w14:paraId="46A88C83">
                  <w:pPr>
                    <w:pStyle w:val="23"/>
                    <w:kinsoku/>
                    <w:spacing w:before="150" w:line="217"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废气</w:t>
                  </w:r>
                </w:p>
              </w:tc>
              <w:tc>
                <w:tcPr>
                  <w:tcW w:w="668" w:type="dxa"/>
                  <w:vAlign w:val="center"/>
                </w:tcPr>
                <w:p w14:paraId="4B236969">
                  <w:pPr>
                    <w:pStyle w:val="23"/>
                    <w:kinsoku/>
                    <w:spacing w:before="183"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施工期发电机废气</w:t>
                  </w:r>
                </w:p>
              </w:tc>
              <w:tc>
                <w:tcPr>
                  <w:tcW w:w="5955" w:type="dxa"/>
                  <w:tcBorders>
                    <w:right w:val="single" w:color="000000" w:sz="4" w:space="0"/>
                  </w:tcBorders>
                  <w:vAlign w:val="center"/>
                </w:tcPr>
                <w:p w14:paraId="288FC999">
                  <w:pPr>
                    <w:pStyle w:val="23"/>
                    <w:kinsoku/>
                    <w:spacing w:before="192" w:line="228"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8"/>
                      <w:sz w:val="21"/>
                      <w:szCs w:val="21"/>
                      <w:lang w:eastAsia="zh-CN"/>
                    </w:rPr>
                    <w:t>《大气污染物综合排放标准》（GB16297-1996）中相关标准限值要求</w:t>
                  </w:r>
                </w:p>
              </w:tc>
            </w:tr>
            <w:tr w14:paraId="1F8368FA">
              <w:trPr>
                <w:trHeight w:val="193" w:hRule="atLeast"/>
                <w:jc w:val="center"/>
              </w:trPr>
              <w:tc>
                <w:tcPr>
                  <w:tcW w:w="599" w:type="dxa"/>
                  <w:vMerge w:val="continue"/>
                  <w:tcBorders>
                    <w:top w:val="nil"/>
                    <w:bottom w:val="nil"/>
                  </w:tcBorders>
                  <w:vAlign w:val="center"/>
                </w:tcPr>
                <w:p w14:paraId="3961116A">
                  <w:pPr>
                    <w:kinsoku/>
                    <w:jc w:val="center"/>
                    <w:rPr>
                      <w:rFonts w:hint="default" w:ascii="Times New Roman" w:hAnsi="Times New Roman" w:eastAsia="宋体" w:cs="Times New Roman"/>
                      <w:color w:val="auto"/>
                      <w:lang w:eastAsia="zh-CN"/>
                    </w:rPr>
                  </w:pPr>
                </w:p>
              </w:tc>
              <w:tc>
                <w:tcPr>
                  <w:tcW w:w="717" w:type="dxa"/>
                  <w:vMerge w:val="continue"/>
                  <w:vAlign w:val="center"/>
                </w:tcPr>
                <w:p w14:paraId="5BE5DA0F">
                  <w:pPr>
                    <w:kinsoku/>
                    <w:jc w:val="center"/>
                    <w:rPr>
                      <w:rFonts w:hint="default" w:ascii="Times New Roman" w:hAnsi="Times New Roman" w:eastAsia="宋体" w:cs="Times New Roman"/>
                      <w:color w:val="auto"/>
                      <w:lang w:eastAsia="zh-CN"/>
                    </w:rPr>
                  </w:pPr>
                </w:p>
              </w:tc>
              <w:tc>
                <w:tcPr>
                  <w:tcW w:w="668" w:type="dxa"/>
                  <w:vAlign w:val="center"/>
                </w:tcPr>
                <w:p w14:paraId="1BEB6764">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施工扬尘</w:t>
                  </w:r>
                </w:p>
              </w:tc>
              <w:tc>
                <w:tcPr>
                  <w:tcW w:w="5955" w:type="dxa"/>
                  <w:tcBorders>
                    <w:right w:val="single" w:color="000000" w:sz="4" w:space="0"/>
                  </w:tcBorders>
                  <w:vAlign w:val="center"/>
                </w:tcPr>
                <w:p w14:paraId="30EA170F">
                  <w:pPr>
                    <w:pStyle w:val="23"/>
                    <w:kinsoku/>
                    <w:spacing w:before="65" w:line="228" w:lineRule="auto"/>
                    <w:jc w:val="both"/>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《大气污染物综合排放标准》（GB16297-1996）中表2其他无组织排放监控浓度限值要求（TSP：1.0mg/m</w:t>
                  </w:r>
                  <w:r>
                    <w:rPr>
                      <w:rFonts w:hint="default" w:ascii="Times New Roman" w:hAnsi="Times New Roman" w:eastAsia="宋体" w:cs="Times New Roman"/>
                      <w:color w:val="auto"/>
                      <w:spacing w:val="6"/>
                      <w:sz w:val="21"/>
                      <w:szCs w:val="21"/>
                      <w:vertAlign w:val="superscript"/>
                      <w:lang w:eastAsia="zh-CN"/>
                    </w:rPr>
                    <w:t>3</w:t>
                  </w:r>
                  <w:r>
                    <w:rPr>
                      <w:rFonts w:hint="default" w:ascii="Times New Roman" w:hAnsi="Times New Roman" w:eastAsia="宋体" w:cs="Times New Roman"/>
                      <w:color w:val="auto"/>
                      <w:spacing w:val="6"/>
                      <w:sz w:val="21"/>
                      <w:szCs w:val="21"/>
                      <w:lang w:eastAsia="zh-CN"/>
                    </w:rPr>
                    <w:t>）</w:t>
                  </w:r>
                </w:p>
              </w:tc>
            </w:tr>
            <w:tr w14:paraId="336F7EA4">
              <w:trPr>
                <w:trHeight w:val="193" w:hRule="atLeast"/>
                <w:jc w:val="center"/>
              </w:trPr>
              <w:tc>
                <w:tcPr>
                  <w:tcW w:w="599" w:type="dxa"/>
                  <w:vMerge w:val="continue"/>
                  <w:tcBorders>
                    <w:top w:val="nil"/>
                    <w:bottom w:val="nil"/>
                  </w:tcBorders>
                  <w:vAlign w:val="center"/>
                </w:tcPr>
                <w:p w14:paraId="0F5F0016">
                  <w:pPr>
                    <w:kinsoku/>
                    <w:jc w:val="center"/>
                    <w:rPr>
                      <w:rFonts w:hint="default" w:ascii="Times New Roman" w:hAnsi="Times New Roman" w:eastAsia="宋体" w:cs="Times New Roman"/>
                      <w:color w:val="auto"/>
                      <w:lang w:eastAsia="zh-CN"/>
                    </w:rPr>
                  </w:pPr>
                </w:p>
              </w:tc>
              <w:tc>
                <w:tcPr>
                  <w:tcW w:w="717" w:type="dxa"/>
                  <w:vMerge w:val="continue"/>
                  <w:vAlign w:val="center"/>
                </w:tcPr>
                <w:p w14:paraId="4A93077C">
                  <w:pPr>
                    <w:kinsoku/>
                    <w:jc w:val="center"/>
                    <w:rPr>
                      <w:rFonts w:hint="default" w:ascii="Times New Roman" w:hAnsi="Times New Roman" w:eastAsia="宋体" w:cs="Times New Roman"/>
                      <w:color w:val="auto"/>
                      <w:lang w:eastAsia="zh-CN"/>
                    </w:rPr>
                  </w:pPr>
                </w:p>
              </w:tc>
              <w:tc>
                <w:tcPr>
                  <w:tcW w:w="668" w:type="dxa"/>
                  <w:vAlign w:val="center"/>
                </w:tcPr>
                <w:p w14:paraId="0593026E">
                  <w:pPr>
                    <w:pStyle w:val="23"/>
                    <w:kinsoku/>
                    <w:spacing w:before="180"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非</w:t>
                  </w:r>
                  <w:r>
                    <w:rPr>
                      <w:rFonts w:hint="default" w:ascii="Times New Roman" w:hAnsi="Times New Roman" w:eastAsia="宋体" w:cs="Times New Roman"/>
                      <w:color w:val="auto"/>
                      <w:sz w:val="21"/>
                      <w:szCs w:val="21"/>
                    </w:rPr>
                    <w:t>甲烷总烃</w:t>
                  </w:r>
                </w:p>
              </w:tc>
              <w:tc>
                <w:tcPr>
                  <w:tcW w:w="5955" w:type="dxa"/>
                  <w:tcBorders>
                    <w:right w:val="single" w:color="000000" w:sz="4" w:space="0"/>
                  </w:tcBorders>
                  <w:vAlign w:val="center"/>
                </w:tcPr>
                <w:p w14:paraId="73D0FC64">
                  <w:pPr>
                    <w:pStyle w:val="23"/>
                    <w:kinsoku/>
                    <w:spacing w:before="180" w:line="227"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lang w:eastAsia="zh-CN"/>
                    </w:rPr>
                    <w:t>《陆上石油天然气开采工业大气污染物排放标准》（</w:t>
                  </w:r>
                  <w:r>
                    <w:rPr>
                      <w:rFonts w:hint="default" w:ascii="Times New Roman" w:hAnsi="Times New Roman" w:eastAsia="宋体" w:cs="Times New Roman"/>
                      <w:color w:val="auto"/>
                      <w:sz w:val="21"/>
                      <w:szCs w:val="21"/>
                      <w:lang w:eastAsia="zh-CN"/>
                    </w:rPr>
                    <w:t>GB</w:t>
                  </w:r>
                  <w:r>
                    <w:rPr>
                      <w:rFonts w:hint="default" w:ascii="Times New Roman" w:hAnsi="Times New Roman" w:eastAsia="宋体" w:cs="Times New Roman"/>
                      <w:color w:val="auto"/>
                      <w:spacing w:val="3"/>
                      <w:sz w:val="21"/>
                      <w:szCs w:val="21"/>
                      <w:lang w:eastAsia="zh-CN"/>
                    </w:rPr>
                    <w:t>39728</w:t>
                  </w:r>
                  <w:r>
                    <w:rPr>
                      <w:rFonts w:hint="default" w:ascii="Times New Roman" w:hAnsi="Times New Roman" w:eastAsia="宋体" w:cs="Times New Roman"/>
                      <w:color w:val="auto"/>
                      <w:spacing w:val="2"/>
                      <w:sz w:val="21"/>
                      <w:szCs w:val="21"/>
                      <w:lang w:eastAsia="zh-CN"/>
                    </w:rPr>
                    <w:t>-2020</w:t>
                  </w:r>
                  <w:r>
                    <w:rPr>
                      <w:rFonts w:hint="default" w:ascii="Times New Roman" w:hAnsi="Times New Roman" w:eastAsia="宋体" w:cs="Times New Roman"/>
                      <w:color w:val="auto"/>
                      <w:spacing w:val="5"/>
                      <w:sz w:val="21"/>
                      <w:szCs w:val="21"/>
                      <w:lang w:eastAsia="zh-CN"/>
                    </w:rPr>
                    <w:t>)（非甲烷总烃：4</w:t>
                  </w:r>
                  <w:r>
                    <w:rPr>
                      <w:rFonts w:hint="default" w:ascii="Times New Roman" w:hAnsi="Times New Roman" w:eastAsia="宋体" w:cs="Times New Roman"/>
                      <w:color w:val="auto"/>
                      <w:sz w:val="21"/>
                      <w:szCs w:val="21"/>
                      <w:lang w:eastAsia="zh-CN"/>
                    </w:rPr>
                    <w:t>mg</w:t>
                  </w:r>
                  <w:r>
                    <w:rPr>
                      <w:rFonts w:hint="default" w:ascii="Times New Roman" w:hAnsi="Times New Roman" w:eastAsia="宋体" w:cs="Times New Roman"/>
                      <w:color w:val="auto"/>
                      <w:spacing w:val="5"/>
                      <w:sz w:val="21"/>
                      <w:szCs w:val="21"/>
                      <w:lang w:eastAsia="zh-CN"/>
                    </w:rPr>
                    <w:t>/m</w:t>
                  </w:r>
                  <w:r>
                    <w:rPr>
                      <w:rFonts w:hint="default" w:ascii="Times New Roman" w:hAnsi="Times New Roman" w:eastAsia="宋体" w:cs="Times New Roman"/>
                      <w:color w:val="auto"/>
                      <w:spacing w:val="5"/>
                      <w:sz w:val="21"/>
                      <w:szCs w:val="21"/>
                      <w:vertAlign w:val="superscript"/>
                      <w:lang w:eastAsia="zh-CN"/>
                    </w:rPr>
                    <w:t>3</w:t>
                  </w:r>
                  <w:r>
                    <w:rPr>
                      <w:rFonts w:hint="default" w:ascii="Times New Roman" w:hAnsi="Times New Roman" w:eastAsia="宋体" w:cs="Times New Roman"/>
                      <w:color w:val="auto"/>
                      <w:spacing w:val="5"/>
                      <w:sz w:val="21"/>
                      <w:szCs w:val="21"/>
                      <w:lang w:eastAsia="zh-CN"/>
                    </w:rPr>
                    <w:t>）</w:t>
                  </w:r>
                </w:p>
              </w:tc>
            </w:tr>
            <w:tr w14:paraId="6A3792A1">
              <w:trPr>
                <w:trHeight w:val="193" w:hRule="atLeast"/>
                <w:jc w:val="center"/>
              </w:trPr>
              <w:tc>
                <w:tcPr>
                  <w:tcW w:w="599" w:type="dxa"/>
                  <w:vMerge w:val="continue"/>
                  <w:tcBorders>
                    <w:top w:val="nil"/>
                    <w:bottom w:val="nil"/>
                  </w:tcBorders>
                  <w:vAlign w:val="center"/>
                </w:tcPr>
                <w:p w14:paraId="575A2C39">
                  <w:pPr>
                    <w:kinsoku/>
                    <w:jc w:val="center"/>
                    <w:rPr>
                      <w:rFonts w:hint="default" w:ascii="Times New Roman" w:hAnsi="Times New Roman" w:eastAsia="宋体" w:cs="Times New Roman"/>
                      <w:color w:val="auto"/>
                      <w:lang w:eastAsia="zh-CN"/>
                    </w:rPr>
                  </w:pPr>
                </w:p>
              </w:tc>
              <w:tc>
                <w:tcPr>
                  <w:tcW w:w="717" w:type="dxa"/>
                  <w:vMerge w:val="continue"/>
                  <w:vAlign w:val="center"/>
                </w:tcPr>
                <w:p w14:paraId="395F6DF5">
                  <w:pPr>
                    <w:kinsoku/>
                    <w:jc w:val="center"/>
                    <w:rPr>
                      <w:rFonts w:hint="default" w:ascii="Times New Roman" w:hAnsi="Times New Roman" w:eastAsia="宋体" w:cs="Times New Roman"/>
                      <w:color w:val="auto"/>
                      <w:lang w:eastAsia="zh-CN"/>
                    </w:rPr>
                  </w:pPr>
                </w:p>
              </w:tc>
              <w:tc>
                <w:tcPr>
                  <w:tcW w:w="668" w:type="dxa"/>
                  <w:vAlign w:val="center"/>
                </w:tcPr>
                <w:p w14:paraId="1D0A3562">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H</w:t>
                  </w:r>
                  <w:r>
                    <w:rPr>
                      <w:rFonts w:hint="default" w:ascii="Times New Roman" w:hAnsi="Times New Roman" w:eastAsia="宋体" w:cs="Times New Roman"/>
                      <w:color w:val="auto"/>
                      <w:spacing w:val="6"/>
                      <w:sz w:val="21"/>
                      <w:szCs w:val="21"/>
                      <w:vertAlign w:val="subscript"/>
                    </w:rPr>
                    <w:t>2</w:t>
                  </w:r>
                  <w:r>
                    <w:rPr>
                      <w:rFonts w:hint="default" w:ascii="Times New Roman" w:hAnsi="Times New Roman" w:eastAsia="宋体" w:cs="Times New Roman"/>
                      <w:color w:val="auto"/>
                      <w:spacing w:val="6"/>
                      <w:sz w:val="21"/>
                      <w:szCs w:val="21"/>
                    </w:rPr>
                    <w:t>S</w:t>
                  </w:r>
                </w:p>
              </w:tc>
              <w:tc>
                <w:tcPr>
                  <w:tcW w:w="5955" w:type="dxa"/>
                  <w:tcBorders>
                    <w:right w:val="single" w:color="000000" w:sz="4" w:space="0"/>
                  </w:tcBorders>
                  <w:vAlign w:val="center"/>
                </w:tcPr>
                <w:p w14:paraId="2BAEC13A">
                  <w:pPr>
                    <w:pStyle w:val="23"/>
                    <w:kinsoku/>
                    <w:spacing w:before="180" w:line="228" w:lineRule="auto"/>
                    <w:jc w:val="both"/>
                    <w:rPr>
                      <w:rFonts w:hint="default" w:ascii="Times New Roman" w:hAnsi="Times New Roman" w:eastAsia="宋体" w:cs="Times New Roman"/>
                      <w:color w:val="auto"/>
                      <w:spacing w:val="7"/>
                      <w:sz w:val="21"/>
                      <w:szCs w:val="21"/>
                      <w:lang w:eastAsia="zh-CN"/>
                    </w:rPr>
                  </w:pPr>
                  <w:r>
                    <w:rPr>
                      <w:rFonts w:hint="default" w:ascii="Times New Roman" w:hAnsi="Times New Roman" w:eastAsia="宋体" w:cs="Times New Roman"/>
                      <w:color w:val="auto"/>
                      <w:spacing w:val="7"/>
                      <w:sz w:val="21"/>
                      <w:szCs w:val="21"/>
                      <w:lang w:eastAsia="zh-CN"/>
                    </w:rPr>
                    <w:t>《恶臭污染物排放标准》（GB14554-93）中表1恶臭污染物厂界标准值二级新扩改建限值（H</w:t>
                  </w:r>
                  <w:r>
                    <w:rPr>
                      <w:rFonts w:hint="default" w:ascii="Times New Roman" w:hAnsi="Times New Roman" w:eastAsia="宋体" w:cs="Times New Roman"/>
                      <w:color w:val="auto"/>
                      <w:spacing w:val="7"/>
                      <w:sz w:val="21"/>
                      <w:szCs w:val="21"/>
                      <w:vertAlign w:val="subscript"/>
                      <w:lang w:eastAsia="zh-CN"/>
                    </w:rPr>
                    <w:t>2</w:t>
                  </w:r>
                  <w:r>
                    <w:rPr>
                      <w:rFonts w:hint="default" w:ascii="Times New Roman" w:hAnsi="Times New Roman" w:eastAsia="宋体" w:cs="Times New Roman"/>
                      <w:color w:val="auto"/>
                      <w:spacing w:val="7"/>
                      <w:sz w:val="21"/>
                      <w:szCs w:val="21"/>
                      <w:lang w:eastAsia="zh-CN"/>
                    </w:rPr>
                    <w:t>S厂界：0.06mg/m</w:t>
                  </w:r>
                  <w:r>
                    <w:rPr>
                      <w:rFonts w:hint="default" w:ascii="Times New Roman" w:hAnsi="Times New Roman" w:eastAsia="宋体" w:cs="Times New Roman"/>
                      <w:color w:val="auto"/>
                      <w:spacing w:val="7"/>
                      <w:sz w:val="21"/>
                      <w:szCs w:val="21"/>
                      <w:vertAlign w:val="superscript"/>
                      <w:lang w:eastAsia="zh-CN"/>
                    </w:rPr>
                    <w:t>3</w:t>
                  </w:r>
                  <w:r>
                    <w:rPr>
                      <w:rFonts w:hint="default" w:ascii="Times New Roman" w:hAnsi="Times New Roman" w:eastAsia="宋体" w:cs="Times New Roman"/>
                      <w:color w:val="auto"/>
                      <w:spacing w:val="7"/>
                      <w:sz w:val="21"/>
                      <w:szCs w:val="21"/>
                      <w:lang w:eastAsia="zh-CN"/>
                    </w:rPr>
                    <w:t>）</w:t>
                  </w:r>
                </w:p>
              </w:tc>
            </w:tr>
            <w:tr w14:paraId="57E2E3FC">
              <w:trPr>
                <w:trHeight w:val="193" w:hRule="atLeast"/>
                <w:jc w:val="center"/>
              </w:trPr>
              <w:tc>
                <w:tcPr>
                  <w:tcW w:w="599" w:type="dxa"/>
                  <w:vMerge w:val="continue"/>
                  <w:tcBorders>
                    <w:top w:val="nil"/>
                  </w:tcBorders>
                  <w:vAlign w:val="center"/>
                </w:tcPr>
                <w:p w14:paraId="2403E257">
                  <w:pPr>
                    <w:kinsoku/>
                    <w:jc w:val="center"/>
                    <w:rPr>
                      <w:rFonts w:hint="default" w:ascii="Times New Roman" w:hAnsi="Times New Roman" w:eastAsia="宋体" w:cs="Times New Roman"/>
                      <w:color w:val="auto"/>
                      <w:lang w:eastAsia="zh-CN"/>
                    </w:rPr>
                  </w:pPr>
                </w:p>
              </w:tc>
              <w:tc>
                <w:tcPr>
                  <w:tcW w:w="717" w:type="dxa"/>
                  <w:vAlign w:val="center"/>
                </w:tcPr>
                <w:p w14:paraId="440EDBE0">
                  <w:pPr>
                    <w:pStyle w:val="23"/>
                    <w:kinsoku/>
                    <w:spacing w:before="149" w:line="213"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噪声</w:t>
                  </w:r>
                </w:p>
              </w:tc>
              <w:tc>
                <w:tcPr>
                  <w:tcW w:w="668" w:type="dxa"/>
                  <w:vAlign w:val="center"/>
                </w:tcPr>
                <w:p w14:paraId="09160A07">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施工期井场噪声</w:t>
                  </w:r>
                </w:p>
              </w:tc>
              <w:tc>
                <w:tcPr>
                  <w:tcW w:w="5955" w:type="dxa"/>
                  <w:tcBorders>
                    <w:right w:val="single" w:color="000000" w:sz="4" w:space="0"/>
                  </w:tcBorders>
                  <w:vAlign w:val="center"/>
                </w:tcPr>
                <w:p w14:paraId="2D8B665E">
                  <w:pPr>
                    <w:pStyle w:val="23"/>
                    <w:kinsoku/>
                    <w:spacing w:before="65" w:line="228" w:lineRule="auto"/>
                    <w:jc w:val="both"/>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《建筑施工噪声排放标准》（GB12523-2025）（昼间：70dB（A）、夜间：55dB（A））</w:t>
                  </w:r>
                </w:p>
              </w:tc>
            </w:tr>
            <w:tr w14:paraId="296033B2">
              <w:trPr>
                <w:trHeight w:val="193" w:hRule="atLeast"/>
                <w:jc w:val="center"/>
              </w:trPr>
              <w:tc>
                <w:tcPr>
                  <w:tcW w:w="599" w:type="dxa"/>
                  <w:vMerge w:val="restart"/>
                  <w:tcBorders>
                    <w:bottom w:val="nil"/>
                  </w:tcBorders>
                  <w:vAlign w:val="center"/>
                </w:tcPr>
                <w:p w14:paraId="36513176">
                  <w:pPr>
                    <w:pStyle w:val="23"/>
                    <w:kinsoku/>
                    <w:spacing w:before="65"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污染</w:t>
                  </w:r>
                  <w:r>
                    <w:rPr>
                      <w:rFonts w:hint="default" w:ascii="Times New Roman" w:hAnsi="Times New Roman" w:eastAsia="宋体" w:cs="Times New Roman"/>
                      <w:color w:val="auto"/>
                      <w:spacing w:val="5"/>
                      <w:sz w:val="21"/>
                      <w:szCs w:val="21"/>
                    </w:rPr>
                    <w:t>控制</w:t>
                  </w:r>
                  <w:r>
                    <w:rPr>
                      <w:rFonts w:hint="default" w:ascii="Times New Roman" w:hAnsi="Times New Roman" w:eastAsia="宋体" w:cs="Times New Roman"/>
                      <w:color w:val="auto"/>
                      <w:spacing w:val="4"/>
                      <w:sz w:val="21"/>
                      <w:szCs w:val="21"/>
                    </w:rPr>
                    <w:t>标准</w:t>
                  </w:r>
                </w:p>
              </w:tc>
              <w:tc>
                <w:tcPr>
                  <w:tcW w:w="717" w:type="dxa"/>
                  <w:vAlign w:val="center"/>
                </w:tcPr>
                <w:p w14:paraId="63E33975">
                  <w:pPr>
                    <w:pStyle w:val="23"/>
                    <w:kinsoku/>
                    <w:spacing w:before="138" w:line="217"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一般固废</w:t>
                  </w:r>
                </w:p>
              </w:tc>
              <w:tc>
                <w:tcPr>
                  <w:tcW w:w="668" w:type="dxa"/>
                  <w:vAlign w:val="center"/>
                </w:tcPr>
                <w:p w14:paraId="1F20232F">
                  <w:pPr>
                    <w:pStyle w:val="23"/>
                    <w:kinsoku/>
                    <w:spacing w:before="65" w:line="22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水基岩屑</w:t>
                  </w:r>
                </w:p>
              </w:tc>
              <w:tc>
                <w:tcPr>
                  <w:tcW w:w="5955" w:type="dxa"/>
                  <w:tcBorders>
                    <w:right w:val="single" w:color="000000" w:sz="4" w:space="0"/>
                  </w:tcBorders>
                  <w:vAlign w:val="center"/>
                </w:tcPr>
                <w:p w14:paraId="2EF28835">
                  <w:pPr>
                    <w:pStyle w:val="23"/>
                    <w:kinsoku/>
                    <w:spacing w:before="65" w:line="228" w:lineRule="auto"/>
                    <w:jc w:val="both"/>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《一般工业固体废物贮存和填埋污染控制标准》（GB18599-2020)</w:t>
                  </w:r>
                </w:p>
              </w:tc>
            </w:tr>
            <w:tr w14:paraId="6672F979">
              <w:trPr>
                <w:trHeight w:val="193" w:hRule="atLeast"/>
                <w:jc w:val="center"/>
              </w:trPr>
              <w:tc>
                <w:tcPr>
                  <w:tcW w:w="599" w:type="dxa"/>
                  <w:vMerge w:val="continue"/>
                  <w:tcBorders>
                    <w:top w:val="nil"/>
                  </w:tcBorders>
                  <w:vAlign w:val="center"/>
                </w:tcPr>
                <w:p w14:paraId="6AABF05B">
                  <w:pPr>
                    <w:kinsoku/>
                    <w:jc w:val="center"/>
                    <w:rPr>
                      <w:rFonts w:hint="default" w:ascii="Times New Roman" w:hAnsi="Times New Roman" w:eastAsia="宋体" w:cs="Times New Roman"/>
                      <w:color w:val="auto"/>
                      <w:lang w:eastAsia="zh-CN"/>
                    </w:rPr>
                  </w:pPr>
                </w:p>
              </w:tc>
              <w:tc>
                <w:tcPr>
                  <w:tcW w:w="717" w:type="dxa"/>
                  <w:vAlign w:val="center"/>
                </w:tcPr>
                <w:p w14:paraId="6130B1D7">
                  <w:pPr>
                    <w:pStyle w:val="23"/>
                    <w:kinsoku/>
                    <w:spacing w:before="138" w:line="217"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危险废物</w:t>
                  </w:r>
                </w:p>
              </w:tc>
              <w:tc>
                <w:tcPr>
                  <w:tcW w:w="668" w:type="dxa"/>
                  <w:vAlign w:val="center"/>
                </w:tcPr>
                <w:p w14:paraId="24237CB1">
                  <w:pPr>
                    <w:pStyle w:val="23"/>
                    <w:kinsoku/>
                    <w:spacing w:before="168" w:line="228"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lang w:eastAsia="zh-CN"/>
                    </w:rPr>
                    <w:t>废防渗</w:t>
                  </w:r>
                  <w:r>
                    <w:rPr>
                      <w:rFonts w:hint="default" w:ascii="Times New Roman" w:hAnsi="Times New Roman" w:eastAsia="宋体" w:cs="Times New Roman"/>
                      <w:color w:val="auto"/>
                      <w:spacing w:val="4"/>
                      <w:sz w:val="21"/>
                      <w:szCs w:val="21"/>
                      <w:lang w:eastAsia="zh-CN"/>
                    </w:rPr>
                    <w:t>材料</w:t>
                  </w:r>
                </w:p>
              </w:tc>
              <w:tc>
                <w:tcPr>
                  <w:tcW w:w="5955" w:type="dxa"/>
                  <w:tcBorders>
                    <w:right w:val="single" w:color="000000" w:sz="4" w:space="0"/>
                  </w:tcBorders>
                  <w:vAlign w:val="center"/>
                </w:tcPr>
                <w:p w14:paraId="0073683F">
                  <w:pPr>
                    <w:pStyle w:val="23"/>
                    <w:kinsoku/>
                    <w:spacing w:before="32" w:line="228"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lang w:eastAsia="zh-CN"/>
                    </w:rPr>
                    <w:t>《油气田钻井固体废弃物综合利用污染物控</w:t>
                  </w:r>
                  <w:r>
                    <w:rPr>
                      <w:rFonts w:hint="default" w:ascii="Times New Roman" w:hAnsi="Times New Roman" w:eastAsia="宋体" w:cs="Times New Roman"/>
                      <w:color w:val="auto"/>
                      <w:spacing w:val="2"/>
                      <w:sz w:val="21"/>
                      <w:szCs w:val="21"/>
                      <w:lang w:eastAsia="zh-CN"/>
                    </w:rPr>
                    <w:t>制要求》（</w:t>
                  </w:r>
                  <w:r>
                    <w:rPr>
                      <w:rFonts w:hint="default" w:ascii="Times New Roman" w:hAnsi="Times New Roman" w:eastAsia="宋体" w:cs="Times New Roman"/>
                      <w:color w:val="auto"/>
                      <w:sz w:val="21"/>
                      <w:szCs w:val="21"/>
                      <w:lang w:eastAsia="zh-CN"/>
                    </w:rPr>
                    <w:t>DB 65/T 3997-2017</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7"/>
                      <w:sz w:val="21"/>
                      <w:szCs w:val="21"/>
                      <w:lang w:eastAsia="zh-CN"/>
                    </w:rPr>
                    <w:t>《危险废物贮存污染控制标准》（</w:t>
                  </w:r>
                  <w:r>
                    <w:rPr>
                      <w:rFonts w:hint="default" w:ascii="Times New Roman" w:hAnsi="Times New Roman" w:eastAsia="宋体" w:cs="Times New Roman"/>
                      <w:color w:val="auto"/>
                      <w:sz w:val="21"/>
                      <w:szCs w:val="21"/>
                      <w:lang w:eastAsia="zh-CN"/>
                    </w:rPr>
                    <w:t>GB</w:t>
                  </w:r>
                  <w:r>
                    <w:rPr>
                      <w:rFonts w:hint="default" w:ascii="Times New Roman" w:hAnsi="Times New Roman" w:eastAsia="宋体" w:cs="Times New Roman"/>
                      <w:color w:val="auto"/>
                      <w:spacing w:val="7"/>
                      <w:sz w:val="21"/>
                      <w:szCs w:val="21"/>
                      <w:lang w:eastAsia="zh-CN"/>
                    </w:rPr>
                    <w:t>18597-2023）《危险废物收集贮存运输技术规范》（HJ2025-2012）</w:t>
                  </w:r>
                </w:p>
              </w:tc>
            </w:tr>
          </w:tbl>
          <w:p w14:paraId="63D986D3">
            <w:pPr>
              <w:pStyle w:val="23"/>
              <w:kinsoku/>
              <w:spacing w:before="65" w:line="228" w:lineRule="auto"/>
              <w:jc w:val="both"/>
              <w:rPr>
                <w:rFonts w:hint="default" w:ascii="Times New Roman" w:hAnsi="Times New Roman" w:eastAsia="宋体" w:cs="Times New Roman"/>
                <w:color w:val="auto"/>
                <w:spacing w:val="-4"/>
                <w:sz w:val="24"/>
                <w:szCs w:val="24"/>
                <w:lang w:eastAsia="zh-CN"/>
              </w:rPr>
            </w:pPr>
          </w:p>
        </w:tc>
      </w:tr>
      <w:tr w14:paraId="0EB8BFD1">
        <w:trPr>
          <w:trHeight w:val="1035" w:hRule="atLeast"/>
          <w:jc w:val="center"/>
        </w:trPr>
        <w:tc>
          <w:tcPr>
            <w:tcW w:w="991" w:type="dxa"/>
            <w:tcBorders>
              <w:top w:val="single" w:color="auto" w:sz="4" w:space="0"/>
              <w:left w:val="single" w:color="auto" w:sz="4" w:space="0"/>
              <w:bottom w:val="single" w:color="auto" w:sz="4" w:space="0"/>
            </w:tcBorders>
            <w:vAlign w:val="center"/>
          </w:tcPr>
          <w:p w14:paraId="0E9E211E">
            <w:pPr>
              <w:pStyle w:val="23"/>
              <w:kinsoku/>
              <w:spacing w:before="65" w:line="228"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0"/>
                <w:sz w:val="24"/>
                <w:szCs w:val="24"/>
              </w:rPr>
              <w:t>其他</w:t>
            </w:r>
          </w:p>
        </w:tc>
        <w:tc>
          <w:tcPr>
            <w:tcW w:w="8108" w:type="dxa"/>
            <w:tcBorders>
              <w:top w:val="single" w:color="auto" w:sz="4" w:space="0"/>
              <w:bottom w:val="single" w:color="auto" w:sz="4" w:space="0"/>
              <w:right w:val="single" w:color="auto" w:sz="4" w:space="0"/>
            </w:tcBorders>
            <w:vAlign w:val="center"/>
          </w:tcPr>
          <w:p w14:paraId="560EBEC0">
            <w:pPr>
              <w:pStyle w:val="23"/>
              <w:kinsoku/>
              <w:spacing w:line="360" w:lineRule="auto"/>
              <w:ind w:firstLine="520" w:firstLineChars="200"/>
              <w:jc w:val="both"/>
              <w:rPr>
                <w:rFonts w:hint="default" w:ascii="Times New Roman" w:hAnsi="Times New Roman" w:eastAsia="宋体" w:cs="Times New Roman"/>
                <w:color w:val="auto"/>
                <w:spacing w:val="10"/>
                <w:sz w:val="24"/>
                <w:szCs w:val="24"/>
                <w:lang w:val="en-US" w:eastAsia="zh-CN"/>
              </w:rPr>
            </w:pPr>
            <w:r>
              <w:rPr>
                <w:rFonts w:hint="eastAsia" w:ascii="Times New Roman" w:hAnsi="Times New Roman" w:cs="Times New Roman"/>
                <w:color w:val="auto"/>
                <w:spacing w:val="10"/>
                <w:sz w:val="24"/>
                <w:szCs w:val="24"/>
                <w:lang w:val="en-US" w:eastAsia="zh-CN"/>
              </w:rPr>
              <w:t>无</w:t>
            </w:r>
          </w:p>
        </w:tc>
      </w:tr>
    </w:tbl>
    <w:p w14:paraId="60A37643">
      <w:pPr>
        <w:kinsoku/>
        <w:spacing w:before="101" w:line="360" w:lineRule="auto"/>
        <w:jc w:val="center"/>
        <w:outlineLvl w:val="0"/>
        <w:rPr>
          <w:rFonts w:ascii="Times New Roman" w:hAnsi="Times New Roman" w:eastAsia="宋体" w:cs="Times New Roman"/>
          <w:color w:val="auto"/>
          <w:sz w:val="24"/>
          <w:szCs w:val="24"/>
        </w:rPr>
      </w:pPr>
      <w:r>
        <w:rPr>
          <w:rFonts w:ascii="Times New Roman" w:hAnsi="Times New Roman" w:eastAsia="宋体" w:cs="Times New Roman"/>
          <w:b/>
          <w:bCs/>
          <w:color w:val="auto"/>
          <w:spacing w:val="3"/>
          <w:sz w:val="30"/>
          <w:szCs w:val="30"/>
          <w:lang w:eastAsia="zh-CN"/>
        </w:rPr>
        <w:br w:type="column"/>
      </w:r>
      <w:r>
        <w:rPr>
          <w:rFonts w:ascii="Times New Roman" w:hAnsi="Times New Roman" w:eastAsia="宋体" w:cs="Times New Roman"/>
          <w:b/>
          <w:bCs/>
          <w:color w:val="auto"/>
          <w:spacing w:val="3"/>
          <w:sz w:val="30"/>
          <w:szCs w:val="30"/>
        </w:rPr>
        <w:t>四、生态环境影响分析</w:t>
      </w:r>
    </w:p>
    <w:tbl>
      <w:tblPr>
        <w:tblStyle w:val="18"/>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8316"/>
      </w:tblGrid>
      <w:tr w14:paraId="29F0018E">
        <w:trPr>
          <w:trHeight w:val="640" w:hRule="atLeast"/>
          <w:jc w:val="center"/>
        </w:trPr>
        <w:tc>
          <w:tcPr>
            <w:tcW w:w="578" w:type="dxa"/>
            <w:vAlign w:val="center"/>
          </w:tcPr>
          <w:p w14:paraId="79FCD129">
            <w:pPr>
              <w:widowControl w:val="0"/>
              <w:kinsoku/>
              <w:spacing w:line="360" w:lineRule="auto"/>
              <w:jc w:val="center"/>
              <w:rPr>
                <w:rFonts w:hint="default" w:ascii="Times New Roman" w:hAnsi="Times New Roman" w:eastAsia="宋体" w:cs="Times New Roman"/>
                <w:color w:val="auto"/>
                <w:sz w:val="24"/>
                <w:szCs w:val="24"/>
                <w:lang w:eastAsia="zh-CN"/>
              </w:rPr>
            </w:pPr>
            <w:bookmarkStart w:id="18" w:name="OLE_LINK45"/>
            <w:r>
              <w:rPr>
                <w:rFonts w:hint="default" w:ascii="Times New Roman" w:hAnsi="Times New Roman" w:eastAsia="宋体" w:cs="Times New Roman"/>
                <w:color w:val="auto"/>
                <w:sz w:val="24"/>
                <w:szCs w:val="24"/>
                <w:lang w:eastAsia="zh-CN"/>
              </w:rPr>
              <w:t>施工期生态环境影响分析</w:t>
            </w:r>
            <w:bookmarkEnd w:id="18"/>
          </w:p>
        </w:tc>
        <w:tc>
          <w:tcPr>
            <w:tcW w:w="8290" w:type="dxa"/>
          </w:tcPr>
          <w:p w14:paraId="72F11684">
            <w:pPr>
              <w:pStyle w:val="23"/>
              <w:widowControl w:val="0"/>
              <w:kinsoku/>
              <w:spacing w:before="39" w:line="360" w:lineRule="auto"/>
              <w:ind w:left="13"/>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6"/>
                <w:sz w:val="24"/>
                <w:szCs w:val="24"/>
                <w:lang w:eastAsia="zh-CN"/>
              </w:rPr>
              <w:t>1</w:t>
            </w:r>
            <w:r>
              <w:rPr>
                <w:rFonts w:hint="default" w:ascii="Times New Roman" w:hAnsi="Times New Roman" w:eastAsia="宋体" w:cs="Times New Roman"/>
                <w:b/>
                <w:bCs/>
                <w:color w:val="auto"/>
                <w:spacing w:val="-34"/>
                <w:sz w:val="24"/>
                <w:szCs w:val="24"/>
                <w:lang w:eastAsia="zh-CN"/>
              </w:rPr>
              <w:t>.</w:t>
            </w:r>
            <w:r>
              <w:rPr>
                <w:rFonts w:hint="default" w:ascii="Times New Roman" w:hAnsi="Times New Roman" w:eastAsia="宋体" w:cs="Times New Roman"/>
                <w:b/>
                <w:bCs/>
                <w:color w:val="auto"/>
                <w:spacing w:val="-6"/>
                <w:sz w:val="24"/>
                <w:szCs w:val="24"/>
                <w:lang w:eastAsia="zh-CN"/>
              </w:rPr>
              <w:t>生态环境影响分析</w:t>
            </w:r>
          </w:p>
          <w:p w14:paraId="25F9B347">
            <w:pPr>
              <w:pStyle w:val="23"/>
              <w:widowControl w:val="0"/>
              <w:kinsoku/>
              <w:spacing w:line="360" w:lineRule="auto"/>
              <w:ind w:left="11"/>
              <w:jc w:val="both"/>
              <w:rPr>
                <w:rFonts w:hint="default" w:ascii="Times New Roman" w:hAnsi="Times New Roman" w:eastAsia="宋体" w:cs="Times New Roman"/>
                <w:b/>
                <w:bCs/>
                <w:color w:val="auto"/>
                <w:spacing w:val="-3"/>
                <w:sz w:val="24"/>
                <w:szCs w:val="24"/>
                <w:lang w:eastAsia="zh-CN"/>
              </w:rPr>
            </w:pPr>
            <w:r>
              <w:rPr>
                <w:rFonts w:hint="default" w:ascii="Times New Roman" w:hAnsi="Times New Roman" w:eastAsia="宋体" w:cs="Times New Roman"/>
                <w:b/>
                <w:bCs/>
                <w:color w:val="auto"/>
                <w:spacing w:val="-3"/>
                <w:sz w:val="24"/>
                <w:szCs w:val="24"/>
                <w:lang w:eastAsia="zh-CN"/>
              </w:rPr>
              <w:t>1.1生态环境影响因素及类型</w:t>
            </w:r>
          </w:p>
          <w:p w14:paraId="775F5EDD">
            <w:pPr>
              <w:pStyle w:val="23"/>
              <w:widowControl w:val="0"/>
              <w:kinsoku/>
              <w:spacing w:line="360" w:lineRule="auto"/>
              <w:ind w:left="11"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本项目道路施工过程中不可避免地会对周围生</w:t>
            </w:r>
            <w:r>
              <w:rPr>
                <w:rFonts w:hint="default" w:ascii="Times New Roman" w:hAnsi="Times New Roman" w:eastAsia="宋体" w:cs="Times New Roman"/>
                <w:color w:val="auto"/>
                <w:spacing w:val="-1"/>
                <w:sz w:val="24"/>
                <w:szCs w:val="24"/>
                <w:lang w:eastAsia="zh-CN"/>
              </w:rPr>
              <w:t>态环境造成不同程度的污染</w:t>
            </w:r>
            <w:r>
              <w:rPr>
                <w:rFonts w:hint="default" w:ascii="Times New Roman" w:hAnsi="Times New Roman" w:eastAsia="宋体" w:cs="Times New Roman"/>
                <w:color w:val="auto"/>
                <w:spacing w:val="-3"/>
                <w:sz w:val="24"/>
                <w:szCs w:val="24"/>
                <w:lang w:eastAsia="zh-CN"/>
              </w:rPr>
              <w:t>和破坏。</w:t>
            </w:r>
          </w:p>
          <w:p w14:paraId="20C74DB5">
            <w:pPr>
              <w:pStyle w:val="23"/>
              <w:widowControl w:val="0"/>
              <w:kinsoku/>
              <w:spacing w:before="1" w:line="360" w:lineRule="auto"/>
              <w:ind w:left="496"/>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（1）生态环境影响类型</w:t>
            </w:r>
          </w:p>
          <w:p w14:paraId="18FCD154">
            <w:pPr>
              <w:pStyle w:val="23"/>
              <w:widowControl w:val="0"/>
              <w:kinsoku/>
              <w:spacing w:before="35" w:line="360" w:lineRule="auto"/>
              <w:ind w:left="5" w:right="4" w:firstLine="483" w:firstLineChars="205"/>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①占地对地表土壤、植被影响</w:t>
            </w:r>
          </w:p>
          <w:p w14:paraId="35F73C50">
            <w:pPr>
              <w:pStyle w:val="23"/>
              <w:widowControl w:val="0"/>
              <w:kinsoku/>
              <w:spacing w:before="35" w:line="360" w:lineRule="auto"/>
              <w:ind w:left="5" w:right="4" w:firstLine="483" w:firstLineChars="205"/>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井场、道路施工占地范围内土壤翻出、植被清除，将破坏地表原有稳定砾石层，加剧风蚀，改变原有生态系统结构</w:t>
            </w:r>
            <w:r>
              <w:rPr>
                <w:rFonts w:hint="default" w:ascii="Times New Roman" w:hAnsi="Times New Roman" w:eastAsia="宋体" w:cs="Times New Roman"/>
                <w:color w:val="auto"/>
                <w:spacing w:val="-3"/>
                <w:sz w:val="24"/>
                <w:szCs w:val="24"/>
                <w:lang w:eastAsia="zh-CN"/>
              </w:rPr>
              <w:t>和功能，属</w:t>
            </w:r>
            <w:r>
              <w:rPr>
                <w:rFonts w:hint="default" w:ascii="Times New Roman" w:hAnsi="Times New Roman" w:eastAsia="宋体" w:cs="Times New Roman"/>
                <w:color w:val="auto"/>
                <w:spacing w:val="-2"/>
                <w:sz w:val="24"/>
                <w:szCs w:val="24"/>
                <w:lang w:eastAsia="zh-CN"/>
              </w:rPr>
              <w:t>暂时性影响。施工完成后，临时性占地和影响将消除，使被破坏的生态环境逐步恢复。评价井和产能井封井前井场将会在原来连续分布的生态环境中形成生态斑点，产生地表温度、水分等物理异常，以及干扰地面植被和野生动物繁殖、迁移</w:t>
            </w:r>
            <w:r>
              <w:rPr>
                <w:rFonts w:hint="default" w:ascii="Times New Roman" w:hAnsi="Times New Roman" w:eastAsia="宋体" w:cs="Times New Roman"/>
                <w:color w:val="auto"/>
                <w:spacing w:val="-1"/>
                <w:sz w:val="24"/>
                <w:szCs w:val="24"/>
                <w:lang w:eastAsia="zh-CN"/>
              </w:rPr>
              <w:t>和栖息，长久影响生态环境的类型和结构。</w:t>
            </w:r>
          </w:p>
          <w:p w14:paraId="68D196C3">
            <w:pPr>
              <w:pStyle w:val="23"/>
              <w:widowControl w:val="0"/>
              <w:kinsoku/>
              <w:spacing w:line="360" w:lineRule="auto"/>
              <w:ind w:left="482"/>
              <w:jc w:val="both"/>
              <w:rPr>
                <w:rFonts w:hint="default" w:ascii="Times New Roman" w:hAnsi="Times New Roman" w:eastAsia="宋体" w:cs="Times New Roman"/>
                <w:color w:val="auto"/>
                <w:spacing w:val="-1"/>
                <w:sz w:val="24"/>
                <w:szCs w:val="24"/>
                <w:lang w:eastAsia="zh-CN"/>
              </w:rPr>
            </w:pPr>
            <w:r>
              <w:rPr>
                <w:rFonts w:hint="default" w:ascii="Times New Roman" w:hAnsi="Times New Roman" w:eastAsia="宋体" w:cs="Times New Roman"/>
                <w:color w:val="auto"/>
                <w:spacing w:val="-1"/>
                <w:sz w:val="24"/>
                <w:szCs w:val="24"/>
                <w:lang w:eastAsia="zh-CN"/>
              </w:rPr>
              <w:t>②污染物排放对生态环境的影响</w:t>
            </w:r>
          </w:p>
          <w:p w14:paraId="4B919E8A">
            <w:pPr>
              <w:pStyle w:val="23"/>
              <w:widowControl w:val="0"/>
              <w:kinsoku/>
              <w:spacing w:line="360" w:lineRule="auto"/>
              <w:ind w:firstLine="472"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本工程主要污染源集中在钻井工程，其污染源分布广、排放源强小，污染因子简单，具有影响的全方位性、综合性的特点，其对生态环境影响的途径和程度</w:t>
            </w:r>
            <w:r>
              <w:rPr>
                <w:rFonts w:hint="default" w:ascii="Times New Roman" w:hAnsi="Times New Roman" w:eastAsia="宋体" w:cs="Times New Roman"/>
                <w:color w:val="auto"/>
                <w:sz w:val="24"/>
                <w:szCs w:val="24"/>
                <w:lang w:eastAsia="zh-CN"/>
              </w:rPr>
              <w:t>取决于水环境、空气环境、声环境被污染的程度和</w:t>
            </w:r>
            <w:r>
              <w:rPr>
                <w:rFonts w:hint="default" w:ascii="Times New Roman" w:hAnsi="Times New Roman" w:eastAsia="宋体" w:cs="Times New Roman"/>
                <w:color w:val="auto"/>
                <w:spacing w:val="-1"/>
                <w:sz w:val="24"/>
                <w:szCs w:val="24"/>
                <w:lang w:eastAsia="zh-CN"/>
              </w:rPr>
              <w:t>固废的产生量及处置方式。</w:t>
            </w:r>
          </w:p>
          <w:p w14:paraId="2C7BFCF6">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（2）生态环境影响因素</w:t>
            </w:r>
          </w:p>
          <w:p w14:paraId="2BA42144">
            <w:pPr>
              <w:pStyle w:val="23"/>
              <w:widowControl w:val="0"/>
              <w:kinsoku/>
              <w:spacing w:line="360" w:lineRule="auto"/>
              <w:ind w:firstLine="472"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环境影响因素识别实际上是对主体的识别，包括主体工程和辅助工程。对于</w:t>
            </w:r>
            <w:r>
              <w:rPr>
                <w:rFonts w:hint="default" w:ascii="Times New Roman" w:hAnsi="Times New Roman" w:eastAsia="宋体" w:cs="Times New Roman"/>
                <w:color w:val="auto"/>
                <w:spacing w:val="-1"/>
                <w:sz w:val="24"/>
                <w:szCs w:val="24"/>
                <w:lang w:eastAsia="zh-CN"/>
              </w:rPr>
              <w:t>本项目来讲，主要从钻井工程分析环境影响因素。</w:t>
            </w:r>
          </w:p>
          <w:p w14:paraId="529CF482">
            <w:pPr>
              <w:pStyle w:val="23"/>
              <w:widowControl w:val="0"/>
              <w:kinsoku/>
              <w:spacing w:before="2" w:line="360" w:lineRule="auto"/>
              <w:ind w:left="3" w:right="4" w:firstLine="481"/>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本项目部署新井2口，井场的平整会产生土方的</w:t>
            </w:r>
            <w:r>
              <w:rPr>
                <w:rFonts w:hint="default" w:ascii="Times New Roman" w:hAnsi="Times New Roman" w:eastAsia="宋体" w:cs="Times New Roman"/>
                <w:color w:val="auto"/>
                <w:spacing w:val="-1"/>
                <w:sz w:val="24"/>
                <w:szCs w:val="24"/>
                <w:lang w:eastAsia="zh-CN"/>
              </w:rPr>
              <w:t>扰动；钻井过程中废物的排</w:t>
            </w:r>
            <w:r>
              <w:rPr>
                <w:rFonts w:hint="default" w:ascii="Times New Roman" w:hAnsi="Times New Roman" w:eastAsia="宋体" w:cs="Times New Roman"/>
                <w:color w:val="auto"/>
                <w:spacing w:val="-2"/>
                <w:sz w:val="24"/>
                <w:szCs w:val="24"/>
                <w:lang w:eastAsia="zh-CN"/>
              </w:rPr>
              <w:t>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完井后全部回收外运；施工机械划定运行线路，不得随意开行便道，以减少对地表原生结构的破坏。各种措施的采</w:t>
            </w:r>
            <w:r>
              <w:rPr>
                <w:rFonts w:hint="default" w:ascii="Times New Roman" w:hAnsi="Times New Roman" w:eastAsia="宋体" w:cs="Times New Roman"/>
                <w:color w:val="auto"/>
                <w:spacing w:val="-1"/>
                <w:sz w:val="24"/>
                <w:szCs w:val="24"/>
                <w:lang w:eastAsia="zh-CN"/>
              </w:rPr>
              <w:t>用，可有效减轻钻井过程对生态环境的影响。</w:t>
            </w:r>
          </w:p>
          <w:p w14:paraId="6A5D1204">
            <w:pPr>
              <w:pStyle w:val="23"/>
              <w:widowControl w:val="0"/>
              <w:kinsoku/>
              <w:spacing w:line="360" w:lineRule="auto"/>
              <w:ind w:left="11"/>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1.2对植被的影响分析</w:t>
            </w:r>
          </w:p>
          <w:p w14:paraId="0F8907C9">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（1）工程占地对植被的影响</w:t>
            </w:r>
          </w:p>
          <w:p w14:paraId="16FC65D1">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工程占地包括井场、入场道路和施工营地等临时占地，对植被的影响主要表现在施工期，主要影响形式是对土地的占用以及施工阶段清场过程中对地表植被的清理及施工过程中地碾压。</w:t>
            </w:r>
          </w:p>
          <w:p w14:paraId="6BDAB473">
            <w:pPr>
              <w:pStyle w:val="23"/>
              <w:widowControl w:val="0"/>
              <w:kinsoku/>
              <w:spacing w:line="360" w:lineRule="auto"/>
              <w:ind w:firstLine="472"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在井场、道路施工过程中土地被扰动，地表植被基本被毁。施工结束后重新回到原来的自然状态，但地表植被及地表结构却发生了变化。地表保护层被破坏后，其稳定性下降，防止水土流失的能力也随之下降。</w:t>
            </w:r>
          </w:p>
          <w:p w14:paraId="4049A274">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（2）人类活动对植被的影响</w:t>
            </w:r>
          </w:p>
          <w:p w14:paraId="63EA0D96">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项目施工过程对植被的影响主要表现在人类和机械对植物的践踏、碾压和砍伐，使原生植被生境发生较大变化。区域单位面积上人口密度的增加将导致工程开发范围内及边缘区域地表土壤被践踏、自然植被减少。</w:t>
            </w:r>
          </w:p>
          <w:p w14:paraId="25181E58">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评价区植被分布不均匀，覆盖度较低，人类活动对该区域天然植被产生的不良影响非常有限。</w:t>
            </w:r>
          </w:p>
          <w:p w14:paraId="3FCA044A">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由于项目地点远离城市干线，交通事故发生的概率极小，且造成的污染有限。相对于整个开发区域而言，事故均发生于一个较小的范围内，事故发生后及时清理事故污染，交通事故不会对整个区域植被产生明显不利影响。</w:t>
            </w:r>
          </w:p>
          <w:p w14:paraId="0FF3E677">
            <w:pPr>
              <w:pStyle w:val="23"/>
              <w:widowControl w:val="0"/>
              <w:kinsoku/>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生物损失量核算</w:t>
            </w:r>
          </w:p>
          <w:p w14:paraId="52D60497">
            <w:pPr>
              <w:pStyle w:val="23"/>
              <w:widowControl w:val="0"/>
              <w:kinsoku/>
              <w:spacing w:line="360" w:lineRule="auto"/>
              <w:ind w:firstLine="472" w:firstLineChars="200"/>
              <w:jc w:val="both"/>
              <w:rPr>
                <w:rFonts w:hint="default" w:ascii="Times New Roman" w:hAnsi="Times New Roman" w:cs="Times New Roman"/>
                <w:color w:val="auto"/>
                <w:spacing w:val="-2"/>
                <w:sz w:val="24"/>
                <w:szCs w:val="24"/>
                <w:highlight w:val="none"/>
                <w:lang w:eastAsia="zh-CN"/>
              </w:rPr>
            </w:pPr>
            <w:r>
              <w:rPr>
                <w:rFonts w:hint="default" w:ascii="Times New Roman" w:hAnsi="Times New Roman" w:cs="Times New Roman"/>
                <w:color w:val="auto"/>
                <w:spacing w:val="-2"/>
                <w:sz w:val="24"/>
                <w:szCs w:val="24"/>
                <w:highlight w:val="none"/>
                <w:lang w:eastAsia="zh-CN"/>
              </w:rPr>
              <w:t>本项目总用地面积为</w:t>
            </w:r>
            <w:r>
              <w:rPr>
                <w:rFonts w:hint="eastAsia" w:ascii="Times New Roman" w:hAnsi="Times New Roman" w:cs="Times New Roman"/>
                <w:color w:val="auto"/>
                <w:spacing w:val="-2"/>
                <w:sz w:val="24"/>
                <w:szCs w:val="24"/>
                <w:highlight w:val="none"/>
                <w:lang w:val="en-US" w:eastAsia="zh-CN"/>
              </w:rPr>
              <w:t>23878</w:t>
            </w:r>
            <w:r>
              <w:rPr>
                <w:rFonts w:hint="default" w:ascii="Times New Roman" w:hAnsi="Times New Roman" w:cs="Times New Roman"/>
                <w:color w:val="auto"/>
                <w:spacing w:val="-2"/>
                <w:sz w:val="24"/>
                <w:szCs w:val="24"/>
                <w:highlight w:val="none"/>
                <w:lang w:eastAsia="zh-CN"/>
              </w:rPr>
              <w:t>m²，占地类型</w:t>
            </w:r>
            <w:r>
              <w:rPr>
                <w:rFonts w:hint="eastAsia" w:ascii="Times New Roman" w:hAnsi="Times New Roman" w:cs="Times New Roman"/>
                <w:color w:val="auto"/>
                <w:spacing w:val="-2"/>
                <w:sz w:val="24"/>
                <w:szCs w:val="24"/>
                <w:highlight w:val="none"/>
                <w:lang w:val="en-US" w:eastAsia="zh-CN"/>
              </w:rPr>
              <w:t>主要</w:t>
            </w:r>
            <w:r>
              <w:rPr>
                <w:rFonts w:hint="default" w:ascii="Times New Roman" w:hAnsi="Times New Roman" w:cs="Times New Roman"/>
                <w:color w:val="auto"/>
                <w:spacing w:val="-2"/>
                <w:sz w:val="24"/>
                <w:szCs w:val="24"/>
                <w:highlight w:val="none"/>
                <w:lang w:eastAsia="zh-CN"/>
              </w:rPr>
              <w:t>为灌木林地</w:t>
            </w:r>
            <w:r>
              <w:rPr>
                <w:rFonts w:hint="eastAsia" w:ascii="Times New Roman" w:hAnsi="Times New Roman" w:cs="Times New Roman"/>
                <w:color w:val="auto"/>
                <w:spacing w:val="-2"/>
                <w:sz w:val="24"/>
                <w:szCs w:val="24"/>
                <w:highlight w:val="none"/>
                <w:lang w:val="en-US" w:eastAsia="zh-CN"/>
              </w:rPr>
              <w:t>和沟渠</w:t>
            </w:r>
            <w:r>
              <w:rPr>
                <w:rFonts w:hint="default" w:ascii="Times New Roman" w:hAnsi="Times New Roman" w:cs="Times New Roman"/>
                <w:color w:val="auto"/>
                <w:spacing w:val="-2"/>
                <w:sz w:val="24"/>
                <w:szCs w:val="24"/>
                <w:highlight w:val="none"/>
                <w:lang w:eastAsia="zh-CN"/>
              </w:rPr>
              <w:t>。根据项目区现场踏勘及引用《新疆准噶尔盆地植被生物量估算》等同类区域生态文献资料，项目所在区域属于典型的温性荒漠灌木植被带，主要优势种为红砂、骆驼蓬等，区域植被覆盖度较低，生物量密度约为</w:t>
            </w:r>
            <w:r>
              <w:rPr>
                <w:rFonts w:hint="eastAsia" w:ascii="Times New Roman" w:hAnsi="Times New Roman" w:cs="Times New Roman"/>
                <w:color w:val="auto"/>
                <w:spacing w:val="-2"/>
                <w:sz w:val="24"/>
                <w:szCs w:val="24"/>
                <w:highlight w:val="none"/>
                <w:lang w:val="en-US" w:eastAsia="zh-CN"/>
              </w:rPr>
              <w:t>800</w:t>
            </w:r>
            <w:r>
              <w:rPr>
                <w:rFonts w:hint="default" w:ascii="Times New Roman" w:hAnsi="Times New Roman" w:cs="Times New Roman"/>
                <w:color w:val="auto"/>
                <w:spacing w:val="-2"/>
                <w:sz w:val="24"/>
                <w:szCs w:val="24"/>
                <w:highlight w:val="none"/>
                <w:lang w:eastAsia="zh-CN"/>
              </w:rPr>
              <w:t xml:space="preserve">g/m²（干重）。 经测算，本项目建设占用灌木林地造成的生物量损失约为： 生物量损失 = 占地面积 × 生物量密度 = </w:t>
            </w:r>
            <w:r>
              <w:rPr>
                <w:rFonts w:hint="eastAsia" w:ascii="Times New Roman" w:hAnsi="Times New Roman" w:cs="Times New Roman"/>
                <w:color w:val="auto"/>
                <w:spacing w:val="-2"/>
                <w:sz w:val="24"/>
                <w:szCs w:val="24"/>
                <w:highlight w:val="none"/>
                <w:lang w:val="en-US" w:eastAsia="zh-CN"/>
              </w:rPr>
              <w:t>23878</w:t>
            </w:r>
            <w:r>
              <w:rPr>
                <w:rFonts w:hint="default" w:ascii="Times New Roman" w:hAnsi="Times New Roman" w:cs="Times New Roman"/>
                <w:color w:val="auto"/>
                <w:spacing w:val="-2"/>
                <w:sz w:val="24"/>
                <w:szCs w:val="24"/>
                <w:highlight w:val="none"/>
                <w:lang w:eastAsia="zh-CN"/>
              </w:rPr>
              <w:t>m² × 0.</w:t>
            </w:r>
            <w:r>
              <w:rPr>
                <w:rFonts w:hint="eastAsia" w:ascii="Times New Roman" w:hAnsi="Times New Roman" w:cs="Times New Roman"/>
                <w:color w:val="auto"/>
                <w:spacing w:val="-2"/>
                <w:sz w:val="24"/>
                <w:szCs w:val="24"/>
                <w:highlight w:val="none"/>
                <w:lang w:val="en-US" w:eastAsia="zh-CN"/>
              </w:rPr>
              <w:t>8</w:t>
            </w:r>
            <w:r>
              <w:rPr>
                <w:rFonts w:hint="default" w:ascii="Times New Roman" w:hAnsi="Times New Roman" w:cs="Times New Roman"/>
                <w:color w:val="auto"/>
                <w:spacing w:val="-2"/>
                <w:sz w:val="24"/>
                <w:szCs w:val="24"/>
                <w:highlight w:val="none"/>
                <w:lang w:eastAsia="zh-CN"/>
              </w:rPr>
              <w:t xml:space="preserve">kg/m² ≈ </w:t>
            </w:r>
            <w:r>
              <w:rPr>
                <w:rFonts w:hint="eastAsia" w:ascii="Times New Roman" w:hAnsi="Times New Roman" w:cs="Times New Roman"/>
                <w:color w:val="auto"/>
                <w:spacing w:val="-2"/>
                <w:sz w:val="24"/>
                <w:szCs w:val="24"/>
                <w:highlight w:val="none"/>
                <w:lang w:val="en-US" w:eastAsia="zh-CN"/>
              </w:rPr>
              <w:t>19102.4</w:t>
            </w:r>
            <w:r>
              <w:rPr>
                <w:rFonts w:hint="default" w:ascii="Times New Roman" w:hAnsi="Times New Roman" w:cs="Times New Roman"/>
                <w:color w:val="auto"/>
                <w:spacing w:val="-2"/>
                <w:sz w:val="24"/>
                <w:szCs w:val="24"/>
                <w:highlight w:val="none"/>
                <w:lang w:eastAsia="zh-CN"/>
              </w:rPr>
              <w:t>kg（约</w:t>
            </w:r>
            <w:r>
              <w:rPr>
                <w:rFonts w:hint="eastAsia" w:ascii="Times New Roman" w:hAnsi="Times New Roman" w:cs="Times New Roman"/>
                <w:color w:val="auto"/>
                <w:spacing w:val="-2"/>
                <w:sz w:val="24"/>
                <w:szCs w:val="24"/>
                <w:highlight w:val="none"/>
                <w:lang w:val="en-US" w:eastAsia="zh-CN"/>
              </w:rPr>
              <w:t>19.10</w:t>
            </w:r>
            <w:r>
              <w:rPr>
                <w:rFonts w:hint="default" w:ascii="Times New Roman" w:hAnsi="Times New Roman" w:cs="Times New Roman"/>
                <w:color w:val="auto"/>
                <w:spacing w:val="-2"/>
                <w:sz w:val="24"/>
                <w:szCs w:val="24"/>
                <w:highlight w:val="none"/>
                <w:lang w:eastAsia="zh-CN"/>
              </w:rPr>
              <w:t>t）。由于项目占地呈点状和线状分布，且均为临时占地，相较于整个准噶尔盆地及周边广阔的荒漠生态系统而言，工程建设造成的植被生物量损失总量较小。且随着施工期结束及生态恢复措施的落实（如表土回铺、自然恢复等），受损区域的生物量将逐步得到恢复，不会对区域生态系统稳定性造成重大不利影响。</w:t>
            </w:r>
          </w:p>
          <w:p w14:paraId="44135CDB">
            <w:pPr>
              <w:pStyle w:val="23"/>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1.3对野生动物的影响分析</w:t>
            </w:r>
          </w:p>
          <w:p w14:paraId="35DE0C76">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14:paraId="2290C89C">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（1）施工期对野生动物的影响</w:t>
            </w:r>
          </w:p>
          <w:p w14:paraId="276CD5ED">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他区域，而常见的伴人型野生动物种类有所增加。施工完成后，施工人员撤离作业区域，区域内的人为活动逐步减少，野生动物将逐步回归原有生境。</w:t>
            </w:r>
          </w:p>
          <w:p w14:paraId="1557A2FE">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（2）事故对野生动物的影响</w:t>
            </w:r>
          </w:p>
          <w:p w14:paraId="5E149F19">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发生事故时常常导致原油及天然气的泄出和渗漏，从而可能影响工程区域内的野生脊椎动物的生存环境。事故类型的不同，对野生动物的影响范围和程度也有所不同。当发生井喷事故时，井场周围200m-500m范围以内的各种小型脊椎动物会因躲避不及造成死亡，局部区域可能影响到的只是一些啮齿类动物、爬行动物和小型鸟类，对大中型动物不会造成影响。如果发生火灾事故，由于生态环境及空气环境的变化，短时间内会使事故周围动物的分布数量下降。</w:t>
            </w:r>
          </w:p>
          <w:p w14:paraId="58285E18">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（3）对野生动物生活环境的影响</w:t>
            </w:r>
          </w:p>
          <w:p w14:paraId="1FAE9AA8">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区域内各种野生动物经过长期的适应已形成较稳定的取食、饮水、栖息活动范围和分布，基本对野生动物的生境无影响。人为活动的干扰使得区域上空活动的鸟类相对于未干扰时有所减少，而使得局部地段二、三级营养结构中的爬行类（啮齿类）和昆虫类数量有所增加或活动频度增大。这些占地影响对地面活动的野生动物种类产生隔离作用，使原分布区内的种类向外扩散，而钻井作业结束后，随着人类活动和占地的减少，原有生境将逐步恢复，野生动物对新环境适应后其活动和分布范围亦将恢复。</w:t>
            </w:r>
          </w:p>
          <w:p w14:paraId="086FF401">
            <w:pPr>
              <w:pStyle w:val="23"/>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1.4对农田的影响分析</w:t>
            </w:r>
          </w:p>
          <w:p w14:paraId="49F07D17">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本项目占地类型主要为</w:t>
            </w:r>
            <w:r>
              <w:rPr>
                <w:rFonts w:hint="eastAsia" w:ascii="Times New Roman" w:hAnsi="Times New Roman" w:cs="Times New Roman"/>
                <w:color w:val="auto"/>
                <w:spacing w:val="-2"/>
                <w:sz w:val="24"/>
                <w:szCs w:val="24"/>
                <w:lang w:val="en-US" w:eastAsia="zh-CN"/>
              </w:rPr>
              <w:t>灌木林地和沟渠</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周边100m</w:t>
            </w:r>
            <w:r>
              <w:rPr>
                <w:rFonts w:hint="eastAsia" w:ascii="Times New Roman" w:hAnsi="Times New Roman" w:cs="Times New Roman"/>
                <w:color w:val="auto"/>
                <w:spacing w:val="-2"/>
                <w:sz w:val="24"/>
                <w:szCs w:val="24"/>
                <w:lang w:val="en-US" w:eastAsia="zh-CN"/>
              </w:rPr>
              <w:t>范围内</w:t>
            </w:r>
            <w:r>
              <w:rPr>
                <w:rFonts w:hint="default" w:ascii="Times New Roman" w:hAnsi="Times New Roman" w:eastAsia="宋体" w:cs="Times New Roman"/>
                <w:color w:val="auto"/>
                <w:spacing w:val="-2"/>
                <w:sz w:val="24"/>
                <w:szCs w:val="24"/>
                <w:lang w:val="en-US" w:eastAsia="zh-CN"/>
              </w:rPr>
              <w:t>有耕地分布，</w:t>
            </w:r>
            <w:r>
              <w:rPr>
                <w:rFonts w:hint="default" w:ascii="Times New Roman" w:hAnsi="Times New Roman" w:eastAsia="宋体" w:cs="Times New Roman"/>
                <w:color w:val="auto"/>
                <w:spacing w:val="-2"/>
                <w:sz w:val="24"/>
                <w:szCs w:val="24"/>
                <w:lang w:eastAsia="zh-CN"/>
              </w:rPr>
              <w:t>对农作物的影响主要来自于施工废气、道路扬尘等间接影响方式。</w:t>
            </w:r>
          </w:p>
          <w:p w14:paraId="4F153C90">
            <w:pPr>
              <w:pStyle w:val="23"/>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eastAsia" w:ascii="Times New Roman" w:hAnsi="Times New Roman" w:eastAsia="宋体" w:cs="Times New Roman"/>
                <w:b/>
                <w:bCs/>
                <w:color w:val="auto"/>
                <w:spacing w:val="-2"/>
                <w:sz w:val="24"/>
                <w:szCs w:val="24"/>
                <w:lang w:val="en-US" w:eastAsia="zh-CN"/>
              </w:rPr>
              <w:t>1.5</w:t>
            </w:r>
            <w:r>
              <w:rPr>
                <w:rFonts w:hint="default" w:ascii="Times New Roman" w:hAnsi="Times New Roman" w:eastAsia="宋体" w:cs="Times New Roman"/>
                <w:b/>
                <w:bCs/>
                <w:color w:val="auto"/>
                <w:spacing w:val="-2"/>
                <w:sz w:val="24"/>
                <w:szCs w:val="24"/>
                <w:lang w:eastAsia="zh-CN"/>
              </w:rPr>
              <w:t>生态环境保护措施</w:t>
            </w:r>
          </w:p>
          <w:p w14:paraId="752D0C24">
            <w:pPr>
              <w:pStyle w:val="23"/>
              <w:widowControl w:val="0"/>
              <w:kinsoku/>
              <w:spacing w:line="360" w:lineRule="auto"/>
              <w:ind w:firstLine="472" w:firstLineChars="200"/>
              <w:jc w:val="both"/>
              <w:rPr>
                <w:color w:val="auto"/>
              </w:rPr>
            </w:pPr>
            <w:r>
              <w:rPr>
                <w:rFonts w:hint="eastAsia" w:ascii="Times New Roman" w:hAnsi="Times New Roman" w:eastAsia="宋体" w:cs="Times New Roman"/>
                <w:color w:val="auto"/>
                <w:spacing w:val="-2"/>
                <w:sz w:val="24"/>
                <w:szCs w:val="24"/>
                <w:lang w:eastAsia="zh-CN"/>
              </w:rPr>
              <w:t>为减轻项目施工对区域生态环境的不利影响，项目施工期应严格落实以下生态环境保护措施：</w:t>
            </w:r>
            <w:r>
              <w:rPr>
                <w:rFonts w:hint="eastAsia" w:ascii="Times New Roman" w:hAnsi="Times New Roman" w:eastAsia="宋体" w:cs="Times New Roman"/>
                <w:color w:val="auto"/>
                <w:spacing w:val="-2"/>
                <w:sz w:val="24"/>
                <w:szCs w:val="24"/>
                <w:lang w:eastAsia="zh-CN"/>
              </w:rPr>
              <w:br w:type="textWrapping"/>
            </w:r>
            <w:r>
              <w:rPr>
                <w:rFonts w:hint="eastAsia" w:ascii="Times New Roman" w:hAnsi="Times New Roman" w:eastAsia="宋体" w:cs="Times New Roman"/>
                <w:color w:val="auto"/>
                <w:spacing w:val="-2"/>
                <w:sz w:val="24"/>
                <w:szCs w:val="24"/>
                <w:lang w:eastAsia="zh-CN"/>
              </w:rPr>
              <w:t>①严格控制占地范围。施工活动严格控制在井场、放喷管线、堆土区、生活营地及临时道路占地范围内，严禁随意扩大施工作业面，严禁超范围碾压、取土和堆放物料。</w:t>
            </w:r>
            <w:r>
              <w:rPr>
                <w:rFonts w:hint="eastAsia" w:ascii="Times New Roman" w:hAnsi="Times New Roman" w:eastAsia="宋体" w:cs="Times New Roman"/>
                <w:color w:val="auto"/>
                <w:spacing w:val="-2"/>
                <w:sz w:val="24"/>
                <w:szCs w:val="24"/>
                <w:lang w:eastAsia="zh-CN"/>
              </w:rPr>
              <w:br w:type="textWrapping"/>
            </w:r>
            <w:r>
              <w:rPr>
                <w:rFonts w:hint="eastAsia" w:ascii="Times New Roman" w:hAnsi="Times New Roman" w:eastAsia="宋体" w:cs="Times New Roman"/>
                <w:color w:val="auto"/>
                <w:spacing w:val="-2"/>
                <w:sz w:val="24"/>
                <w:szCs w:val="24"/>
                <w:lang w:eastAsia="zh-CN"/>
              </w:rPr>
              <w:t>②加强表土保护。施工前对井场、生活营地及道路扰动区域表层土壤进行剥离，分区堆放并采取防风、防雨、防流失措施，后期作为生态恢复覆土使用。</w:t>
            </w:r>
            <w:r>
              <w:rPr>
                <w:rFonts w:hint="eastAsia" w:ascii="Times New Roman" w:hAnsi="Times New Roman" w:eastAsia="宋体" w:cs="Times New Roman"/>
                <w:color w:val="auto"/>
                <w:spacing w:val="-2"/>
                <w:sz w:val="24"/>
                <w:szCs w:val="24"/>
                <w:lang w:eastAsia="zh-CN"/>
              </w:rPr>
              <w:br w:type="textWrapping"/>
            </w:r>
            <w:r>
              <w:rPr>
                <w:rFonts w:hint="eastAsia" w:ascii="Times New Roman" w:hAnsi="Times New Roman" w:eastAsia="宋体" w:cs="Times New Roman"/>
                <w:color w:val="auto"/>
                <w:spacing w:val="-2"/>
                <w:sz w:val="24"/>
                <w:szCs w:val="24"/>
                <w:lang w:eastAsia="zh-CN"/>
              </w:rPr>
              <w:t>③加强植被保护。项目区占地类型主要为灌木林地和沟渠，施工过程中应尽量避让植被较好地段，减少对荒漠灌草植被的破坏；严禁无关人员和车辆驶离便道，防止扩大植被扰动范围。</w:t>
            </w:r>
            <w:r>
              <w:rPr>
                <w:rFonts w:hint="eastAsia" w:ascii="Times New Roman" w:hAnsi="Times New Roman" w:eastAsia="宋体" w:cs="Times New Roman"/>
                <w:color w:val="auto"/>
                <w:spacing w:val="-2"/>
                <w:sz w:val="24"/>
                <w:szCs w:val="24"/>
                <w:lang w:eastAsia="zh-CN"/>
              </w:rPr>
              <w:br w:type="textWrapping"/>
            </w:r>
            <w:r>
              <w:rPr>
                <w:rFonts w:hint="eastAsia" w:ascii="Times New Roman" w:hAnsi="Times New Roman" w:eastAsia="宋体" w:cs="Times New Roman"/>
                <w:color w:val="auto"/>
                <w:spacing w:val="-2"/>
                <w:sz w:val="24"/>
                <w:szCs w:val="24"/>
                <w:lang w:eastAsia="zh-CN"/>
              </w:rPr>
              <w:t>④加强道路与车辆管理。施工车辆应沿既有道路和规划临时道路行驶，无道路区域车辆实行“一”字形行驶，避免多股车辙破坏地表结皮和植被；夜间车辆限速行驶，减少对野生动物活动的干扰。</w:t>
            </w:r>
            <w:r>
              <w:rPr>
                <w:rFonts w:hint="eastAsia" w:ascii="Times New Roman" w:hAnsi="Times New Roman" w:eastAsia="宋体" w:cs="Times New Roman"/>
                <w:color w:val="auto"/>
                <w:spacing w:val="-2"/>
                <w:sz w:val="24"/>
                <w:szCs w:val="24"/>
                <w:lang w:eastAsia="zh-CN"/>
              </w:rPr>
              <w:br w:type="textWrapping"/>
            </w:r>
            <w:r>
              <w:rPr>
                <w:rFonts w:hint="eastAsia" w:ascii="Times New Roman" w:hAnsi="Times New Roman" w:eastAsia="宋体" w:cs="Times New Roman"/>
                <w:color w:val="auto"/>
                <w:spacing w:val="-2"/>
                <w:sz w:val="24"/>
                <w:szCs w:val="24"/>
                <w:lang w:eastAsia="zh-CN"/>
              </w:rPr>
              <w:t>⑤加强沟渠保护。项目占地涉及沟渠时，应尽量减少对原有沟道形态的扰动，临时道路跨沟段应采取涵管、预留过水断面等措施，防止阻断区域排水路径。</w:t>
            </w:r>
            <w:r>
              <w:rPr>
                <w:rFonts w:hint="eastAsia" w:ascii="Times New Roman" w:hAnsi="Times New Roman" w:eastAsia="宋体" w:cs="Times New Roman"/>
                <w:color w:val="auto"/>
                <w:spacing w:val="-2"/>
                <w:sz w:val="24"/>
                <w:szCs w:val="24"/>
                <w:lang w:eastAsia="zh-CN"/>
              </w:rPr>
              <w:br w:type="textWrapping"/>
            </w:r>
            <w:r>
              <w:rPr>
                <w:rFonts w:hint="eastAsia" w:ascii="Times New Roman" w:hAnsi="Times New Roman" w:eastAsia="宋体" w:cs="Times New Roman"/>
                <w:color w:val="auto"/>
                <w:spacing w:val="-2"/>
                <w:sz w:val="24"/>
                <w:szCs w:val="24"/>
                <w:lang w:eastAsia="zh-CN"/>
              </w:rPr>
              <w:t>⑥加强水土流失防治。施工中合理布设堆土区和材料堆场，避免大风天气进行大规模地表开挖和土方作业；施工结束后及时清理弃土、平整场地，减少裸露地表面积。</w:t>
            </w:r>
            <w:r>
              <w:rPr>
                <w:rFonts w:hint="eastAsia" w:ascii="Times New Roman" w:hAnsi="Times New Roman" w:eastAsia="宋体" w:cs="Times New Roman"/>
                <w:color w:val="auto"/>
                <w:spacing w:val="-2"/>
                <w:sz w:val="24"/>
                <w:szCs w:val="24"/>
                <w:lang w:eastAsia="zh-CN"/>
              </w:rPr>
              <w:br w:type="textWrapping"/>
            </w:r>
            <w:r>
              <w:rPr>
                <w:rFonts w:hint="eastAsia" w:ascii="Times New Roman" w:hAnsi="Times New Roman" w:eastAsia="宋体" w:cs="Times New Roman"/>
                <w:color w:val="auto"/>
                <w:spacing w:val="-2"/>
                <w:sz w:val="24"/>
                <w:szCs w:val="24"/>
                <w:lang w:eastAsia="zh-CN"/>
              </w:rPr>
              <w:t>⑦加强野生动植物保护。施工期严禁捕猎、驱赶野生动物，严禁私自采挖野生植物，严禁使用对野生动物有直接毒害风险的药物；夜间作业采用定向照明，降低对周边野生动物活动的影响。</w:t>
            </w:r>
            <w:r>
              <w:rPr>
                <w:rFonts w:hint="eastAsia" w:ascii="Times New Roman" w:hAnsi="Times New Roman" w:eastAsia="宋体" w:cs="Times New Roman"/>
                <w:color w:val="auto"/>
                <w:spacing w:val="-2"/>
                <w:sz w:val="24"/>
                <w:szCs w:val="24"/>
                <w:lang w:eastAsia="zh-CN"/>
              </w:rPr>
              <w:br w:type="textWrapping"/>
            </w:r>
            <w:r>
              <w:rPr>
                <w:rFonts w:hint="eastAsia" w:ascii="Times New Roman" w:hAnsi="Times New Roman" w:eastAsia="宋体" w:cs="Times New Roman"/>
                <w:color w:val="auto"/>
                <w:spacing w:val="-2"/>
                <w:sz w:val="24"/>
                <w:szCs w:val="24"/>
                <w:lang w:eastAsia="zh-CN"/>
              </w:rPr>
              <w:t>⑧加强施工期生态管理。建设单位应将生态保护要求纳入施工管理和环保交底内容，设置生态环保巡查制度，发现超范围占地、植被破坏和沟渠堵塞等问题及时整改。</w:t>
            </w:r>
          </w:p>
          <w:p w14:paraId="0ED82192">
            <w:pPr>
              <w:pStyle w:val="23"/>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eastAsia" w:ascii="Times New Roman" w:hAnsi="Times New Roman" w:eastAsia="宋体" w:cs="Times New Roman"/>
                <w:b/>
                <w:bCs/>
                <w:color w:val="auto"/>
                <w:spacing w:val="-2"/>
                <w:sz w:val="24"/>
                <w:szCs w:val="24"/>
                <w:lang w:val="en-US" w:eastAsia="zh-CN"/>
              </w:rPr>
              <w:t>1.6</w:t>
            </w:r>
            <w:r>
              <w:rPr>
                <w:rFonts w:hint="default" w:ascii="Times New Roman" w:hAnsi="Times New Roman" w:eastAsia="宋体" w:cs="Times New Roman"/>
                <w:b/>
                <w:bCs/>
                <w:color w:val="auto"/>
                <w:spacing w:val="-2"/>
                <w:sz w:val="24"/>
                <w:szCs w:val="24"/>
                <w:lang w:eastAsia="zh-CN"/>
              </w:rPr>
              <w:t>生态恢复措施</w:t>
            </w:r>
          </w:p>
          <w:p w14:paraId="0B69A613">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eastAsia" w:ascii="Times New Roman" w:hAnsi="Times New Roman" w:eastAsia="宋体" w:cs="Times New Roman"/>
                <w:color w:val="auto"/>
                <w:spacing w:val="-2"/>
                <w:sz w:val="24"/>
                <w:szCs w:val="24"/>
                <w:lang w:val="en-US" w:eastAsia="zh-CN"/>
              </w:rPr>
              <w:t>项目施工结束后，应按照“边施工、边恢复”和“谁扰动、谁恢复”的原则，及时开展生态恢复工作，具体措施如下：</w:t>
            </w:r>
            <w:r>
              <w:rPr>
                <w:rFonts w:hint="eastAsia" w:ascii="Times New Roman" w:hAnsi="Times New Roman" w:eastAsia="宋体" w:cs="Times New Roman"/>
                <w:color w:val="auto"/>
                <w:spacing w:val="-2"/>
                <w:sz w:val="24"/>
                <w:szCs w:val="24"/>
                <w:lang w:val="en-US" w:eastAsia="zh-CN"/>
              </w:rPr>
              <w:br w:type="textWrapping"/>
            </w:r>
            <w:r>
              <w:rPr>
                <w:rFonts w:hint="eastAsia" w:ascii="Times New Roman" w:hAnsi="Times New Roman" w:eastAsia="宋体" w:cs="Times New Roman"/>
                <w:color w:val="auto"/>
                <w:spacing w:val="-2"/>
                <w:sz w:val="24"/>
                <w:szCs w:val="24"/>
                <w:lang w:val="en-US" w:eastAsia="zh-CN"/>
              </w:rPr>
              <w:t>①井场恢复。钻试结束后，对井场内钻机基础、临时设施、废弃材料及各类杂物进行全面清理，拆除无需保留的设施，平整井场地面，消除局部高差和压实硬结。</w:t>
            </w:r>
            <w:r>
              <w:rPr>
                <w:rFonts w:hint="eastAsia" w:ascii="Times New Roman" w:hAnsi="Times New Roman" w:eastAsia="宋体" w:cs="Times New Roman"/>
                <w:color w:val="auto"/>
                <w:spacing w:val="-2"/>
                <w:sz w:val="24"/>
                <w:szCs w:val="24"/>
                <w:lang w:val="en-US" w:eastAsia="zh-CN"/>
              </w:rPr>
              <w:br w:type="textWrapping"/>
            </w:r>
            <w:r>
              <w:rPr>
                <w:rFonts w:hint="eastAsia" w:ascii="Times New Roman" w:hAnsi="Times New Roman" w:eastAsia="宋体" w:cs="Times New Roman"/>
                <w:color w:val="auto"/>
                <w:spacing w:val="-2"/>
                <w:sz w:val="24"/>
                <w:szCs w:val="24"/>
                <w:lang w:val="en-US" w:eastAsia="zh-CN"/>
              </w:rPr>
              <w:t>②生活营地恢复。生活营地拆除后，及时清运建筑垃圾和生活垃圾，对场地进行平整，回覆前期剥离表土，恢复原有地貌形态。</w:t>
            </w:r>
            <w:r>
              <w:rPr>
                <w:rFonts w:hint="eastAsia" w:ascii="Times New Roman" w:hAnsi="Times New Roman" w:eastAsia="宋体" w:cs="Times New Roman"/>
                <w:color w:val="auto"/>
                <w:spacing w:val="-2"/>
                <w:sz w:val="24"/>
                <w:szCs w:val="24"/>
                <w:lang w:val="en-US" w:eastAsia="zh-CN"/>
              </w:rPr>
              <w:br w:type="textWrapping"/>
            </w:r>
            <w:r>
              <w:rPr>
                <w:rFonts w:hint="eastAsia" w:ascii="Times New Roman" w:hAnsi="Times New Roman" w:eastAsia="宋体" w:cs="Times New Roman"/>
                <w:color w:val="auto"/>
                <w:spacing w:val="-2"/>
                <w:sz w:val="24"/>
                <w:szCs w:val="24"/>
                <w:lang w:val="en-US" w:eastAsia="zh-CN"/>
              </w:rPr>
              <w:t>③临时道路恢复。对确无保留必要的临时道路，应清除铺垫砂砾石和临时构筑物，结合周边地形进行整平；对需保留为后续生产道路的，应做好边坡稳定和路域整洁。</w:t>
            </w:r>
            <w:r>
              <w:rPr>
                <w:rFonts w:hint="eastAsia" w:ascii="Times New Roman" w:hAnsi="Times New Roman" w:eastAsia="宋体" w:cs="Times New Roman"/>
                <w:color w:val="auto"/>
                <w:spacing w:val="-2"/>
                <w:sz w:val="24"/>
                <w:szCs w:val="24"/>
                <w:lang w:val="en-US" w:eastAsia="zh-CN"/>
              </w:rPr>
              <w:br w:type="textWrapping"/>
            </w:r>
            <w:r>
              <w:rPr>
                <w:rFonts w:hint="eastAsia" w:ascii="Times New Roman" w:hAnsi="Times New Roman" w:eastAsia="宋体" w:cs="Times New Roman"/>
                <w:color w:val="auto"/>
                <w:spacing w:val="-2"/>
                <w:sz w:val="24"/>
                <w:szCs w:val="24"/>
                <w:lang w:val="en-US" w:eastAsia="zh-CN"/>
              </w:rPr>
              <w:t>④沟渠恢复。施工占用或穿越沟渠段在施工结束后应及时恢复原有沟道断面、坡度及过水能力，清除堵塞物，确保区域排水通畅，不影响沟渠原有功能。</w:t>
            </w:r>
            <w:r>
              <w:rPr>
                <w:rFonts w:hint="eastAsia" w:ascii="Times New Roman" w:hAnsi="Times New Roman" w:eastAsia="宋体" w:cs="Times New Roman"/>
                <w:color w:val="auto"/>
                <w:spacing w:val="-2"/>
                <w:sz w:val="24"/>
                <w:szCs w:val="24"/>
                <w:lang w:val="en-US" w:eastAsia="zh-CN"/>
              </w:rPr>
              <w:br w:type="textWrapping"/>
            </w:r>
            <w:r>
              <w:rPr>
                <w:rFonts w:hint="eastAsia" w:ascii="Times New Roman" w:hAnsi="Times New Roman" w:eastAsia="宋体" w:cs="Times New Roman"/>
                <w:color w:val="auto"/>
                <w:spacing w:val="-2"/>
                <w:sz w:val="24"/>
                <w:szCs w:val="24"/>
                <w:lang w:val="en-US" w:eastAsia="zh-CN"/>
              </w:rPr>
              <w:t>⑤表土回覆。将前期剥离并妥善堆存的表土回覆至井场、生活营地及道路等临时占地区域表层，覆土厚度结合现场条件合理确定，以利于植被自然恢复。</w:t>
            </w:r>
            <w:r>
              <w:rPr>
                <w:rFonts w:hint="eastAsia" w:ascii="Times New Roman" w:hAnsi="Times New Roman" w:eastAsia="宋体" w:cs="Times New Roman"/>
                <w:color w:val="auto"/>
                <w:spacing w:val="-2"/>
                <w:sz w:val="24"/>
                <w:szCs w:val="24"/>
                <w:lang w:val="en-US" w:eastAsia="zh-CN"/>
              </w:rPr>
              <w:br w:type="textWrapping"/>
            </w:r>
            <w:r>
              <w:rPr>
                <w:rFonts w:hint="eastAsia" w:ascii="Times New Roman" w:hAnsi="Times New Roman" w:eastAsia="宋体" w:cs="Times New Roman"/>
                <w:color w:val="auto"/>
                <w:spacing w:val="-2"/>
                <w:sz w:val="24"/>
                <w:szCs w:val="24"/>
                <w:lang w:val="en-US" w:eastAsia="zh-CN"/>
              </w:rPr>
              <w:t>⑥植被恢复。项目区属荒漠灌草植被区，施工结束后以自然恢复为主，并结合周边原生植被类型，优先恢复本地适生灌草植被，避免引入外来物种。</w:t>
            </w:r>
            <w:r>
              <w:rPr>
                <w:rFonts w:hint="eastAsia" w:ascii="Times New Roman" w:hAnsi="Times New Roman" w:eastAsia="宋体" w:cs="Times New Roman"/>
                <w:color w:val="auto"/>
                <w:spacing w:val="-2"/>
                <w:sz w:val="24"/>
                <w:szCs w:val="24"/>
                <w:lang w:val="en-US" w:eastAsia="zh-CN"/>
              </w:rPr>
              <w:br w:type="textWrapping"/>
            </w:r>
            <w:r>
              <w:rPr>
                <w:rFonts w:hint="eastAsia" w:ascii="Times New Roman" w:hAnsi="Times New Roman" w:eastAsia="宋体" w:cs="Times New Roman"/>
                <w:color w:val="auto"/>
                <w:spacing w:val="-2"/>
                <w:sz w:val="24"/>
                <w:szCs w:val="24"/>
                <w:lang w:val="en-US" w:eastAsia="zh-CN"/>
              </w:rPr>
              <w:t>⑦闭井期恢复。对无继续利用价值的井场，封井后应同步实施场地清理、土地整治和生态修复，确保无废弃物残留、无土壤和地下水污染遗留问题。</w:t>
            </w:r>
            <w:r>
              <w:rPr>
                <w:rFonts w:hint="eastAsia" w:ascii="Times New Roman" w:hAnsi="Times New Roman" w:eastAsia="宋体" w:cs="Times New Roman"/>
                <w:color w:val="auto"/>
                <w:spacing w:val="-2"/>
                <w:sz w:val="24"/>
                <w:szCs w:val="24"/>
                <w:lang w:val="en-US" w:eastAsia="zh-CN"/>
              </w:rPr>
              <w:br w:type="textWrapping"/>
            </w:r>
            <w:r>
              <w:rPr>
                <w:rFonts w:hint="eastAsia" w:ascii="Times New Roman" w:hAnsi="Times New Roman" w:eastAsia="宋体" w:cs="Times New Roman"/>
                <w:color w:val="auto"/>
                <w:spacing w:val="-2"/>
                <w:sz w:val="24"/>
                <w:szCs w:val="24"/>
                <w:lang w:val="en-US" w:eastAsia="zh-CN"/>
              </w:rPr>
              <w:t>⑧跟踪检查。生态恢复完成后，应对井场、道路、沟渠及生活营地恢复情况进行检查，重点关注地表平整度、沟渠通畅性、表土回覆效果和植被自然恢复情况，对恢复不到位区域及时补充整治。</w:t>
            </w:r>
          </w:p>
          <w:p w14:paraId="556986C5">
            <w:pPr>
              <w:pStyle w:val="23"/>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2.施工期土壤环境影响分析</w:t>
            </w:r>
          </w:p>
          <w:p w14:paraId="4C642289">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本项目属于“矿产资源地质勘查（含勘探活动和油气资源勘探）”，根据《环境影响评价技术导则 土壤环境（试行）》（HJ964-2018）附录A，本项目为Ⅳ类项目，可不开展土壤环境影响评价，本次环评仅做简单分析。</w:t>
            </w:r>
          </w:p>
          <w:p w14:paraId="388DBBFC">
            <w:pPr>
              <w:pStyle w:val="23"/>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2.1工程占地影响分析</w:t>
            </w:r>
          </w:p>
          <w:p w14:paraId="307180B3">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本项目占地主要为井场及临时道路，占地类型</w:t>
            </w:r>
            <w:r>
              <w:rPr>
                <w:rFonts w:hint="default" w:ascii="Times New Roman" w:hAnsi="Times New Roman" w:eastAsia="宋体" w:cs="Times New Roman"/>
                <w:color w:val="auto"/>
                <w:spacing w:val="-2"/>
                <w:sz w:val="24"/>
                <w:szCs w:val="24"/>
                <w:lang w:val="en-US" w:eastAsia="zh-CN"/>
              </w:rPr>
              <w:t>主要</w:t>
            </w:r>
            <w:r>
              <w:rPr>
                <w:rFonts w:hint="default" w:ascii="Times New Roman" w:hAnsi="Times New Roman" w:eastAsia="宋体" w:cs="Times New Roman"/>
                <w:color w:val="auto"/>
                <w:spacing w:val="-2"/>
                <w:sz w:val="24"/>
                <w:szCs w:val="24"/>
                <w:lang w:eastAsia="zh-CN"/>
              </w:rPr>
              <w:t>为</w:t>
            </w:r>
            <w:r>
              <w:rPr>
                <w:rFonts w:hint="eastAsia" w:ascii="Times New Roman" w:hAnsi="Times New Roman" w:cs="Times New Roman"/>
                <w:color w:val="auto"/>
                <w:spacing w:val="-2"/>
                <w:sz w:val="24"/>
                <w:szCs w:val="24"/>
                <w:lang w:val="en-US" w:eastAsia="zh-CN"/>
              </w:rPr>
              <w:t>灌木林地和沟渠</w:t>
            </w:r>
            <w:r>
              <w:rPr>
                <w:rFonts w:hint="default" w:ascii="Times New Roman" w:hAnsi="Times New Roman" w:eastAsia="宋体" w:cs="Times New Roman"/>
                <w:color w:val="auto"/>
                <w:spacing w:val="-2"/>
                <w:sz w:val="24"/>
                <w:szCs w:val="24"/>
                <w:lang w:eastAsia="zh-CN"/>
              </w:rPr>
              <w:t>（具体见表2-3），为临时占地。最主要的危害是破坏了地表结构，增加了土壤风蚀量和沙漠化的可能性。在进行井场施工时，将对作业范围内的土壤表层进行干扰和破坏，土壤表层结构（包括紧实度）、肥力将受到影响，土壤易受到侵蚀。当施工结束后，人为活动的范围缩小，将使受到破坏的地表逐渐得到恢复，风蚀和荒漠化影响将随着天然植被的恢复逐渐得到控制。</w:t>
            </w:r>
          </w:p>
          <w:p w14:paraId="0D6317D1">
            <w:pPr>
              <w:pStyle w:val="23"/>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2.2固体废物对土壤环境的影响</w:t>
            </w:r>
          </w:p>
          <w:p w14:paraId="2D9556AA">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在钻井过程中会产生钻井泥浆和岩屑，本项目采用泥浆不落地技术，可以有效减缓钻井泥浆、岩屑对土壤的影响范围和程度。</w:t>
            </w:r>
          </w:p>
          <w:p w14:paraId="552A71E7">
            <w:pPr>
              <w:pStyle w:val="23"/>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2.3事故状态下对土壤环境的影响</w:t>
            </w:r>
          </w:p>
          <w:p w14:paraId="586082F5">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14:paraId="098CDB42">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井喷持续时间越长，对土壤造成的污染越严重。但根据已有的相关资料，井喷事故主要影响事故区域内的表层土壤。</w:t>
            </w:r>
          </w:p>
          <w:p w14:paraId="7BC415D1">
            <w:pPr>
              <w:pStyle w:val="23"/>
              <w:widowControl w:val="0"/>
              <w:kinsoku/>
              <w:spacing w:line="360" w:lineRule="auto"/>
              <w:ind w:left="1"/>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2.4水土流失影响分析</w:t>
            </w:r>
          </w:p>
          <w:p w14:paraId="2C85DE86">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油田工程建设对当地水土流失影响的方式包括扰动、损坏、开挖、破坏原地貌、地表土壤结构及植被。工程施工及占地呈面状分布，施工期间，井场占地、机械作业人员活动等都会加剧水土流失。油田开发过程中加剧水土流失的不良影响主要表现在以下几个方面：</w:t>
            </w:r>
          </w:p>
          <w:p w14:paraId="26B68E3A">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（1）施工车辆对地表的大面积碾压，使所经过地段的植被和地表结构遭到不同程度的破坏，使荒漠化的过程加剧。</w:t>
            </w:r>
          </w:p>
          <w:p w14:paraId="447B0EDA">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2）在井场开钻及临时设施搭建中，最直接而且易引起水土流失的是施工过程中使影响范围内的地表保护层变得松散，增加风蚀量。对于本项目油田的开发建设来讲，地面构筑物建设的内容主要包括井场、道路的敷设及配套工程等。临时占地范围内的土壤地表表层遭到破坏，下层的粉细物质暴露在地层表面，在风力的作用下，风蚀量会明显加大，这种影响在短时间内不会完全恢复。但随着时间的推移，风蚀量会随着地表新保护层的逐渐形成而减弱。</w:t>
            </w:r>
          </w:p>
          <w:p w14:paraId="4C5AB92A">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本项目所在区域属于“天山北坡国家级水土流失重点预防区”，施工期会使施工范围内的土体结构遭到破坏、野生植被会受到严重破坏甚至被彻底清除，若遇到大风天气施工，则可能导致风蚀作用加剧；钻试结束后，由于井场、进场道路和生活营地等土壤结构、自然植被的恢复还需要一定时间，区域水土流失还将继续发生。但随着时间的延长、土壤结构的变化以及地表植被的恢复，水土流失的程度会慢慢减轻。</w:t>
            </w:r>
          </w:p>
          <w:p w14:paraId="4F7E6749">
            <w:pPr>
              <w:pStyle w:val="23"/>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2.5土地沙化影响分析</w:t>
            </w:r>
          </w:p>
          <w:p w14:paraId="3F4D2BFE">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项目区钻井工程实施中，会使施工带范围内的土体结构遭到破坏，其范围内的植被也会受到严重破坏甚至被彻底清除，导致风沙作用加剧，主要表现为：</w:t>
            </w:r>
          </w:p>
          <w:p w14:paraId="0E9D8C43">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（1）土壤粗粒化</w:t>
            </w:r>
          </w:p>
          <w:p w14:paraId="4D1AA9C6">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在土壤沙化过程中，当风力作用地表产生风蚀时，便产生风蚀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12EFFD0E">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（2）土壤贫瘠及含盐量变化</w:t>
            </w:r>
          </w:p>
          <w:p w14:paraId="1BCBB9AF">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随沙化增强，盐分含量降低。</w:t>
            </w:r>
          </w:p>
          <w:p w14:paraId="719F3FDE">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（3）对区域沙化土地的影响分析</w:t>
            </w:r>
          </w:p>
          <w:p w14:paraId="05622AED">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本项目施工期临时占地将会破坏项目占地范围内的土壤表层稳定砾幕和地表荒漠植被，项目所在区域具有多风、降水量偏低等气候特征，地表稳定结皮被破坏后，在大风天气条件下，项目施工会使占地范围内的土地就地起沙，局部形成沙化土地。</w:t>
            </w:r>
          </w:p>
          <w:p w14:paraId="22158291">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但是由于项目占地范围较小，施工结束后对临时占地范围内场地进行平整和清理，尽量利用井场施工时产生的表层弃土对临时占地进行覆盖，采用自然恢复的方式对区域植被进行恢复。</w:t>
            </w:r>
          </w:p>
          <w:p w14:paraId="2E3EBE8E">
            <w:pPr>
              <w:pStyle w:val="23"/>
              <w:widowControl w:val="0"/>
              <w:kinsoku/>
              <w:spacing w:line="360" w:lineRule="auto"/>
              <w:ind w:firstLine="472" w:firstLineChars="20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综上所述，本项目对项目所在区域土地沙化影响不大。</w:t>
            </w:r>
          </w:p>
          <w:p w14:paraId="38212B2C">
            <w:pPr>
              <w:pStyle w:val="27"/>
              <w:widowControl w:val="0"/>
              <w:kinsoku/>
              <w:spacing w:line="360" w:lineRule="auto"/>
              <w:ind w:firstLine="0" w:firstLineChars="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3.大气环境影响分析</w:t>
            </w:r>
          </w:p>
          <w:p w14:paraId="6B820BCD">
            <w:pPr>
              <w:widowControl w:val="0"/>
              <w:kinsoku/>
              <w:spacing w:line="360" w:lineRule="auto"/>
              <w:ind w:firstLine="480"/>
              <w:jc w:val="both"/>
              <w:rPr>
                <w:rFonts w:hint="default" w:ascii="Times New Roman" w:hAnsi="Times New Roman" w:eastAsia="宋体" w:cs="Times New Roman"/>
                <w:color w:val="auto"/>
                <w:sz w:val="24"/>
                <w:szCs w:val="24"/>
                <w:lang w:eastAsia="zh-CN"/>
              </w:rPr>
            </w:pPr>
            <w:bookmarkStart w:id="19" w:name="_Hlk136794460"/>
            <w:r>
              <w:rPr>
                <w:rFonts w:hint="default" w:ascii="Times New Roman" w:hAnsi="Times New Roman" w:eastAsia="宋体" w:cs="Times New Roman"/>
                <w:color w:val="auto"/>
                <w:sz w:val="24"/>
                <w:szCs w:val="24"/>
                <w:lang w:eastAsia="zh-CN"/>
              </w:rPr>
              <w:t>废气主要为</w:t>
            </w:r>
            <w:r>
              <w:rPr>
                <w:rFonts w:hint="default" w:ascii="Times New Roman" w:hAnsi="Times New Roman" w:eastAsia="宋体" w:cs="Times New Roman"/>
                <w:color w:val="auto"/>
                <w:sz w:val="24"/>
                <w:szCs w:val="24"/>
                <w:lang w:val="en-US" w:eastAsia="zh-CN"/>
              </w:rPr>
              <w:t>备用</w:t>
            </w:r>
            <w:r>
              <w:rPr>
                <w:rFonts w:hint="default" w:ascii="Times New Roman" w:hAnsi="Times New Roman" w:eastAsia="宋体" w:cs="Times New Roman"/>
                <w:color w:val="auto"/>
                <w:sz w:val="24"/>
                <w:szCs w:val="24"/>
                <w:lang w:eastAsia="zh-CN"/>
              </w:rPr>
              <w:t>柴油机、发电机燃料燃烧烟气、施工机械及施工车辆尾气、施工扬尘、伴生气放空产生的燃烧烟气、试油期间采出液储存及装车过程中无组织逸散的废气、柴油储存卸车无组织废气和钻井岩屑暂存和</w:t>
            </w:r>
            <w:r>
              <w:rPr>
                <w:rFonts w:hint="default" w:ascii="Times New Roman" w:hAnsi="Times New Roman" w:eastAsia="宋体" w:cs="Times New Roman"/>
                <w:color w:val="auto"/>
                <w:spacing w:val="1"/>
                <w:sz w:val="24"/>
                <w:szCs w:val="24"/>
                <w:lang w:eastAsia="zh-CN"/>
              </w:rPr>
              <w:t>道路工程等</w:t>
            </w:r>
            <w:r>
              <w:rPr>
                <w:rFonts w:hint="default" w:ascii="Times New Roman" w:hAnsi="Times New Roman" w:eastAsia="宋体" w:cs="Times New Roman"/>
                <w:color w:val="auto"/>
                <w:spacing w:val="-3"/>
                <w:sz w:val="24"/>
                <w:szCs w:val="24"/>
                <w:lang w:eastAsia="zh-CN"/>
              </w:rPr>
              <w:t>在施工作业过程中产生的扬尘等</w:t>
            </w:r>
            <w:r>
              <w:rPr>
                <w:rFonts w:hint="default" w:ascii="Times New Roman" w:hAnsi="Times New Roman" w:eastAsia="宋体" w:cs="Times New Roman"/>
                <w:color w:val="auto"/>
                <w:sz w:val="24"/>
                <w:szCs w:val="24"/>
                <w:lang w:eastAsia="zh-CN"/>
              </w:rPr>
              <w:t>。</w:t>
            </w:r>
          </w:p>
          <w:p w14:paraId="41AB648B">
            <w:pPr>
              <w:widowControl w:val="0"/>
              <w:numPr>
                <w:ilvl w:val="0"/>
                <w:numId w:val="6"/>
              </w:numPr>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 xml:space="preserve">备用柴油发电机燃料燃烧烟气 </w:t>
            </w:r>
          </w:p>
          <w:p w14:paraId="52738603">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本项目钻井及试油作业动力主要依靠</w:t>
            </w:r>
            <w:r>
              <w:rPr>
                <w:rFonts w:hint="default" w:ascii="Times New Roman" w:hAnsi="Times New Roman" w:eastAsia="宋体" w:cs="Times New Roman"/>
                <w:color w:val="auto"/>
                <w:sz w:val="24"/>
                <w:szCs w:val="24"/>
                <w:lang w:val="en-US" w:eastAsia="zh-CN"/>
              </w:rPr>
              <w:t>工业用电</w:t>
            </w:r>
            <w:r>
              <w:rPr>
                <w:rFonts w:hint="default" w:ascii="Times New Roman" w:hAnsi="Times New Roman" w:eastAsia="宋体" w:cs="Times New Roman"/>
                <w:color w:val="auto"/>
                <w:sz w:val="24"/>
                <w:szCs w:val="24"/>
                <w:lang w:eastAsia="zh-CN"/>
              </w:rPr>
              <w:t>，配备的柴油发电机组仅作为应急备用电源（仅在电网检修、故障断电或设备调试等特殊情况下启动），不进行连续生产作业。因此，柴油发电机运行具有间歇性和偶发性特点。与传统柴油动力钻井相比，本项目实际柴油消耗量及污染物产生量显著减少。</w:t>
            </w:r>
          </w:p>
          <w:p w14:paraId="43DB635B">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本环评要求钻井期间定期对备用柴油发电机等设备进行维护，并且采用符合国家标准的柴油，确保在应急启动时达标排放。</w:t>
            </w:r>
          </w:p>
          <w:p w14:paraId="61ACE769">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鉴于备用发电机使用频率极低、排放量小，且项目区地域空旷，周围扩散条件良好，废气随应急作业的结束而消失。因此，对区域大气环境影响不大。</w:t>
            </w:r>
          </w:p>
          <w:p w14:paraId="08E2AE83">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（2）施工机械及施工车辆尾气</w:t>
            </w:r>
          </w:p>
          <w:p w14:paraId="7B4D9D6B">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机械及施工车辆运行过程中会产生一定的尾气，对周围大气环境产生一定的影响；各类施工机械及施工车辆均采用符合国家标准的油品，定期对施工机械及车辆检维修并加强保养，保证施工机械及车辆正常运行，且废气随着施工期的结束而消失，不会对周围大气环境产生不利影响。</w:t>
            </w:r>
          </w:p>
          <w:p w14:paraId="6B9D1D29">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（3）施工扬尘</w:t>
            </w:r>
          </w:p>
          <w:p w14:paraId="0574A183">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井场平整、探临道路、生活营地等建设及施工运输车辆会产生扬尘，对周围大气环境产生一定的影响；施工期加强管理、对易起尘物料进行遮盖、车辆低速慢行等措施，且扬尘随着施工期的结束而消失，不会对周围大气环境产生不利影响。</w:t>
            </w:r>
          </w:p>
          <w:p w14:paraId="6664DC8E">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（4）伴生气燃烧烟气</w:t>
            </w:r>
          </w:p>
          <w:p w14:paraId="466E15BE">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w:t>
            </w:r>
            <w:r>
              <w:rPr>
                <w:rFonts w:hint="default" w:ascii="Times New Roman" w:hAnsi="Times New Roman" w:eastAsia="宋体" w:cs="Times New Roman"/>
                <w:color w:val="auto"/>
                <w:sz w:val="24"/>
                <w:szCs w:val="24"/>
                <w:highlight w:val="none"/>
                <w:lang w:eastAsia="zh-CN"/>
              </w:rPr>
              <w:t>和试油过程中可能会出现油层伴生气排出地面的情况，伴生气经过液气分离后通过点火排放。由于勘探前油藏情况未明，伴生气产生量无法确定，根据准东采油管理区区域已经完钻的探</w:t>
            </w:r>
            <w:r>
              <w:rPr>
                <w:rFonts w:hint="eastAsia" w:ascii="Times New Roman" w:hAnsi="Times New Roman" w:eastAsia="宋体" w:cs="Times New Roman"/>
                <w:color w:val="auto"/>
                <w:sz w:val="24"/>
                <w:szCs w:val="24"/>
                <w:highlight w:val="none"/>
                <w:lang w:val="en-US" w:eastAsia="zh-CN"/>
              </w:rPr>
              <w:t>评</w:t>
            </w:r>
            <w:r>
              <w:rPr>
                <w:rFonts w:hint="default" w:ascii="Times New Roman" w:hAnsi="Times New Roman" w:eastAsia="宋体" w:cs="Times New Roman"/>
                <w:color w:val="auto"/>
                <w:sz w:val="24"/>
                <w:szCs w:val="24"/>
                <w:highlight w:val="none"/>
                <w:lang w:eastAsia="zh-CN"/>
              </w:rPr>
              <w:t>井可知，试油期产生的伴生气气量不稳定，不具备回收利用条件，但具备燃烧条件的，经排气管线充分燃烧后排放，因此，本工程伴生气通过排气管线充分燃烧后放空，属于阶段性排放，且随着钻试结束而停止产生，只</w:t>
            </w:r>
            <w:r>
              <w:rPr>
                <w:rFonts w:hint="default" w:ascii="Times New Roman" w:hAnsi="Times New Roman" w:eastAsia="宋体" w:cs="Times New Roman"/>
                <w:color w:val="auto"/>
                <w:sz w:val="24"/>
                <w:szCs w:val="24"/>
                <w:lang w:eastAsia="zh-CN"/>
              </w:rPr>
              <w:t>在打开目的层且井筒压力过大时才会进行放喷。</w:t>
            </w:r>
          </w:p>
          <w:p w14:paraId="0844F1EB">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本次评价按照钻井经验中对环境最不利情况进行分析，按照伴生气产生最大量进行估算，整个试油期放喷1次，放喷时间15min，放喷气量30m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/h进行核算，伴生气产生量7.5m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伴生气主要成分为甲烷，基本不含硫，燃烧后排放污染物主要为NOx和颗粒物。根据《第一次全国污染源普查工业污染源产排污系数手册》以及《实用环境保护数据大全》，核算本项目伴生气燃烧废气污染物的产排情况见表4-</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p>
          <w:p w14:paraId="58017A51">
            <w:pPr>
              <w:widowControl w:val="0"/>
              <w:kinsoku/>
              <w:spacing w:before="120" w:beforeLines="50" w:line="360" w:lineRule="auto"/>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表4-</w:t>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lang w:eastAsia="zh-CN"/>
              </w:rPr>
              <w:t xml:space="preserve"> 放喷废气污染物排放量表</w:t>
            </w:r>
          </w:p>
          <w:tbl>
            <w:tblPr>
              <w:tblStyle w:val="2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92"/>
              <w:gridCol w:w="1635"/>
              <w:gridCol w:w="1954"/>
              <w:gridCol w:w="2011"/>
            </w:tblGrid>
            <w:tr w14:paraId="4E67E4D0">
              <w:trPr>
                <w:trHeight w:val="369" w:hRule="atLeast"/>
              </w:trPr>
              <w:tc>
                <w:tcPr>
                  <w:tcW w:w="1539" w:type="pct"/>
                  <w:tcBorders>
                    <w:top w:val="single" w:color="000000" w:sz="10" w:space="0"/>
                  </w:tcBorders>
                  <w:vAlign w:val="center"/>
                </w:tcPr>
                <w:p w14:paraId="4BBE6D3C">
                  <w:pPr>
                    <w:pStyle w:val="23"/>
                    <w:kinsoku/>
                    <w:spacing w:before="73" w:line="228"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pacing w:val="7"/>
                      <w:sz w:val="21"/>
                      <w:szCs w:val="21"/>
                      <w:lang w:eastAsia="zh-CN"/>
                    </w:rPr>
                    <w:t>污染物名称</w:t>
                  </w:r>
                </w:p>
              </w:tc>
              <w:tc>
                <w:tcPr>
                  <w:tcW w:w="1010" w:type="pct"/>
                  <w:tcBorders>
                    <w:top w:val="single" w:color="000000" w:sz="10" w:space="0"/>
                  </w:tcBorders>
                  <w:vAlign w:val="center"/>
                </w:tcPr>
                <w:p w14:paraId="637181A5">
                  <w:pPr>
                    <w:pStyle w:val="23"/>
                    <w:kinsoku/>
                    <w:spacing w:before="73" w:line="228"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pacing w:val="7"/>
                      <w:sz w:val="21"/>
                      <w:szCs w:val="21"/>
                      <w:lang w:eastAsia="zh-CN"/>
                    </w:rPr>
                    <w:t>废气量</w:t>
                  </w:r>
                </w:p>
              </w:tc>
              <w:tc>
                <w:tcPr>
                  <w:tcW w:w="1207" w:type="pct"/>
                  <w:tcBorders>
                    <w:top w:val="single" w:color="000000" w:sz="10" w:space="0"/>
                  </w:tcBorders>
                  <w:vAlign w:val="center"/>
                </w:tcPr>
                <w:p w14:paraId="14877188">
                  <w:pPr>
                    <w:kinsoku/>
                    <w:spacing w:before="111" w:line="195" w:lineRule="auto"/>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spacing w:val="7"/>
                      <w:lang w:eastAsia="zh-CN"/>
                    </w:rPr>
                    <w:t>NO</w:t>
                  </w:r>
                  <w:r>
                    <w:rPr>
                      <w:rFonts w:hint="default" w:ascii="Times New Roman" w:hAnsi="Times New Roman" w:eastAsia="宋体" w:cs="Times New Roman"/>
                      <w:b/>
                      <w:bCs/>
                      <w:color w:val="auto"/>
                      <w:spacing w:val="7"/>
                      <w:vertAlign w:val="subscript"/>
                      <w:lang w:eastAsia="zh-CN"/>
                    </w:rPr>
                    <w:t>X</w:t>
                  </w:r>
                </w:p>
              </w:tc>
              <w:tc>
                <w:tcPr>
                  <w:tcW w:w="1242" w:type="pct"/>
                  <w:tcBorders>
                    <w:top w:val="single" w:color="000000" w:sz="10" w:space="0"/>
                    <w:right w:val="single" w:color="000000" w:sz="4" w:space="0"/>
                  </w:tcBorders>
                  <w:vAlign w:val="center"/>
                </w:tcPr>
                <w:p w14:paraId="2B1B3909">
                  <w:pPr>
                    <w:pStyle w:val="23"/>
                    <w:kinsoku/>
                    <w:spacing w:before="73" w:line="228"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pacing w:val="7"/>
                      <w:sz w:val="21"/>
                      <w:szCs w:val="21"/>
                      <w:lang w:eastAsia="zh-CN"/>
                    </w:rPr>
                    <w:t>颗粒物</w:t>
                  </w:r>
                </w:p>
              </w:tc>
            </w:tr>
            <w:tr w14:paraId="32E95F57">
              <w:trPr>
                <w:trHeight w:val="549" w:hRule="atLeast"/>
              </w:trPr>
              <w:tc>
                <w:tcPr>
                  <w:tcW w:w="1539" w:type="pct"/>
                  <w:vAlign w:val="center"/>
                </w:tcPr>
                <w:p w14:paraId="02C1D18A">
                  <w:pPr>
                    <w:pStyle w:val="23"/>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7"/>
                      <w:sz w:val="21"/>
                      <w:szCs w:val="21"/>
                      <w:lang w:eastAsia="zh-CN"/>
                    </w:rPr>
                    <w:t>产污系数</w:t>
                  </w:r>
                </w:p>
              </w:tc>
              <w:tc>
                <w:tcPr>
                  <w:tcW w:w="1010" w:type="pct"/>
                  <w:vAlign w:val="center"/>
                </w:tcPr>
                <w:p w14:paraId="609043AB">
                  <w:pPr>
                    <w:pStyle w:val="23"/>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207" w:type="pct"/>
                  <w:vAlign w:val="center"/>
                </w:tcPr>
                <w:p w14:paraId="1980DB3B">
                  <w:pPr>
                    <w:pStyle w:val="23"/>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lang w:eastAsia="zh-CN"/>
                    </w:rPr>
                    <w:t>9.36</w:t>
                  </w:r>
                  <w:r>
                    <w:rPr>
                      <w:rFonts w:hint="default" w:ascii="Times New Roman" w:hAnsi="Times New Roman" w:eastAsia="宋体" w:cs="Times New Roman"/>
                      <w:color w:val="auto"/>
                      <w:sz w:val="21"/>
                      <w:szCs w:val="21"/>
                      <w:lang w:eastAsia="zh-CN"/>
                    </w:rPr>
                    <w:t>kg</w:t>
                  </w:r>
                  <w:r>
                    <w:rPr>
                      <w:rFonts w:hint="default" w:ascii="Times New Roman" w:hAnsi="Times New Roman" w:eastAsia="宋体" w:cs="Times New Roman"/>
                      <w:color w:val="auto"/>
                      <w:spacing w:val="6"/>
                      <w:sz w:val="21"/>
                      <w:szCs w:val="21"/>
                      <w:lang w:eastAsia="zh-CN"/>
                    </w:rPr>
                    <w:t>/万</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pacing w:val="6"/>
                      <w:sz w:val="21"/>
                      <w:szCs w:val="21"/>
                      <w:lang w:eastAsia="zh-CN"/>
                    </w:rPr>
                    <w:t>伴生气</w:t>
                  </w:r>
                </w:p>
              </w:tc>
              <w:tc>
                <w:tcPr>
                  <w:tcW w:w="1242" w:type="pct"/>
                  <w:tcBorders>
                    <w:right w:val="single" w:color="000000" w:sz="4" w:space="0"/>
                  </w:tcBorders>
                  <w:vAlign w:val="center"/>
                </w:tcPr>
                <w:p w14:paraId="7F672452">
                  <w:pPr>
                    <w:pStyle w:val="23"/>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5"/>
                      <w:sz w:val="21"/>
                      <w:szCs w:val="21"/>
                      <w:lang w:eastAsia="zh-CN"/>
                    </w:rPr>
                    <w:t>1.2</w:t>
                  </w:r>
                  <w:r>
                    <w:rPr>
                      <w:rFonts w:hint="default" w:ascii="Times New Roman" w:hAnsi="Times New Roman" w:eastAsia="宋体" w:cs="Times New Roman"/>
                      <w:color w:val="auto"/>
                      <w:sz w:val="21"/>
                      <w:szCs w:val="21"/>
                      <w:lang w:eastAsia="zh-CN"/>
                    </w:rPr>
                    <w:t>kg</w:t>
                  </w:r>
                  <w:r>
                    <w:rPr>
                      <w:rFonts w:hint="default" w:ascii="Times New Roman" w:hAnsi="Times New Roman" w:eastAsia="宋体" w:cs="Times New Roman"/>
                      <w:color w:val="auto"/>
                      <w:spacing w:val="5"/>
                      <w:sz w:val="21"/>
                      <w:szCs w:val="21"/>
                      <w:lang w:eastAsia="zh-CN"/>
                    </w:rPr>
                    <w:t>/万</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pacing w:val="5"/>
                      <w:sz w:val="21"/>
                      <w:szCs w:val="21"/>
                      <w:lang w:eastAsia="zh-CN"/>
                    </w:rPr>
                    <w:t>伴生气</w:t>
                  </w:r>
                </w:p>
              </w:tc>
            </w:tr>
            <w:tr w14:paraId="5EE6ECB5">
              <w:trPr>
                <w:trHeight w:val="359" w:hRule="atLeast"/>
              </w:trPr>
              <w:tc>
                <w:tcPr>
                  <w:tcW w:w="1539" w:type="pct"/>
                  <w:vAlign w:val="center"/>
                </w:tcPr>
                <w:p w14:paraId="3DFB68B1">
                  <w:pPr>
                    <w:pStyle w:val="23"/>
                    <w:kinsoku/>
                    <w:spacing w:before="74" w:line="221"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7"/>
                      <w:sz w:val="21"/>
                      <w:szCs w:val="21"/>
                      <w:lang w:eastAsia="zh-CN"/>
                    </w:rPr>
                    <w:t>大气污染物排放量</w:t>
                  </w:r>
                </w:p>
              </w:tc>
              <w:tc>
                <w:tcPr>
                  <w:tcW w:w="1010" w:type="pct"/>
                  <w:vAlign w:val="center"/>
                </w:tcPr>
                <w:p w14:paraId="70EC3134">
                  <w:pPr>
                    <w:kinsoku/>
                    <w:spacing w:before="108" w:line="199"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2"/>
                      <w:lang w:eastAsia="zh-CN"/>
                    </w:rPr>
                    <w:t>7.5×2（</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spacing w:val="2"/>
                      <w:lang w:eastAsia="zh-CN"/>
                    </w:rPr>
                    <w:t>）</w:t>
                  </w:r>
                </w:p>
              </w:tc>
              <w:tc>
                <w:tcPr>
                  <w:tcW w:w="1207" w:type="pct"/>
                  <w:vAlign w:val="center"/>
                </w:tcPr>
                <w:p w14:paraId="30288F1A">
                  <w:pPr>
                    <w:kinsoku/>
                    <w:spacing w:before="112"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3"/>
                      <w:lang w:eastAsia="zh-CN"/>
                    </w:rPr>
                    <w:t>0.014</w:t>
                  </w:r>
                  <w:r>
                    <w:rPr>
                      <w:rFonts w:hint="default" w:ascii="Times New Roman" w:hAnsi="Times New Roman" w:eastAsia="宋体" w:cs="Times New Roman"/>
                      <w:color w:val="auto"/>
                      <w:spacing w:val="7"/>
                      <w:lang w:eastAsia="zh-CN"/>
                    </w:rPr>
                    <w:t>（</w:t>
                  </w:r>
                  <w:r>
                    <w:rPr>
                      <w:rFonts w:hint="default" w:ascii="Times New Roman" w:hAnsi="Times New Roman" w:eastAsia="宋体" w:cs="Times New Roman"/>
                      <w:color w:val="auto"/>
                      <w:lang w:eastAsia="zh-CN"/>
                    </w:rPr>
                    <w:t>kg</w:t>
                  </w:r>
                  <w:r>
                    <w:rPr>
                      <w:rFonts w:hint="default" w:ascii="Times New Roman" w:hAnsi="Times New Roman" w:eastAsia="宋体" w:cs="Times New Roman"/>
                      <w:color w:val="auto"/>
                      <w:spacing w:val="7"/>
                      <w:lang w:eastAsia="zh-CN"/>
                    </w:rPr>
                    <w:t>）</w:t>
                  </w:r>
                </w:p>
              </w:tc>
              <w:tc>
                <w:tcPr>
                  <w:tcW w:w="1242" w:type="pct"/>
                  <w:tcBorders>
                    <w:right w:val="single" w:color="000000" w:sz="4" w:space="0"/>
                  </w:tcBorders>
                  <w:vAlign w:val="center"/>
                </w:tcPr>
                <w:p w14:paraId="1F06B1FD">
                  <w:pPr>
                    <w:kinsoku/>
                    <w:spacing w:before="112"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2"/>
                      <w:lang w:eastAsia="zh-CN"/>
                    </w:rPr>
                    <w:t>0.0018</w:t>
                  </w:r>
                  <w:r>
                    <w:rPr>
                      <w:rFonts w:hint="default" w:ascii="Times New Roman" w:hAnsi="Times New Roman" w:eastAsia="宋体" w:cs="Times New Roman"/>
                      <w:color w:val="auto"/>
                      <w:spacing w:val="7"/>
                      <w:lang w:eastAsia="zh-CN"/>
                    </w:rPr>
                    <w:t>（</w:t>
                  </w:r>
                  <w:r>
                    <w:rPr>
                      <w:rFonts w:hint="default" w:ascii="Times New Roman" w:hAnsi="Times New Roman" w:eastAsia="宋体" w:cs="Times New Roman"/>
                      <w:color w:val="auto"/>
                      <w:lang w:eastAsia="zh-CN"/>
                    </w:rPr>
                    <w:t>kg</w:t>
                  </w:r>
                  <w:r>
                    <w:rPr>
                      <w:rFonts w:hint="default" w:ascii="Times New Roman" w:hAnsi="Times New Roman" w:eastAsia="宋体" w:cs="Times New Roman"/>
                      <w:color w:val="auto"/>
                      <w:spacing w:val="7"/>
                      <w:lang w:eastAsia="zh-CN"/>
                    </w:rPr>
                    <w:t>）</w:t>
                  </w:r>
                </w:p>
              </w:tc>
            </w:tr>
          </w:tbl>
          <w:p w14:paraId="5C13C5A0">
            <w:pPr>
              <w:widowControl w:val="0"/>
              <w:kinsoku/>
              <w:spacing w:line="360" w:lineRule="auto"/>
              <w:ind w:firstLine="480"/>
              <w:jc w:val="both"/>
              <w:rPr>
                <w:rFonts w:hint="default" w:ascii="Times New Roman" w:hAnsi="Times New Roman" w:eastAsia="宋体" w:cs="Times New Roman"/>
                <w:color w:val="auto"/>
                <w:sz w:val="24"/>
                <w:szCs w:val="24"/>
                <w:lang w:eastAsia="zh-CN"/>
              </w:rPr>
            </w:pPr>
          </w:p>
          <w:p w14:paraId="7D917E36">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根据表4-</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，整个试油周期燃放产生氮氧化物0.014kg，产生颗粒物0.0018kg；根据周边探</w:t>
            </w:r>
            <w:r>
              <w:rPr>
                <w:rFonts w:hint="eastAsia" w:ascii="Times New Roman" w:hAnsi="Times New Roman" w:eastAsia="宋体" w:cs="Times New Roman"/>
                <w:color w:val="auto"/>
                <w:sz w:val="24"/>
                <w:szCs w:val="24"/>
                <w:lang w:val="en-US" w:eastAsia="zh-CN"/>
              </w:rPr>
              <w:t>评</w:t>
            </w:r>
            <w:r>
              <w:rPr>
                <w:rFonts w:hint="default" w:ascii="Times New Roman" w:hAnsi="Times New Roman" w:eastAsia="宋体" w:cs="Times New Roman"/>
                <w:color w:val="auto"/>
                <w:sz w:val="24"/>
                <w:szCs w:val="24"/>
                <w:lang w:eastAsia="zh-CN"/>
              </w:rPr>
              <w:t>井试油情况推断，本项目伴生气产生量较少，符合《陆上石油天然气开采工业大气污染物排放标准》（GB 39728—2020）中规定的其他排放控制要求。由于伴生气放空燃烧属短期排放且产生量较少，因此伴生气燃烧废气对环境的影响可以接受。</w:t>
            </w:r>
          </w:p>
          <w:p w14:paraId="51A3DDD2">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（5）采出液储存及装车过程的无组织废气</w:t>
            </w:r>
          </w:p>
          <w:p w14:paraId="78E7E5BF">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试油期产生的采出液暂存于地面储罐，由罐车定期拉运至吉28脱水站处理。采出液在储存及装车过程中会产生无组织挥发烃类（以非甲烷总烃计）和少量硫化氢，其中原油储罐在储液静置、昼夜温差变化及装卸作业过程中会产生呼吸气。</w:t>
            </w:r>
          </w:p>
          <w:p w14:paraId="21898415">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为评价井钻试工程，试油阶段采出液产量具有不确定性，试油期持续时间有限，原油储罐为临时周转储罐，储存时间较短，呼吸气和装车废气排放总体呈间歇性、阶段性特征。项目区周边地域空旷，扩散条件较好，且周边无集中居民区等大气环境保护目标，因此原油储罐呼吸气及装车过程无组织废气对区域环境空气影响总体较小。</w:t>
            </w:r>
          </w:p>
          <w:p w14:paraId="5B3094DF">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根据《陆上石油天然气开采工业大气污染物排放标准》（GB 39728—2020）有关要求，原油和2号稳定轻烃储存应满足相应储存控制要求；固定顶罐罐体应保持完好，不应有孔洞和裂隙，储罐附件开口（孔）除采样、计量、例行检查、维护和其他正常活动外应密闭；挥发性有机液体装载应采用底部装载或顶部浸没式装载方式；原油储罐排水应采用密闭管道集输，并采取与环境空气隔离的措施。</w:t>
            </w:r>
          </w:p>
          <w:p w14:paraId="72B3D32A">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为减轻原油储罐呼吸气及装车废气影响，本项目评价要求：采出液临时储罐优先采用密闭储罐，罐体保持完好，呼吸阀、安全阀等附件定期检查，确保密闭性良好；储罐附件开口（孔）除正常作业外保持密闭；原油装车采用底部装载或顶部浸没式装载方式，减少装车扰动挥发；采出液做到及时拉运，缩短储存时间，减少罐内原油周转停留时间；储罐排污、排水及放空操作应采用密闭方式，避免敞开排放。采取上述措施后，井场周界外非甲烷总烃浓度可控制在《陆上石油天然气开采工业大气污染物排放标准》（GB39728-2020）要求范围内。</w:t>
            </w:r>
          </w:p>
          <w:p w14:paraId="03F2A0A2">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（6）柴油卸车及储存无组织废气</w:t>
            </w:r>
          </w:p>
          <w:p w14:paraId="0E090A99">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钻井</w:t>
            </w:r>
            <w:r>
              <w:rPr>
                <w:rFonts w:hint="default" w:ascii="Times New Roman" w:hAnsi="Times New Roman" w:eastAsia="宋体" w:cs="Times New Roman"/>
                <w:color w:val="auto"/>
                <w:spacing w:val="4"/>
                <w:sz w:val="24"/>
                <w:szCs w:val="24"/>
                <w:lang w:val="en-US" w:eastAsia="zh-CN"/>
              </w:rPr>
              <w:t>井场</w:t>
            </w:r>
            <w:r>
              <w:rPr>
                <w:rFonts w:hint="default" w:ascii="Times New Roman" w:hAnsi="Times New Roman" w:eastAsia="宋体" w:cs="Times New Roman"/>
                <w:color w:val="auto"/>
                <w:sz w:val="24"/>
                <w:szCs w:val="24"/>
                <w:lang w:eastAsia="zh-CN"/>
              </w:rPr>
              <w:t>设1座柴油罐，为</w:t>
            </w:r>
            <w:r>
              <w:rPr>
                <w:rFonts w:hint="default" w:ascii="Times New Roman" w:hAnsi="Times New Roman" w:eastAsia="宋体" w:cs="Times New Roman"/>
                <w:color w:val="auto"/>
                <w:sz w:val="24"/>
                <w:szCs w:val="24"/>
                <w:lang w:val="en-US" w:eastAsia="zh-CN"/>
              </w:rPr>
              <w:t>卧式罐</w:t>
            </w:r>
            <w:r>
              <w:rPr>
                <w:rFonts w:hint="default" w:ascii="Times New Roman" w:hAnsi="Times New Roman" w:eastAsia="宋体" w:cs="Times New Roman"/>
                <w:color w:val="auto"/>
                <w:sz w:val="24"/>
                <w:szCs w:val="24"/>
                <w:lang w:eastAsia="zh-CN"/>
              </w:rPr>
              <w:t>，外购柴油由罐车拉运至井场后暂存于储罐内，最大贮存量约20t。柴油卸车及临时贮存时会产生一定的无组织挥发性废气，由于柴油周转量较小，真实蒸气压较低，挥发性低，由柴油卸车及储罐临时储存产生的挥发性废气量较小，不会对周围大气环境产生明显不利影响。对比</w:t>
            </w:r>
            <w:r>
              <w:rPr>
                <w:rFonts w:hint="default" w:ascii="Times New Roman" w:hAnsi="Times New Roman" w:eastAsia="宋体" w:cs="Times New Roman"/>
                <w:color w:val="auto"/>
                <w:sz w:val="24"/>
                <w:szCs w:val="24"/>
                <w:lang w:val="en-US" w:eastAsia="zh-CN"/>
              </w:rPr>
              <w:t>吐哈油田</w:t>
            </w:r>
            <w:r>
              <w:rPr>
                <w:rFonts w:hint="default" w:ascii="Times New Roman" w:hAnsi="Times New Roman" w:eastAsia="宋体" w:cs="Times New Roman"/>
                <w:color w:val="auto"/>
                <w:sz w:val="24"/>
                <w:szCs w:val="24"/>
                <w:lang w:eastAsia="zh-CN"/>
              </w:rPr>
              <w:t>其他类似钻井井场，井场场界外非甲烷总烃的浓度应低于《陆上石油天然气开采工业大气污染物排放标准》（GB39728-2020）周界外无组织排放浓度限值4.0mg/m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的要求。</w:t>
            </w:r>
          </w:p>
          <w:p w14:paraId="0BE83559">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（7）钻井岩屑暂存扬尘</w:t>
            </w:r>
          </w:p>
          <w:p w14:paraId="66535FC9">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本项目钻井过程中产生的钻井岩屑在井场设置的岩屑罐中暂存，采取防渗、防雨及封闭措施。根据设计资料，岩屑含水率较高，整体产量有限，岩屑粒径细、湿度大，自然扬尘能力弱。</w:t>
            </w:r>
          </w:p>
          <w:p w14:paraId="278E94A9">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井场在岩屑暂存过程中配套实施加盖、密闭转运等抑尘措施，并确保及时清运至指定处置单位处理。钻井岩屑暂存期间的扬尘产生量较小，作用时间短、空间影响范围有限。整体来看，钻井岩屑暂存对项目周边大气环境的影响较轻微，不会造成明显不利影响。</w:t>
            </w:r>
          </w:p>
          <w:p w14:paraId="5035E089">
            <w:pPr>
              <w:widowControl w:val="0"/>
              <w:numPr>
                <w:ilvl w:val="0"/>
                <w:numId w:val="7"/>
              </w:numPr>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油基岩屑暂存过程非甲烷总烃影响分析</w:t>
            </w:r>
          </w:p>
          <w:p w14:paraId="37AE8D4E">
            <w:pPr>
              <w:widowControl w:val="0"/>
              <w:kinsoku/>
              <w:spacing w:line="360" w:lineRule="auto"/>
              <w:ind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二开阶段使用油基钻井液，产生的油基岩屑在井场采用专用收集装置分类收集，并暂存于密闭岩屑罐，采取防渗、防雨、防晒和加盖措施，避免长时间敞开堆存。油基岩屑中含有一定油分，暂存过程中可能挥发少量烃类气体，以非甲烷总烃计。由于项目油基岩屑产生量有限，暂存时间较短，且采取密闭收集、及时转运和规范暂存措施，非甲烷总烃逸散量总体较小，影响范围主要局限于井场内及井场周边短距离范围。项目区周边地域空旷，扩散条件较好，且井场周边无集中居民区等大气环境保护目标，因此油基岩屑暂存过程产生的非甲烷总烃对区域大气环境影响较小。为进一步减轻影响，环评要求油基岩屑做到及时清运，原则上不长期暂存，并加强暂存容器密闭管理和运输衔接。</w:t>
            </w:r>
          </w:p>
          <w:p w14:paraId="23E9EDCA">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）试油过程中伴生气中可能含有少量的硫化氢</w:t>
            </w:r>
          </w:p>
          <w:p w14:paraId="6054226B">
            <w:pPr>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为油气矿产资源勘查，不确定油气藏中是否含硫化氢，按不利因素考虑，在试油过程中伴生气中可能含有少量的硫化氢，试油过程中可能通过阀门、法兰等连接件有少量的硫化氢逸散，井场配备有硫化氢监测仪，试油过程中伴生气主要通过排气管线燃烧放空，项目周围无大气环境保护目标，且地域空旷、扩散条件较好，不会对周围环境产生不利影响。</w:t>
            </w:r>
          </w:p>
          <w:bookmarkEnd w:id="19"/>
          <w:p w14:paraId="0C9211F3">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综上所述，施工期间产生的废气对大气环境影响不大。</w:t>
            </w:r>
          </w:p>
          <w:p w14:paraId="5BB63EDF">
            <w:pPr>
              <w:widowControl w:val="0"/>
              <w:kinsoku/>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lang w:eastAsia="zh-CN"/>
              </w:rPr>
              <w:t>）大气污染防治措施及有效性分析</w:t>
            </w:r>
          </w:p>
          <w:p w14:paraId="02563F99">
            <w:pPr>
              <w:pStyle w:val="21"/>
              <w:widowControl w:val="0"/>
              <w:spacing w:line="360" w:lineRule="auto"/>
              <w:jc w:val="both"/>
              <w:rPr>
                <w:rFonts w:hint="eastAsia"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本项目施工及试油阶段大气污染物主要包括施工扬尘、柴油发电机废气、伴生气燃烧废气、采出液储存及装车无组织废气、柴油卸车及储存无组织废气、油基岩屑暂存挥发废气。</w:t>
            </w:r>
          </w:p>
          <w:p w14:paraId="11888DAC">
            <w:pPr>
              <w:pStyle w:val="21"/>
              <w:widowControl w:val="0"/>
              <w:spacing w:line="360" w:lineRule="auto"/>
              <w:jc w:val="both"/>
              <w:rPr>
                <w:rFonts w:hint="eastAsia"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①施工扬尘：通过道路压实、物料覆盖、洒水抑尘、运输车辆密闭遮盖等措施控制，扬尘产生量较小，措施可行。</w:t>
            </w:r>
          </w:p>
          <w:p w14:paraId="6E08320E">
            <w:pPr>
              <w:pStyle w:val="21"/>
              <w:widowControl w:val="0"/>
              <w:spacing w:line="360" w:lineRule="auto"/>
              <w:jc w:val="both"/>
              <w:rPr>
                <w:rFonts w:hint="eastAsia" w:ascii="Times New Roman" w:hAnsi="Times New Roman" w:eastAsia="宋体" w:cs="Times New Roman"/>
                <w:snapToGrid w:val="0"/>
                <w:color w:val="auto"/>
                <w:sz w:val="24"/>
                <w:szCs w:val="24"/>
                <w:highlight w:val="none"/>
                <w:lang w:val="en-US" w:eastAsia="zh-CN" w:bidi="ar-SA"/>
              </w:rPr>
            </w:pPr>
            <w:r>
              <w:rPr>
                <w:rFonts w:hint="eastAsia" w:ascii="微软雅黑" w:hAnsi="微软雅黑" w:eastAsia="微软雅黑" w:cs="微软雅黑"/>
                <w:snapToGrid w:val="0"/>
                <w:color w:val="auto"/>
                <w:sz w:val="24"/>
                <w:szCs w:val="24"/>
                <w:highlight w:val="none"/>
                <w:lang w:val="en-US" w:eastAsia="zh-CN" w:bidi="ar-SA"/>
              </w:rPr>
              <w:t>②</w:t>
            </w:r>
            <w:r>
              <w:rPr>
                <w:rFonts w:hint="eastAsia" w:ascii="Times New Roman" w:hAnsi="Times New Roman" w:eastAsia="宋体" w:cs="Times New Roman"/>
                <w:snapToGrid w:val="0"/>
                <w:color w:val="auto"/>
                <w:sz w:val="24"/>
                <w:szCs w:val="24"/>
                <w:highlight w:val="none"/>
                <w:lang w:val="en-US" w:eastAsia="zh-CN" w:bidi="ar-SA"/>
              </w:rPr>
              <w:t>柴油发电机废气：柴油发电机仅作为备用电源，启用频次低、运行时间短，废气排放具有间歇性，对环境影响较小。</w:t>
            </w:r>
          </w:p>
          <w:p w14:paraId="61A2A476">
            <w:pPr>
              <w:pStyle w:val="21"/>
              <w:widowControl w:val="0"/>
              <w:spacing w:line="360" w:lineRule="auto"/>
              <w:jc w:val="both"/>
              <w:rPr>
                <w:rFonts w:hint="eastAsia" w:ascii="Times New Roman" w:hAnsi="Times New Roman" w:eastAsia="宋体" w:cs="Times New Roman"/>
                <w:snapToGrid w:val="0"/>
                <w:color w:val="auto"/>
                <w:sz w:val="24"/>
                <w:szCs w:val="24"/>
                <w:highlight w:val="none"/>
                <w:lang w:val="en-US" w:eastAsia="zh-CN" w:bidi="ar-SA"/>
              </w:rPr>
            </w:pPr>
            <w:r>
              <w:rPr>
                <w:rFonts w:hint="eastAsia" w:ascii="微软雅黑" w:hAnsi="微软雅黑" w:eastAsia="微软雅黑" w:cs="微软雅黑"/>
                <w:snapToGrid w:val="0"/>
                <w:color w:val="auto"/>
                <w:sz w:val="24"/>
                <w:szCs w:val="24"/>
                <w:highlight w:val="none"/>
                <w:lang w:val="en-US" w:eastAsia="zh-CN" w:bidi="ar-SA"/>
              </w:rPr>
              <w:t>③</w:t>
            </w:r>
            <w:r>
              <w:rPr>
                <w:rFonts w:hint="eastAsia" w:ascii="Times New Roman" w:hAnsi="Times New Roman" w:eastAsia="宋体" w:cs="Times New Roman"/>
                <w:snapToGrid w:val="0"/>
                <w:color w:val="auto"/>
                <w:sz w:val="24"/>
                <w:szCs w:val="24"/>
                <w:highlight w:val="none"/>
                <w:lang w:val="en-US" w:eastAsia="zh-CN" w:bidi="ar-SA"/>
              </w:rPr>
              <w:t>伴生气燃烧废气：试油阶段伴生气通过排气管线燃烧后放空，燃烧时间短、排放量小，对周边环境影响有限。</w:t>
            </w:r>
          </w:p>
          <w:p w14:paraId="5B30FC2A">
            <w:pPr>
              <w:pStyle w:val="21"/>
              <w:widowControl w:val="0"/>
              <w:spacing w:line="360" w:lineRule="auto"/>
              <w:jc w:val="both"/>
              <w:rPr>
                <w:rFonts w:hint="eastAsia" w:ascii="Times New Roman" w:hAnsi="Times New Roman" w:eastAsia="宋体" w:cs="Times New Roman"/>
                <w:snapToGrid w:val="0"/>
                <w:color w:val="auto"/>
                <w:sz w:val="24"/>
                <w:szCs w:val="24"/>
                <w:highlight w:val="none"/>
                <w:lang w:val="en-US" w:eastAsia="zh-CN" w:bidi="ar-SA"/>
              </w:rPr>
            </w:pPr>
            <w:r>
              <w:rPr>
                <w:rFonts w:hint="eastAsia" w:ascii="微软雅黑" w:hAnsi="微软雅黑" w:eastAsia="微软雅黑" w:cs="微软雅黑"/>
                <w:snapToGrid w:val="0"/>
                <w:color w:val="auto"/>
                <w:sz w:val="24"/>
                <w:szCs w:val="24"/>
                <w:highlight w:val="none"/>
                <w:lang w:val="en-US" w:eastAsia="zh-CN" w:bidi="ar-SA"/>
              </w:rPr>
              <w:t>④</w:t>
            </w:r>
            <w:r>
              <w:rPr>
                <w:rFonts w:hint="eastAsia" w:ascii="Times New Roman" w:hAnsi="Times New Roman" w:eastAsia="宋体" w:cs="Times New Roman"/>
                <w:snapToGrid w:val="0"/>
                <w:color w:val="auto"/>
                <w:sz w:val="24"/>
                <w:szCs w:val="24"/>
                <w:highlight w:val="none"/>
                <w:lang w:val="en-US" w:eastAsia="zh-CN" w:bidi="ar-SA"/>
              </w:rPr>
              <w:t>采出液储存及装车无组织废气：本项目试油期采出液采用临时储罐短期周转储存，储存时间短、周转频次低，原油储罐呼吸气排放以小风量、间歇性无组织排放为主。通过采取密闭储罐、附件开口密闭、呼吸阀定期检查、底部装载或顶部浸没式装载、及时拉运缩短储存时间等措施，可有效降低原油储罐大呼吸和小呼吸损失，措施具有针对性和可行性。</w:t>
            </w:r>
          </w:p>
          <w:p w14:paraId="6B220B25">
            <w:pPr>
              <w:pStyle w:val="21"/>
              <w:widowControl w:val="0"/>
              <w:spacing w:line="360" w:lineRule="auto"/>
              <w:jc w:val="both"/>
              <w:rPr>
                <w:rFonts w:hint="eastAsia" w:ascii="Times New Roman" w:hAnsi="Times New Roman" w:eastAsia="宋体" w:cs="Times New Roman"/>
                <w:snapToGrid w:val="0"/>
                <w:color w:val="auto"/>
                <w:sz w:val="24"/>
                <w:szCs w:val="24"/>
                <w:highlight w:val="none"/>
                <w:lang w:val="en-US" w:eastAsia="zh-CN" w:bidi="ar-SA"/>
              </w:rPr>
            </w:pPr>
            <w:r>
              <w:rPr>
                <w:rFonts w:hint="eastAsia" w:ascii="微软雅黑" w:hAnsi="微软雅黑" w:eastAsia="微软雅黑" w:cs="微软雅黑"/>
                <w:snapToGrid w:val="0"/>
                <w:color w:val="auto"/>
                <w:sz w:val="24"/>
                <w:szCs w:val="24"/>
                <w:highlight w:val="none"/>
                <w:lang w:val="en-US" w:eastAsia="zh-CN" w:bidi="ar-SA"/>
              </w:rPr>
              <w:t>⑤</w:t>
            </w:r>
            <w:r>
              <w:rPr>
                <w:rFonts w:hint="eastAsia" w:ascii="Times New Roman" w:hAnsi="Times New Roman" w:eastAsia="宋体" w:cs="Times New Roman"/>
                <w:snapToGrid w:val="0"/>
                <w:color w:val="auto"/>
                <w:sz w:val="24"/>
                <w:szCs w:val="24"/>
                <w:highlight w:val="none"/>
                <w:lang w:val="en-US" w:eastAsia="zh-CN" w:bidi="ar-SA"/>
              </w:rPr>
              <w:t>油基岩屑暂存挥发废气：采取密闭收集、加盖暂存、及时转运、避免暴晒等措施后，非甲烷总烃逸散量较小，措施有效。</w:t>
            </w:r>
          </w:p>
          <w:p w14:paraId="359505B6">
            <w:pPr>
              <w:pStyle w:val="21"/>
              <w:widowControl w:val="0"/>
              <w:spacing w:line="360" w:lineRule="auto"/>
              <w:jc w:val="both"/>
              <w:rPr>
                <w:rFonts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总体来看，项目拟采取的大气污染防治措施具有针对性和可行性，可有效减轻项目废气对周边环境的影响。</w:t>
            </w:r>
          </w:p>
          <w:p w14:paraId="75F7B351">
            <w:pPr>
              <w:pStyle w:val="23"/>
              <w:widowControl w:val="0"/>
              <w:kinsoku/>
              <w:spacing w:before="1" w:line="360" w:lineRule="auto"/>
              <w:ind w:left="2"/>
              <w:jc w:val="both"/>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pacing w:val="-5"/>
                <w:sz w:val="24"/>
                <w:szCs w:val="24"/>
                <w:highlight w:val="none"/>
                <w:lang w:eastAsia="zh-CN"/>
              </w:rPr>
              <w:t>4</w:t>
            </w:r>
            <w:r>
              <w:rPr>
                <w:rFonts w:hint="default" w:ascii="Times New Roman" w:hAnsi="Times New Roman" w:eastAsia="宋体" w:cs="Times New Roman"/>
                <w:b/>
                <w:bCs/>
                <w:color w:val="auto"/>
                <w:sz w:val="24"/>
                <w:szCs w:val="24"/>
                <w:highlight w:val="none"/>
                <w:lang w:eastAsia="zh-CN"/>
              </w:rPr>
              <w:t>.施工期水环境影响分析</w:t>
            </w:r>
          </w:p>
          <w:p w14:paraId="3AA7295B">
            <w:pPr>
              <w:pStyle w:val="23"/>
              <w:widowControl w:val="0"/>
              <w:kinsoku/>
              <w:spacing w:before="1" w:line="360" w:lineRule="auto"/>
              <w:jc w:val="both"/>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4.1井下作业废水（洗井废水）和压裂返排液</w:t>
            </w:r>
          </w:p>
          <w:p w14:paraId="39EA5682">
            <w:pPr>
              <w:pStyle w:val="23"/>
              <w:widowControl w:val="0"/>
              <w:kinsoku/>
              <w:spacing w:before="36" w:line="360" w:lineRule="auto"/>
              <w:ind w:left="5" w:firstLine="480" w:firstLineChars="200"/>
              <w:jc w:val="both"/>
              <w:rPr>
                <w:rFonts w:hint="default"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lang w:eastAsia="zh-CN"/>
              </w:rPr>
              <w:t>试油废水主要包括井下作</w:t>
            </w:r>
            <w:r>
              <w:rPr>
                <w:rFonts w:hint="default" w:ascii="Times New Roman" w:hAnsi="Times New Roman" w:eastAsia="宋体" w:cs="Times New Roman"/>
                <w:color w:val="auto"/>
                <w:spacing w:val="-2"/>
                <w:sz w:val="24"/>
                <w:szCs w:val="24"/>
                <w:highlight w:val="none"/>
                <w:lang w:eastAsia="zh-CN"/>
              </w:rPr>
              <w:t>业废水和压裂返排液，根据项目水平衡章节可知，</w:t>
            </w:r>
            <w:r>
              <w:rPr>
                <w:rFonts w:hint="default" w:ascii="Times New Roman" w:hAnsi="Times New Roman" w:eastAsia="宋体" w:cs="Times New Roman"/>
                <w:color w:val="auto"/>
                <w:spacing w:val="-3"/>
                <w:sz w:val="24"/>
                <w:szCs w:val="24"/>
                <w:highlight w:val="none"/>
                <w:lang w:eastAsia="zh-CN"/>
              </w:rPr>
              <w:t>废压裂液产生量为</w:t>
            </w:r>
            <w:r>
              <w:rPr>
                <w:rFonts w:hint="default" w:ascii="Times New Roman" w:hAnsi="Times New Roman" w:eastAsia="宋体" w:cs="Times New Roman"/>
                <w:color w:val="auto"/>
                <w:spacing w:val="-3"/>
                <w:sz w:val="24"/>
                <w:szCs w:val="24"/>
                <w:highlight w:val="none"/>
                <w:lang w:val="en-US" w:eastAsia="zh-CN"/>
              </w:rPr>
              <w:t>5</w:t>
            </w:r>
            <w:r>
              <w:rPr>
                <w:rFonts w:hint="default" w:ascii="Times New Roman" w:hAnsi="Times New Roman" w:eastAsia="宋体" w:cs="Times New Roman"/>
                <w:color w:val="auto"/>
                <w:spacing w:val="-3"/>
                <w:sz w:val="24"/>
                <w:szCs w:val="24"/>
                <w:highlight w:val="none"/>
                <w:lang w:eastAsia="zh-CN"/>
              </w:rPr>
              <w:t>000m</w:t>
            </w:r>
            <w:r>
              <w:rPr>
                <w:rFonts w:hint="default" w:ascii="Times New Roman" w:hAnsi="Times New Roman" w:eastAsia="宋体" w:cs="Times New Roman"/>
                <w:color w:val="auto"/>
                <w:spacing w:val="-3"/>
                <w:sz w:val="24"/>
                <w:szCs w:val="24"/>
                <w:highlight w:val="none"/>
                <w:vertAlign w:val="superscript"/>
                <w:lang w:eastAsia="zh-CN"/>
              </w:rPr>
              <w:t>3</w:t>
            </w:r>
            <w:r>
              <w:rPr>
                <w:rFonts w:hint="default" w:ascii="Times New Roman" w:hAnsi="Times New Roman" w:eastAsia="宋体" w:cs="Times New Roman"/>
                <w:color w:val="auto"/>
                <w:spacing w:val="-3"/>
                <w:sz w:val="24"/>
                <w:szCs w:val="24"/>
                <w:highlight w:val="none"/>
                <w:lang w:eastAsia="zh-CN"/>
              </w:rPr>
              <w:t>，洗井废</w:t>
            </w:r>
            <w:r>
              <w:rPr>
                <w:rFonts w:hint="default" w:ascii="Times New Roman" w:hAnsi="Times New Roman" w:eastAsia="宋体" w:cs="Times New Roman"/>
                <w:color w:val="auto"/>
                <w:spacing w:val="-1"/>
                <w:sz w:val="24"/>
                <w:szCs w:val="24"/>
                <w:highlight w:val="none"/>
                <w:lang w:eastAsia="zh-CN"/>
              </w:rPr>
              <w:t>水产生量为</w:t>
            </w:r>
            <w:r>
              <w:rPr>
                <w:rFonts w:hint="default" w:ascii="Times New Roman" w:hAnsi="Times New Roman" w:eastAsia="宋体" w:cs="Times New Roman"/>
                <w:color w:val="auto"/>
                <w:sz w:val="24"/>
                <w:szCs w:val="24"/>
                <w:highlight w:val="none"/>
                <w:lang w:eastAsia="zh-CN" w:bidi="ar"/>
              </w:rPr>
              <w:t>150</w:t>
            </w:r>
            <w:r>
              <w:rPr>
                <w:rFonts w:hint="default" w:ascii="Times New Roman" w:hAnsi="Times New Roman" w:eastAsia="宋体" w:cs="Times New Roman"/>
                <w:color w:val="auto"/>
                <w:spacing w:val="-3"/>
                <w:sz w:val="24"/>
                <w:szCs w:val="24"/>
                <w:highlight w:val="none"/>
                <w:lang w:eastAsia="zh-CN"/>
              </w:rPr>
              <w:t>m</w:t>
            </w:r>
            <w:r>
              <w:rPr>
                <w:rFonts w:hint="default" w:ascii="Times New Roman" w:hAnsi="Times New Roman" w:eastAsia="宋体" w:cs="Times New Roman"/>
                <w:color w:val="auto"/>
                <w:spacing w:val="-3"/>
                <w:sz w:val="24"/>
                <w:szCs w:val="24"/>
                <w:highlight w:val="none"/>
                <w:vertAlign w:val="superscript"/>
                <w:lang w:eastAsia="zh-CN"/>
              </w:rPr>
              <w:t>3</w:t>
            </w:r>
            <w:r>
              <w:rPr>
                <w:rFonts w:hint="default" w:ascii="Times New Roman" w:hAnsi="Times New Roman" w:eastAsia="宋体" w:cs="Times New Roman"/>
                <w:color w:val="auto"/>
                <w:spacing w:val="-1"/>
                <w:sz w:val="24"/>
                <w:szCs w:val="24"/>
                <w:highlight w:val="none"/>
                <w:lang w:eastAsia="zh-CN"/>
              </w:rPr>
              <w:t>，主要污染物为悬浮物和石油类；洗井废水和压裂返排液均拉运到</w:t>
            </w:r>
            <w:r>
              <w:rPr>
                <w:rFonts w:hint="eastAsia" w:ascii="Times New Roman" w:hAnsi="Times New Roman" w:cs="Times New Roman"/>
                <w:color w:val="auto"/>
                <w:spacing w:val="-1"/>
                <w:sz w:val="24"/>
                <w:szCs w:val="24"/>
                <w:highlight w:val="none"/>
                <w:lang w:val="en-US" w:eastAsia="zh-CN"/>
              </w:rPr>
              <w:t>吉28脱水站</w:t>
            </w:r>
            <w:r>
              <w:rPr>
                <w:rFonts w:hint="default" w:ascii="Times New Roman" w:hAnsi="Times New Roman" w:eastAsia="宋体" w:cs="Times New Roman"/>
                <w:color w:val="auto"/>
                <w:spacing w:val="-1"/>
                <w:sz w:val="24"/>
                <w:szCs w:val="24"/>
                <w:highlight w:val="none"/>
                <w:lang w:eastAsia="zh-CN"/>
              </w:rPr>
              <w:t>并处理达标后，全部回注油藏</w:t>
            </w:r>
            <w:r>
              <w:rPr>
                <w:rFonts w:hint="default" w:ascii="Times New Roman" w:hAnsi="Times New Roman" w:eastAsia="宋体" w:cs="Times New Roman"/>
                <w:color w:val="auto"/>
                <w:spacing w:val="-3"/>
                <w:sz w:val="24"/>
                <w:szCs w:val="24"/>
                <w:highlight w:val="none"/>
                <w:lang w:eastAsia="zh-CN"/>
              </w:rPr>
              <w:t>，不外排，</w:t>
            </w:r>
            <w:r>
              <w:rPr>
                <w:rFonts w:hint="default" w:ascii="Times New Roman" w:hAnsi="Times New Roman" w:eastAsia="宋体" w:cs="Times New Roman"/>
                <w:color w:val="auto"/>
                <w:sz w:val="24"/>
                <w:szCs w:val="24"/>
                <w:highlight w:val="none"/>
                <w:lang w:eastAsia="zh-CN" w:bidi="ar"/>
              </w:rPr>
              <w:t>底泥依托</w:t>
            </w:r>
            <w:r>
              <w:rPr>
                <w:rFonts w:hint="eastAsia" w:ascii="Times New Roman" w:hAnsi="Times New Roman" w:cs="Times New Roman"/>
                <w:color w:val="auto"/>
                <w:sz w:val="24"/>
                <w:szCs w:val="24"/>
                <w:highlight w:val="none"/>
                <w:lang w:val="en-US" w:eastAsia="zh-CN" w:bidi="ar"/>
              </w:rPr>
              <w:t>吉28脱水站</w:t>
            </w:r>
            <w:r>
              <w:rPr>
                <w:rFonts w:hint="default" w:ascii="Times New Roman" w:hAnsi="Times New Roman" w:eastAsia="宋体" w:cs="Times New Roman"/>
                <w:color w:val="auto"/>
                <w:sz w:val="24"/>
                <w:szCs w:val="24"/>
                <w:highlight w:val="none"/>
                <w:lang w:eastAsia="zh-CN" w:bidi="ar"/>
              </w:rPr>
              <w:t>危废暂存间暂存，委托有危废处置资质的单位进行处置。</w:t>
            </w:r>
          </w:p>
          <w:p w14:paraId="6E0599E2">
            <w:pPr>
              <w:pStyle w:val="23"/>
              <w:widowControl w:val="0"/>
              <w:kinsoku/>
              <w:spacing w:line="219"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3"/>
                <w:sz w:val="24"/>
                <w:szCs w:val="24"/>
                <w:highlight w:val="none"/>
                <w:lang w:eastAsia="zh-CN"/>
              </w:rPr>
              <w:t>4.2生活污水</w:t>
            </w:r>
          </w:p>
          <w:p w14:paraId="67ED5914">
            <w:pPr>
              <w:pStyle w:val="23"/>
              <w:widowControl w:val="0"/>
              <w:kinsoku/>
              <w:spacing w:before="182" w:line="359" w:lineRule="auto"/>
              <w:ind w:left="5" w:right="4" w:firstLine="477"/>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本项目生活污水产生量约为</w:t>
            </w:r>
            <w:r>
              <w:rPr>
                <w:rFonts w:hint="default" w:ascii="Times New Roman" w:hAnsi="Times New Roman" w:eastAsia="宋体" w:cs="Times New Roman"/>
                <w:color w:val="auto"/>
                <w:spacing w:val="-2"/>
                <w:sz w:val="24"/>
                <w:szCs w:val="24"/>
                <w:highlight w:val="none"/>
                <w:lang w:val="en-US" w:eastAsia="zh-CN"/>
              </w:rPr>
              <w:t>576</w:t>
            </w:r>
            <w:r>
              <w:rPr>
                <w:rFonts w:hint="default" w:ascii="Times New Roman" w:hAnsi="Times New Roman" w:eastAsia="宋体" w:cs="Times New Roman"/>
                <w:color w:val="auto"/>
                <w:spacing w:val="-2"/>
                <w:sz w:val="24"/>
                <w:szCs w:val="24"/>
                <w:highlight w:val="none"/>
                <w:lang w:eastAsia="zh-CN"/>
              </w:rPr>
              <w:t>m</w:t>
            </w:r>
            <w:r>
              <w:rPr>
                <w:rFonts w:hint="default" w:ascii="Times New Roman" w:hAnsi="Times New Roman" w:eastAsia="宋体"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lang w:eastAsia="zh-CN"/>
              </w:rPr>
              <w:t>，主要污染物浓度分别为化学需氧量（COD）350mg/L、氨氮（NH</w:t>
            </w:r>
            <w:r>
              <w:rPr>
                <w:rFonts w:hint="default" w:ascii="Times New Roman" w:hAnsi="Times New Roman" w:eastAsia="宋体" w:cs="Times New Roman"/>
                <w:color w:val="auto"/>
                <w:spacing w:val="-2"/>
                <w:sz w:val="24"/>
                <w:szCs w:val="24"/>
                <w:highlight w:val="none"/>
                <w:vertAlign w:val="subscript"/>
                <w:lang w:eastAsia="zh-CN"/>
              </w:rPr>
              <w:t>3</w:t>
            </w:r>
            <w:r>
              <w:rPr>
                <w:rFonts w:hint="default" w:ascii="Times New Roman" w:hAnsi="Times New Roman" w:eastAsia="宋体" w:cs="Times New Roman"/>
                <w:color w:val="auto"/>
                <w:spacing w:val="-2"/>
                <w:sz w:val="24"/>
                <w:szCs w:val="24"/>
                <w:highlight w:val="none"/>
                <w:lang w:eastAsia="zh-CN"/>
              </w:rPr>
              <w:t>-N）30mg/L、悬浮物（SS）200mg/L，则污染物产生量COD：0.12t、NH</w:t>
            </w:r>
            <w:r>
              <w:rPr>
                <w:rFonts w:hint="default" w:ascii="Times New Roman" w:hAnsi="Times New Roman" w:eastAsia="宋体" w:cs="Times New Roman"/>
                <w:color w:val="auto"/>
                <w:spacing w:val="-2"/>
                <w:sz w:val="24"/>
                <w:szCs w:val="24"/>
                <w:highlight w:val="none"/>
                <w:vertAlign w:val="subscript"/>
                <w:lang w:eastAsia="zh-CN"/>
              </w:rPr>
              <w:t>3</w:t>
            </w:r>
            <w:r>
              <w:rPr>
                <w:rFonts w:hint="default" w:ascii="Times New Roman" w:hAnsi="Times New Roman" w:eastAsia="宋体" w:cs="Times New Roman"/>
                <w:color w:val="auto"/>
                <w:spacing w:val="-2"/>
                <w:sz w:val="24"/>
                <w:szCs w:val="24"/>
                <w:highlight w:val="none"/>
                <w:lang w:eastAsia="zh-CN"/>
              </w:rPr>
              <w:t>-N：0.01t、SS：0.069t。</w:t>
            </w:r>
          </w:p>
          <w:p w14:paraId="177F3659">
            <w:pPr>
              <w:pStyle w:val="23"/>
              <w:widowControl w:val="0"/>
              <w:kinsoku/>
              <w:spacing w:before="36" w:line="360" w:lineRule="auto"/>
              <w:ind w:left="6" w:firstLine="472" w:firstLineChars="200"/>
              <w:jc w:val="both"/>
              <w:rPr>
                <w:rFonts w:hint="default" w:ascii="Times New Roman" w:hAnsi="Times New Roman" w:eastAsia="宋体" w:cs="Times New Roman"/>
                <w:color w:val="auto"/>
                <w:spacing w:val="-1"/>
                <w:sz w:val="24"/>
                <w:szCs w:val="24"/>
                <w:lang w:eastAsia="zh-CN"/>
              </w:rPr>
            </w:pPr>
            <w:r>
              <w:rPr>
                <w:rFonts w:hint="eastAsia" w:ascii="Times New Roman" w:hAnsi="Times New Roman" w:cs="Times New Roman"/>
                <w:color w:val="auto"/>
                <w:spacing w:val="-2"/>
                <w:sz w:val="24"/>
                <w:szCs w:val="24"/>
                <w:lang w:val="en-US" w:eastAsia="zh-CN"/>
              </w:rPr>
              <w:t>本项目</w:t>
            </w:r>
            <w:r>
              <w:rPr>
                <w:rFonts w:hint="default" w:ascii="Times New Roman" w:hAnsi="Times New Roman" w:eastAsia="宋体" w:cs="Times New Roman"/>
                <w:color w:val="auto"/>
                <w:spacing w:val="-2"/>
                <w:sz w:val="24"/>
                <w:szCs w:val="24"/>
                <w:lang w:eastAsia="zh-CN"/>
              </w:rPr>
              <w:t>生活营地内设置1座临时</w:t>
            </w:r>
            <w:r>
              <w:rPr>
                <w:rFonts w:hint="eastAsia" w:ascii="Times New Roman" w:hAnsi="Times New Roman" w:cs="Times New Roman"/>
                <w:color w:val="auto"/>
                <w:spacing w:val="-2"/>
                <w:sz w:val="24"/>
                <w:szCs w:val="24"/>
                <w:lang w:eastAsia="zh-CN"/>
              </w:rPr>
              <w:t>防渗收集池</w:t>
            </w:r>
            <w:r>
              <w:rPr>
                <w:rFonts w:hint="default" w:ascii="Times New Roman" w:hAnsi="Times New Roman" w:eastAsia="宋体" w:cs="Times New Roman"/>
                <w:color w:val="auto"/>
                <w:spacing w:val="-2"/>
                <w:sz w:val="24"/>
                <w:szCs w:val="24"/>
                <w:lang w:eastAsia="zh-CN"/>
              </w:rPr>
              <w:t>，用于收集和暂</w:t>
            </w:r>
            <w:r>
              <w:rPr>
                <w:rFonts w:hint="default" w:ascii="Times New Roman" w:hAnsi="Times New Roman" w:eastAsia="宋体" w:cs="Times New Roman"/>
                <w:color w:val="auto"/>
                <w:spacing w:val="-3"/>
                <w:sz w:val="24"/>
                <w:szCs w:val="24"/>
                <w:lang w:eastAsia="zh-CN"/>
              </w:rPr>
              <w:t>存生活</w:t>
            </w:r>
            <w:r>
              <w:rPr>
                <w:rFonts w:hint="default" w:ascii="Times New Roman" w:hAnsi="Times New Roman" w:eastAsia="宋体" w:cs="Times New Roman"/>
                <w:color w:val="auto"/>
                <w:spacing w:val="-1"/>
                <w:sz w:val="24"/>
                <w:szCs w:val="24"/>
                <w:lang w:eastAsia="zh-CN"/>
              </w:rPr>
              <w:t>污水，定期由施工队采用吸污车清运至</w:t>
            </w:r>
            <w:r>
              <w:rPr>
                <w:rFonts w:hint="eastAsia" w:ascii="Times New Roman" w:hAnsi="Times New Roman" w:cs="Times New Roman"/>
                <w:color w:val="auto"/>
                <w:spacing w:val="-1"/>
                <w:sz w:val="24"/>
                <w:szCs w:val="24"/>
                <w:lang w:val="en-US" w:eastAsia="zh-CN"/>
              </w:rPr>
              <w:t>吉木萨尔县</w:t>
            </w:r>
            <w:r>
              <w:rPr>
                <w:rFonts w:hint="default" w:ascii="Times New Roman" w:hAnsi="Times New Roman" w:eastAsia="宋体" w:cs="Times New Roman"/>
                <w:color w:val="auto"/>
                <w:spacing w:val="-1"/>
                <w:sz w:val="24"/>
                <w:szCs w:val="24"/>
                <w:lang w:eastAsia="zh-CN"/>
              </w:rPr>
              <w:t>市政污水处理厂处理。</w:t>
            </w:r>
          </w:p>
          <w:p w14:paraId="0654C542">
            <w:pPr>
              <w:pStyle w:val="23"/>
              <w:widowControl w:val="0"/>
              <w:kinsoku/>
              <w:spacing w:before="36"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4.3对地下水影响分析</w:t>
            </w:r>
          </w:p>
          <w:p w14:paraId="7D202F0B">
            <w:pPr>
              <w:pStyle w:val="23"/>
              <w:widowControl w:val="0"/>
              <w:kinsoku/>
              <w:spacing w:before="36" w:line="360" w:lineRule="auto"/>
              <w:ind w:firstLine="472"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项目区含水层埋深在50m～150m，一开表层套管的下土深度</w:t>
            </w:r>
            <w:r>
              <w:rPr>
                <w:rFonts w:hint="default" w:ascii="Times New Roman" w:hAnsi="Times New Roman" w:eastAsia="宋体" w:cs="Times New Roman"/>
                <w:color w:val="auto"/>
                <w:spacing w:val="3"/>
                <w:sz w:val="24"/>
                <w:szCs w:val="24"/>
                <w:lang w:eastAsia="zh-CN"/>
              </w:rPr>
              <w:t>5</w:t>
            </w:r>
            <w:r>
              <w:rPr>
                <w:rFonts w:hint="default" w:ascii="Times New Roman" w:hAnsi="Times New Roman" w:eastAsia="宋体" w:cs="Times New Roman"/>
                <w:color w:val="auto"/>
                <w:spacing w:val="-2"/>
                <w:sz w:val="24"/>
                <w:szCs w:val="24"/>
                <w:lang w:eastAsia="zh-CN"/>
              </w:rPr>
              <w:t>00m，超出本区域地下水含水层深度，有效隔断了油井与含水层之间的联系，可保护地下水环境不受污染。试油目的层与地下水处于不同层系，在施工过程中确保套管下入指定深度，有效避免试油作业对地下水环境的影响。钻井时严格落实套管下入深度合格和固井质量合格，对洗井时产生的废水进行严格管理；油品储存区采取重点防渗措施，基本不会对所在区</w:t>
            </w:r>
            <w:r>
              <w:rPr>
                <w:rFonts w:hint="default" w:ascii="Times New Roman" w:hAnsi="Times New Roman" w:eastAsia="宋体" w:cs="Times New Roman"/>
                <w:color w:val="auto"/>
                <w:spacing w:val="-1"/>
                <w:sz w:val="24"/>
                <w:szCs w:val="24"/>
                <w:lang w:eastAsia="zh-CN"/>
              </w:rPr>
              <w:t>域地下水产生影响。</w:t>
            </w:r>
          </w:p>
          <w:p w14:paraId="56B9B06E">
            <w:pPr>
              <w:pStyle w:val="23"/>
              <w:widowControl w:val="0"/>
              <w:kinsoku/>
              <w:spacing w:line="219" w:lineRule="auto"/>
              <w:ind w:left="487"/>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lang w:eastAsia="zh-CN"/>
              </w:rPr>
              <w:t>综上所述，项目的实施对所在区域的水环境质量影响不大。</w:t>
            </w:r>
          </w:p>
          <w:p w14:paraId="2CB25A7B">
            <w:pPr>
              <w:pStyle w:val="23"/>
              <w:widowControl w:val="0"/>
              <w:kinsoku/>
              <w:spacing w:before="181" w:line="360" w:lineRule="auto"/>
              <w:ind w:left="1"/>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2"/>
                <w:sz w:val="24"/>
                <w:szCs w:val="24"/>
                <w:lang w:eastAsia="zh-CN"/>
              </w:rPr>
              <w:t>4.4事故状态下水环境影响分析</w:t>
            </w:r>
          </w:p>
          <w:p w14:paraId="5145F773">
            <w:pPr>
              <w:pStyle w:val="23"/>
              <w:widowControl w:val="0"/>
              <w:kinsoku/>
              <w:spacing w:before="36" w:line="360" w:lineRule="auto"/>
              <w:ind w:left="5"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（1）井漏事故的泥浆对地下水的影响</w:t>
            </w:r>
          </w:p>
          <w:p w14:paraId="0432DDA8">
            <w:pPr>
              <w:pStyle w:val="23"/>
              <w:widowControl w:val="0"/>
              <w:kinsoku/>
              <w:spacing w:before="36" w:line="360" w:lineRule="auto"/>
              <w:ind w:left="5"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井漏事故对地下水的污染是钻井泥浆漏失于地下水含水层中，由于其含Ca、Na等离子，且盐分较多，易造成地下含水层水质污染。</w:t>
            </w:r>
          </w:p>
          <w:p w14:paraId="2E6E3892">
            <w:pPr>
              <w:pStyle w:val="23"/>
              <w:widowControl w:val="0"/>
              <w:kinsoku/>
              <w:spacing w:before="36" w:line="360" w:lineRule="auto"/>
              <w:ind w:left="5"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本项目采用下套管注水泥的方式进行固井，可对潜水和承压水所在的地层进行固封。在固井合格的前提下，可以有效隔离含水层与井内泥浆的交换，有效保护地下水层。</w:t>
            </w:r>
          </w:p>
          <w:p w14:paraId="557CF7E7">
            <w:pPr>
              <w:pStyle w:val="23"/>
              <w:widowControl w:val="0"/>
              <w:kinsoku/>
              <w:spacing w:before="36" w:line="360" w:lineRule="auto"/>
              <w:ind w:left="5"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因此，推广使用清洁无害的泥浆，严格要求套管下入深度，可以有效控制钻井液在含水层中的漏失，减轻对地下水环境的影响。</w:t>
            </w:r>
          </w:p>
          <w:p w14:paraId="363F41F8">
            <w:pPr>
              <w:pStyle w:val="23"/>
              <w:widowControl w:val="0"/>
              <w:kinsoku/>
              <w:spacing w:before="36" w:line="360" w:lineRule="auto"/>
              <w:ind w:left="5"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（2）油水窜层对地下水的污染影响</w:t>
            </w:r>
          </w:p>
          <w:p w14:paraId="33D293E5">
            <w:pPr>
              <w:pStyle w:val="23"/>
              <w:widowControl w:val="0"/>
              <w:kinsoku/>
              <w:spacing w:before="36" w:line="360" w:lineRule="auto"/>
              <w:ind w:left="5"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钻井完井后试油过程中原油窜层污染的主要原因是：①固井质量差；②工艺措施不合理或未实施。因此，为预防污染的发生和污染源的形成，固井质量应符合环保要求。</w:t>
            </w:r>
          </w:p>
          <w:p w14:paraId="30809900">
            <w:pPr>
              <w:pStyle w:val="23"/>
              <w:widowControl w:val="0"/>
              <w:kinsoku/>
              <w:spacing w:before="36" w:line="360" w:lineRule="auto"/>
              <w:ind w:left="5"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（3）井喷事故对地下水的污染影响</w:t>
            </w:r>
          </w:p>
          <w:p w14:paraId="507A628D">
            <w:pPr>
              <w:pStyle w:val="23"/>
              <w:widowControl w:val="0"/>
              <w:kinsoku/>
              <w:spacing w:before="36" w:line="360" w:lineRule="auto"/>
              <w:ind w:left="5"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井喷事故一旦发生，大量的油气喷出井口，散落于井场周围，除造成重大经济损失外，还会造成严重的环境污染。根据测算，井喷发生后，一般需要1-2d才能得以控制。据类比资料显示，井喷污染范围在半径300m左右时，井喷持续时间2d，井喷范围内土壤表层可见有蜡状的原油喷散物，井喷的影响范围及影响程度较大。但从事故井区土壤剖面分析，井喷事故后石油类污染物主要聚集在土壤剖面1m以内，石油类污染物很难下渗到2m以下，井喷事故对环境的影响主要表现为对其周围土壤的影响，对地下水体有一定的影响，若及时采取有效措施治理污染，井喷对地下水的影响极小。</w:t>
            </w:r>
          </w:p>
          <w:p w14:paraId="022394FE">
            <w:pPr>
              <w:widowControl/>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5.施工期声环境影响分析</w:t>
            </w:r>
          </w:p>
          <w:p w14:paraId="2A17789E">
            <w:pPr>
              <w:pStyle w:val="8"/>
              <w:widowControl w:val="0"/>
              <w:kinsoku/>
              <w:spacing w:line="360" w:lineRule="auto"/>
              <w:ind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施工期噪声来源于井场、生活营地建设等钻前作业、钻井作业及试油作业等施工活动。</w:t>
            </w:r>
            <w:r>
              <w:rPr>
                <w:rFonts w:hint="default" w:ascii="Times New Roman" w:hAnsi="Times New Roman" w:eastAsia="宋体" w:cs="Times New Roman"/>
                <w:color w:val="auto"/>
                <w:sz w:val="24"/>
                <w:szCs w:val="24"/>
              </w:rPr>
              <w:t>本项目钻机等主要设备采用</w:t>
            </w:r>
            <w:r>
              <w:rPr>
                <w:rFonts w:hint="default" w:ascii="Times New Roman" w:hAnsi="Times New Roman" w:eastAsia="宋体" w:cs="Times New Roman"/>
                <w:color w:val="auto"/>
                <w:sz w:val="24"/>
                <w:szCs w:val="24"/>
                <w:lang w:val="en-US" w:eastAsia="zh-CN"/>
              </w:rPr>
              <w:t>工业用</w:t>
            </w:r>
            <w:r>
              <w:rPr>
                <w:rFonts w:hint="default" w:ascii="Times New Roman" w:hAnsi="Times New Roman" w:eastAsia="宋体" w:cs="Times New Roman"/>
                <w:color w:val="auto"/>
                <w:sz w:val="24"/>
                <w:szCs w:val="24"/>
              </w:rPr>
              <w:t>电驱动，相比传统柴油机驱动，噪声源强显著降低</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柴油发电机仅作为备用电源，非连续运行，对声环境影响较小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pacing w:val="-2"/>
                <w:sz w:val="24"/>
                <w:szCs w:val="24"/>
                <w:lang w:eastAsia="zh-CN"/>
              </w:rPr>
              <w:t>各类施工机械，如挖土机、推土机、轮式装载车等，贯穿于整个施工过程，待施工结束后噪声影响消失。根据现场调查，井场周边50m范围内无声环境敏感目标，不会对周围声环境产生明显影响。本环评要求建设单位选用低噪声设备，</w:t>
            </w:r>
            <w:r>
              <w:rPr>
                <w:rFonts w:hint="default" w:ascii="Times New Roman" w:hAnsi="Times New Roman" w:eastAsia="宋体" w:cs="Times New Roman"/>
                <w:color w:val="auto"/>
                <w:sz w:val="24"/>
                <w:szCs w:val="24"/>
                <w:lang w:eastAsia="zh-CN"/>
              </w:rPr>
              <w:t>对高噪声设备采取隔声措施，</w:t>
            </w:r>
            <w:r>
              <w:rPr>
                <w:rFonts w:hint="default" w:ascii="Times New Roman" w:hAnsi="Times New Roman" w:eastAsia="宋体" w:cs="Times New Roman"/>
                <w:color w:val="auto"/>
                <w:spacing w:val="-2"/>
                <w:sz w:val="24"/>
                <w:szCs w:val="24"/>
                <w:lang w:eastAsia="zh-CN"/>
              </w:rPr>
              <w:t>加强设备维护和保养，</w:t>
            </w:r>
            <w:r>
              <w:rPr>
                <w:rFonts w:hint="default" w:ascii="Times New Roman" w:hAnsi="Times New Roman" w:eastAsia="宋体" w:cs="Times New Roman"/>
                <w:color w:val="auto"/>
                <w:sz w:val="24"/>
                <w:szCs w:val="24"/>
                <w:lang w:eastAsia="zh-CN"/>
              </w:rPr>
              <w:t>保证机械设备的正常运转，以降低设备正常运转的噪声。</w:t>
            </w:r>
            <w:r>
              <w:rPr>
                <w:rFonts w:hint="default" w:ascii="Times New Roman" w:hAnsi="Times New Roman" w:eastAsia="宋体" w:cs="Times New Roman"/>
                <w:color w:val="auto"/>
                <w:spacing w:val="-2"/>
                <w:sz w:val="24"/>
                <w:szCs w:val="24"/>
                <w:lang w:eastAsia="zh-CN"/>
              </w:rPr>
              <w:t>在设施底部进行基础减振处理。加强施工场地管理，合理疏导进入施工区的车辆，符合《建筑施工噪声排放标准》（GB12523-2025）要求。</w:t>
            </w:r>
            <w:r>
              <w:rPr>
                <w:rFonts w:hint="default" w:ascii="Times New Roman" w:hAnsi="Times New Roman" w:eastAsia="宋体" w:cs="Times New Roman"/>
                <w:color w:val="auto"/>
                <w:sz w:val="24"/>
                <w:szCs w:val="24"/>
                <w:lang w:eastAsia="zh-CN"/>
              </w:rPr>
              <w:t>进一步落实以上措施后，施工期噪声对周边环境及施工人员的影响将进一步减少，施工期产生噪声对周边环境影响不大。</w:t>
            </w:r>
          </w:p>
          <w:p w14:paraId="617AFC8C">
            <w:pPr>
              <w:pStyle w:val="23"/>
              <w:widowControl w:val="0"/>
              <w:kinsoku/>
              <w:spacing w:before="3" w:line="359" w:lineRule="auto"/>
              <w:ind w:right="4"/>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6.施工期固体废物影响分析</w:t>
            </w:r>
          </w:p>
          <w:p w14:paraId="46376BB6">
            <w:pPr>
              <w:pStyle w:val="23"/>
              <w:widowControl w:val="0"/>
              <w:kinsoku/>
              <w:spacing w:before="3" w:line="359" w:lineRule="auto"/>
              <w:ind w:left="2" w:right="4" w:firstLine="481"/>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固体废物主要为钻井泥浆、钻井岩屑、落地油、机械设备废油和废油桶以及废防渗材料、生活垃圾，均得到有效处置，对环境影响较小。</w:t>
            </w:r>
          </w:p>
          <w:p w14:paraId="572C11B0">
            <w:pPr>
              <w:pStyle w:val="23"/>
              <w:widowControl w:val="0"/>
              <w:kinsoku/>
              <w:spacing w:line="219" w:lineRule="auto"/>
              <w:ind w:left="2"/>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6.1钻井泥浆</w:t>
            </w:r>
          </w:p>
          <w:p w14:paraId="50AF6E58">
            <w:pPr>
              <w:pStyle w:val="23"/>
              <w:widowControl w:val="0"/>
              <w:kinsoku/>
              <w:spacing w:before="180" w:line="340" w:lineRule="auto"/>
              <w:ind w:left="14" w:right="4" w:firstLine="467"/>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钻井泥浆的排放量依井的深度而增加，其排放量计算采用《油田开发环境影响评价文集》中的经验公式：</w:t>
            </w:r>
          </w:p>
          <w:p w14:paraId="752904E6">
            <w:pPr>
              <w:widowControl w:val="0"/>
              <w:kinsoku/>
              <w:spacing w:line="585" w:lineRule="exact"/>
              <w:ind w:left="2612"/>
              <w:jc w:val="both"/>
              <w:rPr>
                <w:rFonts w:hint="default" w:ascii="Times New Roman" w:hAnsi="Times New Roman" w:eastAsia="宋体" w:cs="Times New Roman"/>
                <w:color w:val="auto"/>
              </w:rPr>
            </w:pPr>
            <w:r>
              <w:rPr>
                <w:rFonts w:hint="default" w:ascii="Times New Roman" w:hAnsi="Times New Roman" w:eastAsia="宋体" w:cs="Times New Roman"/>
                <w:color w:val="auto"/>
                <w:position w:val="-12"/>
              </w:rPr>
              <w:drawing>
                <wp:inline distT="0" distB="0" distL="0" distR="0">
                  <wp:extent cx="1968500" cy="370840"/>
                  <wp:effectExtent l="0" t="0" r="12700" b="10795"/>
                  <wp:docPr id="35" name="IM 34"/>
                  <wp:cNvGraphicFramePr/>
                  <a:graphic xmlns:a="http://schemas.openxmlformats.org/drawingml/2006/main">
                    <a:graphicData uri="http://schemas.openxmlformats.org/drawingml/2006/picture">
                      <pic:pic xmlns:pic="http://schemas.openxmlformats.org/drawingml/2006/picture">
                        <pic:nvPicPr>
                          <pic:cNvPr id="35" name="IM 34"/>
                          <pic:cNvPicPr/>
                        </pic:nvPicPr>
                        <pic:blipFill>
                          <a:blip r:embed="rId20"/>
                          <a:stretch>
                            <a:fillRect/>
                          </a:stretch>
                        </pic:blipFill>
                        <pic:spPr>
                          <a:xfrm>
                            <a:off x="0" y="0"/>
                            <a:ext cx="1968791" cy="371078"/>
                          </a:xfrm>
                          <a:prstGeom prst="rect">
                            <a:avLst/>
                          </a:prstGeom>
                        </pic:spPr>
                      </pic:pic>
                    </a:graphicData>
                  </a:graphic>
                </wp:inline>
              </w:drawing>
            </w:r>
          </w:p>
          <w:p w14:paraId="41ADF114">
            <w:pPr>
              <w:pStyle w:val="23"/>
              <w:widowControl w:val="0"/>
              <w:kinsoku/>
              <w:spacing w:before="199" w:line="360" w:lineRule="auto"/>
              <w:ind w:firstLine="512" w:firstLineChars="200"/>
              <w:jc w:val="both"/>
              <w:rPr>
                <w:rFonts w:hint="default" w:ascii="Times New Roman" w:hAnsi="Times New Roman" w:eastAsia="宋体" w:cs="Times New Roman"/>
                <w:color w:val="auto"/>
                <w:spacing w:val="8"/>
                <w:sz w:val="24"/>
                <w:szCs w:val="24"/>
                <w:lang w:eastAsia="zh-CN"/>
              </w:rPr>
            </w:pPr>
            <w:r>
              <w:rPr>
                <w:rFonts w:hint="default" w:ascii="Times New Roman" w:hAnsi="Times New Roman" w:eastAsia="宋体" w:cs="Times New Roman"/>
                <w:color w:val="auto"/>
                <w:spacing w:val="8"/>
                <w:sz w:val="24"/>
                <w:szCs w:val="24"/>
                <w:lang w:eastAsia="zh-CN"/>
              </w:rPr>
              <w:t>上述公式中：</w:t>
            </w:r>
          </w:p>
          <w:p w14:paraId="49065A1E">
            <w:pPr>
              <w:pStyle w:val="23"/>
              <w:widowControl w:val="0"/>
              <w:kinsoku/>
              <w:spacing w:line="360" w:lineRule="auto"/>
              <w:ind w:firstLine="1280" w:firstLineChars="5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8"/>
                <w:sz w:val="24"/>
                <w:szCs w:val="24"/>
                <w:lang w:eastAsia="zh-CN"/>
              </w:rPr>
              <w:t>V——排到地面上的泥浆量（m</w:t>
            </w:r>
            <w:r>
              <w:rPr>
                <w:rFonts w:hint="default" w:ascii="Times New Roman" w:hAnsi="Times New Roman" w:eastAsia="宋体" w:cs="Times New Roman"/>
                <w:color w:val="auto"/>
                <w:spacing w:val="8"/>
                <w:sz w:val="24"/>
                <w:szCs w:val="24"/>
                <w:vertAlign w:val="superscript"/>
                <w:lang w:eastAsia="zh-CN"/>
              </w:rPr>
              <w:t>3</w:t>
            </w:r>
            <w:r>
              <w:rPr>
                <w:rFonts w:hint="default" w:ascii="Times New Roman" w:hAnsi="Times New Roman" w:eastAsia="宋体" w:cs="Times New Roman"/>
                <w:color w:val="auto"/>
                <w:spacing w:val="-14"/>
                <w:sz w:val="24"/>
                <w:szCs w:val="24"/>
                <w:lang w:eastAsia="zh-CN"/>
              </w:rPr>
              <w:t>）；</w:t>
            </w:r>
          </w:p>
          <w:p w14:paraId="13BC002D">
            <w:pPr>
              <w:pStyle w:val="23"/>
              <w:widowControl w:val="0"/>
              <w:kinsoku/>
              <w:spacing w:before="3" w:line="360" w:lineRule="auto"/>
              <w:ind w:right="4" w:firstLine="1290" w:firstLineChars="500"/>
              <w:jc w:val="both"/>
              <w:rPr>
                <w:rFonts w:hint="default" w:ascii="Times New Roman" w:hAnsi="Times New Roman" w:eastAsia="宋体" w:cs="Times New Roman"/>
                <w:color w:val="auto"/>
                <w:spacing w:val="-14"/>
                <w:sz w:val="24"/>
                <w:szCs w:val="24"/>
                <w:lang w:eastAsia="zh-CN"/>
              </w:rPr>
            </w:pPr>
            <w:r>
              <w:rPr>
                <w:rFonts w:hint="default" w:ascii="Times New Roman" w:hAnsi="Times New Roman" w:eastAsia="宋体" w:cs="Times New Roman"/>
                <w:color w:val="auto"/>
                <w:spacing w:val="9"/>
                <w:sz w:val="24"/>
                <w:szCs w:val="24"/>
                <w:lang w:eastAsia="zh-CN"/>
              </w:rPr>
              <w:t>D——井眼的直径（m</w:t>
            </w:r>
            <w:r>
              <w:rPr>
                <w:rFonts w:hint="default" w:ascii="Times New Roman" w:hAnsi="Times New Roman" w:eastAsia="宋体" w:cs="Times New Roman"/>
                <w:color w:val="auto"/>
                <w:spacing w:val="-14"/>
                <w:sz w:val="24"/>
                <w:szCs w:val="24"/>
                <w:lang w:eastAsia="zh-CN"/>
              </w:rPr>
              <w:t>）；</w:t>
            </w:r>
          </w:p>
          <w:p w14:paraId="2E5F7891">
            <w:pPr>
              <w:pStyle w:val="23"/>
              <w:widowControl w:val="0"/>
              <w:kinsoku/>
              <w:spacing w:before="32" w:line="360" w:lineRule="auto"/>
              <w:ind w:firstLine="1280" w:firstLineChars="5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8"/>
                <w:sz w:val="24"/>
                <w:szCs w:val="24"/>
                <w:lang w:eastAsia="zh-CN"/>
              </w:rPr>
              <w:t>h——井深（m</w:t>
            </w:r>
            <w:r>
              <w:rPr>
                <w:rFonts w:hint="default" w:ascii="Times New Roman" w:hAnsi="Times New Roman" w:eastAsia="宋体" w:cs="Times New Roman"/>
                <w:color w:val="auto"/>
                <w:spacing w:val="-12"/>
                <w:sz w:val="24"/>
                <w:szCs w:val="24"/>
                <w:lang w:eastAsia="zh-CN"/>
              </w:rPr>
              <w:t>）；</w:t>
            </w:r>
          </w:p>
          <w:p w14:paraId="1FA131B0">
            <w:pPr>
              <w:pStyle w:val="2"/>
              <w:widowControl w:val="0"/>
              <w:kinsoku/>
              <w:spacing w:line="360" w:lineRule="auto"/>
              <w:ind w:firstLine="472"/>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2"/>
                <w:sz w:val="24"/>
                <w:szCs w:val="24"/>
                <w:lang w:eastAsia="zh-CN"/>
              </w:rPr>
              <w:t>泥浆产生量详见下表4-</w:t>
            </w:r>
            <w:r>
              <w:rPr>
                <w:rFonts w:hint="default" w:ascii="Times New Roman" w:hAnsi="Times New Roman" w:eastAsia="宋体"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lang w:eastAsia="zh-CN"/>
              </w:rPr>
              <w:t>。</w:t>
            </w:r>
          </w:p>
          <w:p w14:paraId="05FBECB5">
            <w:pPr>
              <w:pStyle w:val="2"/>
              <w:widowControl w:val="0"/>
              <w:kinsoku/>
              <w:ind w:firstLine="0" w:firstLineChars="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表4-</w:t>
            </w: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eastAsia="zh-CN"/>
              </w:rPr>
              <w:t xml:space="preserve"> 钻井泥浆产生量一览表</w:t>
            </w:r>
          </w:p>
          <w:tbl>
            <w:tblPr>
              <w:tblStyle w:val="17"/>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4"/>
              <w:gridCol w:w="1086"/>
              <w:gridCol w:w="868"/>
              <w:gridCol w:w="1101"/>
              <w:gridCol w:w="4580"/>
            </w:tblGrid>
            <w:tr w14:paraId="08CBF953">
              <w:trPr>
                <w:trHeight w:val="193" w:hRule="atLeast"/>
                <w:jc w:val="center"/>
              </w:trPr>
              <w:tc>
                <w:tcPr>
                  <w:tcW w:w="269" w:type="pct"/>
                  <w:tcBorders>
                    <w:top w:val="single" w:color="auto" w:sz="4" w:space="0"/>
                    <w:left w:val="single" w:color="auto" w:sz="0" w:space="0"/>
                    <w:bottom w:val="single" w:color="auto" w:sz="4" w:space="0"/>
                    <w:right w:val="single" w:color="auto" w:sz="4" w:space="0"/>
                  </w:tcBorders>
                  <w:vAlign w:val="center"/>
                </w:tcPr>
                <w:p w14:paraId="2CB47EF9">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开钻</w:t>
                  </w:r>
                </w:p>
                <w:p w14:paraId="2377D82C">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次序</w:t>
                  </w:r>
                </w:p>
              </w:tc>
              <w:tc>
                <w:tcPr>
                  <w:tcW w:w="673" w:type="pct"/>
                  <w:tcBorders>
                    <w:top w:val="single" w:color="auto" w:sz="4" w:space="0"/>
                    <w:left w:val="single" w:color="auto" w:sz="4" w:space="0"/>
                    <w:bottom w:val="single" w:color="auto" w:sz="4" w:space="0"/>
                    <w:right w:val="single" w:color="auto" w:sz="4" w:space="0"/>
                  </w:tcBorders>
                  <w:vAlign w:val="center"/>
                </w:tcPr>
                <w:p w14:paraId="47ACCEED">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钻井液类型</w:t>
                  </w:r>
                </w:p>
              </w:tc>
              <w:tc>
                <w:tcPr>
                  <w:tcW w:w="538" w:type="pct"/>
                  <w:tcBorders>
                    <w:top w:val="single" w:color="auto" w:sz="4" w:space="0"/>
                    <w:left w:val="single" w:color="auto" w:sz="4" w:space="0"/>
                    <w:bottom w:val="single" w:color="auto" w:sz="4" w:space="0"/>
                    <w:right w:val="single" w:color="auto" w:sz="4" w:space="0"/>
                  </w:tcBorders>
                  <w:vAlign w:val="center"/>
                </w:tcPr>
                <w:p w14:paraId="4B8B23C0">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钻头尺寸</w:t>
                  </w:r>
                </w:p>
                <w:p w14:paraId="33E76BCB">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(mm)</w:t>
                  </w:r>
                </w:p>
              </w:tc>
              <w:tc>
                <w:tcPr>
                  <w:tcW w:w="681" w:type="pct"/>
                  <w:tcBorders>
                    <w:top w:val="single" w:color="auto" w:sz="4" w:space="0"/>
                    <w:left w:val="single" w:color="auto" w:sz="4" w:space="0"/>
                    <w:bottom w:val="single" w:color="auto" w:sz="4" w:space="0"/>
                    <w:right w:val="single" w:color="auto" w:sz="4" w:space="0"/>
                  </w:tcBorders>
                  <w:vAlign w:val="center"/>
                </w:tcPr>
                <w:p w14:paraId="501F2BED">
                  <w:pPr>
                    <w:pStyle w:val="23"/>
                    <w:kinsoku/>
                    <w:spacing w:before="60"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lang w:eastAsia="zh-CN"/>
                    </w:rPr>
                    <w:t>井段（m）</w:t>
                  </w:r>
                </w:p>
              </w:tc>
              <w:tc>
                <w:tcPr>
                  <w:tcW w:w="2837" w:type="pct"/>
                  <w:tcBorders>
                    <w:top w:val="single" w:color="auto" w:sz="4" w:space="0"/>
                    <w:left w:val="single" w:color="auto" w:sz="4" w:space="0"/>
                    <w:bottom w:val="single" w:color="auto" w:sz="4" w:space="0"/>
                    <w:right w:val="single" w:color="auto" w:sz="4" w:space="0"/>
                  </w:tcBorders>
                  <w:vAlign w:val="center"/>
                </w:tcPr>
                <w:p w14:paraId="56E5137D">
                  <w:pPr>
                    <w:pStyle w:val="23"/>
                    <w:kinsoku/>
                    <w:spacing w:before="60" w:line="228" w:lineRule="auto"/>
                    <w:jc w:val="center"/>
                    <w:rPr>
                      <w:rFonts w:hint="default" w:ascii="Times New Roman" w:hAnsi="Times New Roman" w:eastAsia="宋体" w:cs="Times New Roman"/>
                      <w:b/>
                      <w:bCs/>
                      <w:color w:val="auto"/>
                      <w:spacing w:val="4"/>
                      <w:sz w:val="21"/>
                      <w:szCs w:val="21"/>
                      <w:highlight w:val="none"/>
                      <w:lang w:eastAsia="zh-CN"/>
                    </w:rPr>
                  </w:pPr>
                  <w:r>
                    <w:rPr>
                      <w:rFonts w:hint="default" w:ascii="Times New Roman" w:hAnsi="Times New Roman" w:eastAsia="宋体" w:cs="Times New Roman"/>
                      <w:b/>
                      <w:bCs/>
                      <w:color w:val="auto"/>
                      <w:spacing w:val="7"/>
                      <w:sz w:val="21"/>
                      <w:szCs w:val="21"/>
                      <w:highlight w:val="none"/>
                      <w:lang w:eastAsia="zh-CN"/>
                    </w:rPr>
                    <w:t>泥浆产生量</w:t>
                  </w:r>
                </w:p>
                <w:p w14:paraId="2D298DEF">
                  <w:pPr>
                    <w:pStyle w:val="23"/>
                    <w:kinsoku/>
                    <w:spacing w:before="60" w:line="228"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4"/>
                      <w:sz w:val="21"/>
                      <w:szCs w:val="21"/>
                      <w:highlight w:val="none"/>
                      <w:lang w:eastAsia="zh-CN"/>
                    </w:rPr>
                    <w:t>（</w:t>
                  </w:r>
                  <w:r>
                    <w:rPr>
                      <w:rFonts w:hint="default" w:ascii="Times New Roman" w:hAnsi="Times New Roman" w:eastAsia="宋体" w:cs="Times New Roman"/>
                      <w:b/>
                      <w:bCs/>
                      <w:color w:val="auto"/>
                      <w:spacing w:val="1"/>
                      <w:sz w:val="21"/>
                      <w:szCs w:val="21"/>
                      <w:highlight w:val="none"/>
                      <w:lang w:eastAsia="zh-CN"/>
                    </w:rPr>
                    <w:t>m</w:t>
                  </w:r>
                  <w:r>
                    <w:rPr>
                      <w:rFonts w:hint="default" w:ascii="Times New Roman" w:hAnsi="Times New Roman" w:eastAsia="宋体" w:cs="Times New Roman"/>
                      <w:b/>
                      <w:bCs/>
                      <w:color w:val="auto"/>
                      <w:spacing w:val="1"/>
                      <w:sz w:val="21"/>
                      <w:szCs w:val="21"/>
                      <w:highlight w:val="none"/>
                      <w:vertAlign w:val="superscript"/>
                      <w:lang w:eastAsia="zh-CN"/>
                    </w:rPr>
                    <w:t>3</w:t>
                  </w:r>
                  <w:r>
                    <w:rPr>
                      <w:rFonts w:hint="default" w:ascii="Times New Roman" w:hAnsi="Times New Roman" w:eastAsia="宋体" w:cs="Times New Roman"/>
                      <w:b/>
                      <w:bCs/>
                      <w:color w:val="auto"/>
                      <w:spacing w:val="4"/>
                      <w:sz w:val="21"/>
                      <w:szCs w:val="21"/>
                      <w:highlight w:val="none"/>
                      <w:lang w:eastAsia="zh-CN"/>
                    </w:rPr>
                    <w:t>）</w:t>
                  </w:r>
                </w:p>
              </w:tc>
            </w:tr>
            <w:tr w14:paraId="40438565">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DC9C2CF">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rPr>
                    <w:t>阜2602</w:t>
                  </w:r>
                </w:p>
              </w:tc>
            </w:tr>
            <w:tr w14:paraId="391F209B">
              <w:trPr>
                <w:trHeight w:val="193" w:hRule="atLeast"/>
                <w:jc w:val="center"/>
              </w:trPr>
              <w:tc>
                <w:tcPr>
                  <w:tcW w:w="269" w:type="pct"/>
                  <w:tcBorders>
                    <w:top w:val="single" w:color="auto" w:sz="4" w:space="0"/>
                    <w:left w:val="single" w:color="auto" w:sz="4" w:space="0"/>
                    <w:bottom w:val="single" w:color="auto" w:sz="4" w:space="0"/>
                    <w:right w:val="single" w:color="auto" w:sz="4" w:space="0"/>
                  </w:tcBorders>
                  <w:vAlign w:val="center"/>
                </w:tcPr>
                <w:p w14:paraId="142898B5">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导眼</w:t>
                  </w:r>
                </w:p>
              </w:tc>
              <w:tc>
                <w:tcPr>
                  <w:tcW w:w="673" w:type="pct"/>
                  <w:tcBorders>
                    <w:top w:val="single" w:color="auto" w:sz="4" w:space="0"/>
                    <w:left w:val="single" w:color="auto" w:sz="4" w:space="0"/>
                    <w:right w:val="single" w:color="auto" w:sz="4" w:space="0"/>
                  </w:tcBorders>
                  <w:vAlign w:val="center"/>
                </w:tcPr>
                <w:p w14:paraId="74770A07">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水基钻井液</w:t>
                  </w:r>
                </w:p>
              </w:tc>
              <w:tc>
                <w:tcPr>
                  <w:tcW w:w="538" w:type="pct"/>
                  <w:tcBorders>
                    <w:top w:val="single" w:color="auto" w:sz="4" w:space="0"/>
                    <w:left w:val="single" w:color="auto" w:sz="4" w:space="0"/>
                    <w:bottom w:val="single" w:color="auto" w:sz="4" w:space="0"/>
                    <w:right w:val="single" w:color="auto" w:sz="4" w:space="0"/>
                  </w:tcBorders>
                  <w:vAlign w:val="center"/>
                </w:tcPr>
                <w:p w14:paraId="15C8AA2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Φ660</w:t>
                  </w:r>
                </w:p>
              </w:tc>
              <w:tc>
                <w:tcPr>
                  <w:tcW w:w="681" w:type="pct"/>
                  <w:tcBorders>
                    <w:top w:val="single" w:color="auto" w:sz="4" w:space="0"/>
                    <w:left w:val="single" w:color="auto" w:sz="4" w:space="0"/>
                    <w:bottom w:val="single" w:color="auto" w:sz="4" w:space="0"/>
                    <w:right w:val="single" w:color="auto" w:sz="4" w:space="0"/>
                  </w:tcBorders>
                  <w:vAlign w:val="center"/>
                </w:tcPr>
                <w:p w14:paraId="4E354F19">
                  <w:pPr>
                    <w:kinsoku/>
                    <w:jc w:val="center"/>
                    <w:textAlignment w:val="center"/>
                    <w:rPr>
                      <w:rFonts w:hint="default" w:ascii="Times New Roman" w:hAnsi="Times New Roman" w:eastAsia="宋体" w:cs="Times New Roman"/>
                      <w:color w:val="auto"/>
                      <w:highlight w:val="none"/>
                      <w:lang w:val="zh-CN" w:eastAsia="zh-CN" w:bidi="ar"/>
                    </w:rPr>
                  </w:pPr>
                  <w:r>
                    <w:rPr>
                      <w:rFonts w:hint="default" w:ascii="Times New Roman" w:hAnsi="Times New Roman" w:eastAsia="宋体" w:cs="Times New Roman"/>
                      <w:color w:val="auto"/>
                      <w:highlight w:val="none"/>
                      <w:lang w:eastAsia="zh-CN" w:bidi="ar"/>
                    </w:rPr>
                    <w:t>0-30</w:t>
                  </w:r>
                </w:p>
              </w:tc>
              <w:tc>
                <w:tcPr>
                  <w:tcW w:w="2837" w:type="pct"/>
                  <w:vMerge w:val="restart"/>
                  <w:tcBorders>
                    <w:top w:val="single" w:color="auto" w:sz="4" w:space="0"/>
                    <w:left w:val="single" w:color="auto" w:sz="4" w:space="0"/>
                    <w:right w:val="single" w:color="auto" w:sz="4" w:space="0"/>
                  </w:tcBorders>
                  <w:vAlign w:val="center"/>
                </w:tcPr>
                <w:p w14:paraId="42D460FD">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171.20</w:t>
                  </w:r>
                </w:p>
              </w:tc>
            </w:tr>
            <w:tr w14:paraId="5812E46A">
              <w:trPr>
                <w:trHeight w:val="193" w:hRule="atLeast"/>
                <w:jc w:val="center"/>
              </w:trPr>
              <w:tc>
                <w:tcPr>
                  <w:tcW w:w="269" w:type="pct"/>
                  <w:tcBorders>
                    <w:top w:val="single" w:color="auto" w:sz="4" w:space="0"/>
                    <w:left w:val="single" w:color="auto" w:sz="4" w:space="0"/>
                    <w:bottom w:val="single" w:color="auto" w:sz="4" w:space="0"/>
                    <w:right w:val="single" w:color="auto" w:sz="4" w:space="0"/>
                  </w:tcBorders>
                  <w:vAlign w:val="center"/>
                </w:tcPr>
                <w:p w14:paraId="7A329D24">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一开</w:t>
                  </w:r>
                </w:p>
              </w:tc>
              <w:tc>
                <w:tcPr>
                  <w:tcW w:w="673" w:type="pct"/>
                  <w:tcBorders>
                    <w:left w:val="single" w:color="auto" w:sz="4" w:space="0"/>
                    <w:right w:val="single" w:color="auto" w:sz="4" w:space="0"/>
                  </w:tcBorders>
                  <w:vAlign w:val="center"/>
                </w:tcPr>
                <w:p w14:paraId="02C36F2F">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水基钻井液</w:t>
                  </w:r>
                </w:p>
              </w:tc>
              <w:tc>
                <w:tcPr>
                  <w:tcW w:w="538" w:type="pct"/>
                  <w:tcBorders>
                    <w:top w:val="single" w:color="auto" w:sz="4" w:space="0"/>
                    <w:left w:val="single" w:color="auto" w:sz="4" w:space="0"/>
                    <w:bottom w:val="single" w:color="auto" w:sz="4" w:space="0"/>
                    <w:right w:val="single" w:color="auto" w:sz="4" w:space="0"/>
                  </w:tcBorders>
                  <w:vAlign w:val="center"/>
                </w:tcPr>
                <w:p w14:paraId="1E8D105A">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Φ375</w:t>
                  </w:r>
                </w:p>
              </w:tc>
              <w:tc>
                <w:tcPr>
                  <w:tcW w:w="681" w:type="pct"/>
                  <w:tcBorders>
                    <w:top w:val="single" w:color="auto" w:sz="4" w:space="0"/>
                    <w:left w:val="single" w:color="auto" w:sz="4" w:space="0"/>
                    <w:bottom w:val="single" w:color="auto" w:sz="4" w:space="0"/>
                    <w:right w:val="single" w:color="auto" w:sz="4" w:space="0"/>
                  </w:tcBorders>
                  <w:vAlign w:val="center"/>
                </w:tcPr>
                <w:p w14:paraId="24B921F8">
                  <w:pPr>
                    <w:kinsoku/>
                    <w:jc w:val="center"/>
                    <w:textAlignment w:val="center"/>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eastAsia="zh-CN" w:bidi="ar"/>
                    </w:rPr>
                    <w:t>30-</w:t>
                  </w:r>
                  <w:r>
                    <w:rPr>
                      <w:rFonts w:hint="eastAsia" w:ascii="Times New Roman" w:hAnsi="Times New Roman" w:eastAsia="宋体" w:cs="Times New Roman"/>
                      <w:color w:val="auto"/>
                      <w:highlight w:val="none"/>
                      <w:lang w:val="en-US" w:eastAsia="zh-CN" w:bidi="ar"/>
                    </w:rPr>
                    <w:t>1000</w:t>
                  </w:r>
                </w:p>
              </w:tc>
              <w:tc>
                <w:tcPr>
                  <w:tcW w:w="2837" w:type="pct"/>
                  <w:vMerge w:val="continue"/>
                  <w:tcBorders>
                    <w:left w:val="single" w:color="auto" w:sz="4" w:space="0"/>
                    <w:bottom w:val="single" w:color="auto" w:sz="4" w:space="0"/>
                    <w:right w:val="single" w:color="auto" w:sz="4" w:space="0"/>
                  </w:tcBorders>
                  <w:vAlign w:val="center"/>
                </w:tcPr>
                <w:p w14:paraId="6D58E655">
                  <w:pPr>
                    <w:kinsoku/>
                    <w:jc w:val="center"/>
                    <w:textAlignment w:val="center"/>
                    <w:rPr>
                      <w:rFonts w:hint="default" w:ascii="Times New Roman" w:hAnsi="Times New Roman" w:eastAsia="宋体" w:cs="Times New Roman"/>
                      <w:color w:val="auto"/>
                      <w:highlight w:val="none"/>
                      <w:lang w:val="en-US" w:eastAsia="zh-CN" w:bidi="ar"/>
                    </w:rPr>
                  </w:pPr>
                </w:p>
              </w:tc>
            </w:tr>
            <w:tr w14:paraId="70EF9144">
              <w:trPr>
                <w:trHeight w:val="221" w:hRule="atLeast"/>
                <w:jc w:val="center"/>
              </w:trPr>
              <w:tc>
                <w:tcPr>
                  <w:tcW w:w="269" w:type="pct"/>
                  <w:vMerge w:val="restart"/>
                  <w:tcBorders>
                    <w:top w:val="single" w:color="auto" w:sz="4" w:space="0"/>
                    <w:left w:val="single" w:color="auto" w:sz="4" w:space="0"/>
                    <w:right w:val="single" w:color="auto" w:sz="4" w:space="0"/>
                  </w:tcBorders>
                  <w:vAlign w:val="center"/>
                </w:tcPr>
                <w:p w14:paraId="67D1A028">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二开</w:t>
                  </w:r>
                </w:p>
              </w:tc>
              <w:tc>
                <w:tcPr>
                  <w:tcW w:w="673" w:type="pct"/>
                  <w:vMerge w:val="restart"/>
                  <w:tcBorders>
                    <w:left w:val="single" w:color="auto" w:sz="4" w:space="0"/>
                    <w:right w:val="single" w:color="auto" w:sz="4" w:space="0"/>
                  </w:tcBorders>
                  <w:vAlign w:val="center"/>
                </w:tcPr>
                <w:p w14:paraId="6FF9FCB7">
                  <w:pPr>
                    <w:pStyle w:val="26"/>
                    <w:rPr>
                      <w:rFonts w:hint="default" w:ascii="Times New Roman" w:hAnsi="Times New Roman" w:eastAsia="宋体" w:cs="Times New Roman"/>
                      <w:b w:val="0"/>
                      <w:bCs w:val="0"/>
                      <w:color w:val="auto"/>
                      <w:szCs w:val="21"/>
                      <w:highlight w:val="none"/>
                      <w:lang w:val="en-US" w:eastAsia="zh-CN"/>
                    </w:rPr>
                  </w:pPr>
                  <w:r>
                    <w:rPr>
                      <w:rFonts w:hint="eastAsia" w:eastAsia="宋体" w:cs="Times New Roman"/>
                      <w:b w:val="0"/>
                      <w:bCs w:val="0"/>
                      <w:color w:val="auto"/>
                      <w:szCs w:val="21"/>
                      <w:highlight w:val="none"/>
                      <w:lang w:val="en-US" w:eastAsia="zh-CN"/>
                    </w:rPr>
                    <w:t>油</w:t>
                  </w:r>
                  <w:r>
                    <w:rPr>
                      <w:rFonts w:hint="default" w:ascii="Times New Roman" w:hAnsi="Times New Roman" w:eastAsia="宋体" w:cs="Times New Roman"/>
                      <w:b w:val="0"/>
                      <w:bCs w:val="0"/>
                      <w:color w:val="auto"/>
                      <w:szCs w:val="21"/>
                      <w:highlight w:val="none"/>
                    </w:rPr>
                    <w:t>基钻井液</w:t>
                  </w:r>
                </w:p>
              </w:tc>
              <w:tc>
                <w:tcPr>
                  <w:tcW w:w="538" w:type="pct"/>
                  <w:tcBorders>
                    <w:top w:val="single" w:color="auto" w:sz="4" w:space="0"/>
                    <w:left w:val="single" w:color="auto" w:sz="4" w:space="0"/>
                    <w:bottom w:val="single" w:color="auto" w:sz="4" w:space="0"/>
                    <w:right w:val="single" w:color="auto" w:sz="4" w:space="0"/>
                  </w:tcBorders>
                  <w:vAlign w:val="center"/>
                </w:tcPr>
                <w:p w14:paraId="6460DEA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Φ2</w:t>
                  </w:r>
                  <w:r>
                    <w:rPr>
                      <w:rFonts w:hint="eastAsia"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1</w:t>
                  </w:r>
                </w:p>
              </w:tc>
              <w:tc>
                <w:tcPr>
                  <w:tcW w:w="681" w:type="pct"/>
                  <w:tcBorders>
                    <w:top w:val="single" w:color="auto" w:sz="4" w:space="0"/>
                    <w:left w:val="single" w:color="auto" w:sz="4" w:space="0"/>
                    <w:bottom w:val="single" w:color="auto" w:sz="4" w:space="0"/>
                    <w:right w:val="single" w:color="auto" w:sz="4" w:space="0"/>
                  </w:tcBorders>
                  <w:vAlign w:val="center"/>
                </w:tcPr>
                <w:p w14:paraId="734BB01F">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1000</w:t>
                  </w:r>
                  <w:r>
                    <w:rPr>
                      <w:rFonts w:hint="default" w:ascii="Times New Roman" w:hAnsi="Times New Roman" w:eastAsia="宋体" w:cs="Times New Roman"/>
                      <w:color w:val="auto"/>
                      <w:highlight w:val="none"/>
                      <w:lang w:eastAsia="zh-CN" w:bidi="ar"/>
                    </w:rPr>
                    <w:t>-</w:t>
                  </w:r>
                  <w:r>
                    <w:rPr>
                      <w:rFonts w:hint="eastAsia" w:ascii="Times New Roman" w:hAnsi="Times New Roman" w:eastAsia="宋体" w:cs="Times New Roman"/>
                      <w:color w:val="auto"/>
                      <w:highlight w:val="none"/>
                      <w:lang w:val="en-US" w:eastAsia="zh-CN" w:bidi="ar"/>
                    </w:rPr>
                    <w:t>3016</w:t>
                  </w:r>
                </w:p>
              </w:tc>
              <w:tc>
                <w:tcPr>
                  <w:tcW w:w="2837" w:type="pct"/>
                  <w:vMerge w:val="restart"/>
                  <w:tcBorders>
                    <w:top w:val="single" w:color="auto" w:sz="4" w:space="0"/>
                    <w:left w:val="single" w:color="auto" w:sz="4" w:space="0"/>
                    <w:right w:val="single" w:color="auto" w:sz="4" w:space="0"/>
                  </w:tcBorders>
                  <w:vAlign w:val="center"/>
                </w:tcPr>
                <w:p w14:paraId="39B07937">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287.90</w:t>
                  </w:r>
                </w:p>
              </w:tc>
            </w:tr>
            <w:tr w14:paraId="47D09EF0">
              <w:trPr>
                <w:trHeight w:val="271" w:hRule="atLeast"/>
                <w:jc w:val="center"/>
              </w:trPr>
              <w:tc>
                <w:tcPr>
                  <w:tcW w:w="269" w:type="pct"/>
                  <w:vMerge w:val="continue"/>
                  <w:tcBorders>
                    <w:left w:val="single" w:color="auto" w:sz="4" w:space="0"/>
                    <w:bottom w:val="single" w:color="auto" w:sz="4" w:space="0"/>
                    <w:right w:val="single" w:color="auto" w:sz="4" w:space="0"/>
                  </w:tcBorders>
                  <w:vAlign w:val="center"/>
                </w:tcPr>
                <w:p w14:paraId="18130B95">
                  <w:pPr>
                    <w:pStyle w:val="26"/>
                    <w:rPr>
                      <w:rFonts w:hint="default" w:ascii="Times New Roman" w:hAnsi="Times New Roman" w:eastAsia="宋体" w:cs="Times New Roman"/>
                      <w:b w:val="0"/>
                      <w:bCs w:val="0"/>
                      <w:color w:val="auto"/>
                      <w:szCs w:val="21"/>
                      <w:highlight w:val="none"/>
                    </w:rPr>
                  </w:pPr>
                </w:p>
              </w:tc>
              <w:tc>
                <w:tcPr>
                  <w:tcW w:w="673" w:type="pct"/>
                  <w:vMerge w:val="continue"/>
                  <w:tcBorders>
                    <w:left w:val="single" w:color="auto" w:sz="4" w:space="0"/>
                    <w:right w:val="single" w:color="auto" w:sz="4" w:space="0"/>
                  </w:tcBorders>
                  <w:vAlign w:val="center"/>
                </w:tcPr>
                <w:p w14:paraId="67BCCD4C">
                  <w:pPr>
                    <w:pStyle w:val="26"/>
                    <w:rPr>
                      <w:rFonts w:hint="eastAsia" w:eastAsia="宋体" w:cs="Times New Roman"/>
                      <w:b w:val="0"/>
                      <w:bCs w:val="0"/>
                      <w:color w:val="auto"/>
                      <w:szCs w:val="21"/>
                      <w:highlight w:val="none"/>
                      <w:lang w:val="en-US" w:eastAsia="zh-CN"/>
                    </w:rPr>
                  </w:pPr>
                </w:p>
              </w:tc>
              <w:tc>
                <w:tcPr>
                  <w:tcW w:w="538" w:type="pct"/>
                  <w:tcBorders>
                    <w:top w:val="single" w:color="auto" w:sz="4" w:space="0"/>
                    <w:left w:val="single" w:color="auto" w:sz="4" w:space="0"/>
                    <w:bottom w:val="single" w:color="auto" w:sz="4" w:space="0"/>
                    <w:right w:val="single" w:color="auto" w:sz="4" w:space="0"/>
                  </w:tcBorders>
                  <w:vAlign w:val="center"/>
                </w:tcPr>
                <w:p w14:paraId="05EA31FA">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rPr>
                    <w:t>Φ2</w:t>
                  </w:r>
                  <w:r>
                    <w:rPr>
                      <w:rFonts w:hint="eastAsia" w:eastAsia="宋体" w:cs="Times New Roman"/>
                      <w:b w:val="0"/>
                      <w:bCs w:val="0"/>
                      <w:color w:val="auto"/>
                      <w:sz w:val="21"/>
                      <w:szCs w:val="21"/>
                      <w:highlight w:val="none"/>
                      <w:lang w:val="en-US" w:eastAsia="zh-CN"/>
                    </w:rPr>
                    <w:t>16</w:t>
                  </w:r>
                </w:p>
              </w:tc>
              <w:tc>
                <w:tcPr>
                  <w:tcW w:w="681" w:type="pct"/>
                  <w:tcBorders>
                    <w:top w:val="single" w:color="auto" w:sz="4" w:space="0"/>
                    <w:left w:val="single" w:color="auto" w:sz="4" w:space="0"/>
                    <w:bottom w:val="single" w:color="auto" w:sz="4" w:space="0"/>
                    <w:right w:val="single" w:color="auto" w:sz="4" w:space="0"/>
                  </w:tcBorders>
                  <w:vAlign w:val="center"/>
                </w:tcPr>
                <w:p w14:paraId="15B093E6">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3016-3827.83</w:t>
                  </w:r>
                </w:p>
              </w:tc>
              <w:tc>
                <w:tcPr>
                  <w:tcW w:w="2837" w:type="pct"/>
                  <w:vMerge w:val="continue"/>
                  <w:tcBorders>
                    <w:left w:val="single" w:color="auto" w:sz="4" w:space="0"/>
                    <w:bottom w:val="single" w:color="auto" w:sz="4" w:space="0"/>
                    <w:right w:val="single" w:color="auto" w:sz="4" w:space="0"/>
                  </w:tcBorders>
                  <w:vAlign w:val="center"/>
                </w:tcPr>
                <w:p w14:paraId="32F93A3A">
                  <w:pPr>
                    <w:kinsoku/>
                    <w:jc w:val="center"/>
                    <w:textAlignment w:val="center"/>
                    <w:rPr>
                      <w:rFonts w:hint="eastAsia" w:ascii="Times New Roman" w:hAnsi="Times New Roman" w:eastAsia="宋体" w:cs="Times New Roman"/>
                      <w:color w:val="auto"/>
                      <w:highlight w:val="none"/>
                      <w:lang w:val="en-US" w:eastAsia="zh-CN" w:bidi="ar"/>
                    </w:rPr>
                  </w:pPr>
                </w:p>
              </w:tc>
            </w:tr>
            <w:tr w14:paraId="598DCF6F">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1B2F5D5">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rPr>
                    <w:t>阜2602</w:t>
                  </w:r>
                  <w:r>
                    <w:rPr>
                      <w:rFonts w:hint="default" w:ascii="Times New Roman" w:hAnsi="Times New Roman" w:eastAsia="宋体" w:cs="Times New Roman"/>
                      <w:color w:val="auto"/>
                      <w:highlight w:val="none"/>
                      <w:lang w:val="en-US" w:eastAsia="zh-CN"/>
                    </w:rPr>
                    <w:t>-1</w:t>
                  </w:r>
                </w:p>
              </w:tc>
            </w:tr>
            <w:tr w14:paraId="10830039">
              <w:trPr>
                <w:trHeight w:val="193" w:hRule="atLeast"/>
                <w:jc w:val="center"/>
              </w:trPr>
              <w:tc>
                <w:tcPr>
                  <w:tcW w:w="269" w:type="pct"/>
                  <w:tcBorders>
                    <w:top w:val="single" w:color="auto" w:sz="4" w:space="0"/>
                    <w:left w:val="single" w:color="auto" w:sz="4" w:space="0"/>
                    <w:bottom w:val="single" w:color="auto" w:sz="4" w:space="0"/>
                    <w:right w:val="single" w:color="auto" w:sz="4" w:space="0"/>
                  </w:tcBorders>
                  <w:vAlign w:val="center"/>
                </w:tcPr>
                <w:p w14:paraId="53EC18F9">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导眼</w:t>
                  </w:r>
                </w:p>
              </w:tc>
              <w:tc>
                <w:tcPr>
                  <w:tcW w:w="673" w:type="pct"/>
                  <w:tcBorders>
                    <w:left w:val="single" w:color="auto" w:sz="4" w:space="0"/>
                    <w:right w:val="single" w:color="auto" w:sz="4" w:space="0"/>
                  </w:tcBorders>
                  <w:vAlign w:val="center"/>
                </w:tcPr>
                <w:p w14:paraId="2386E299">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水基钻井液</w:t>
                  </w:r>
                </w:p>
              </w:tc>
              <w:tc>
                <w:tcPr>
                  <w:tcW w:w="538" w:type="pct"/>
                  <w:tcBorders>
                    <w:top w:val="single" w:color="auto" w:sz="4" w:space="0"/>
                    <w:left w:val="single" w:color="auto" w:sz="4" w:space="0"/>
                    <w:bottom w:val="single" w:color="auto" w:sz="4" w:space="0"/>
                    <w:right w:val="single" w:color="auto" w:sz="4" w:space="0"/>
                  </w:tcBorders>
                  <w:vAlign w:val="center"/>
                </w:tcPr>
                <w:p w14:paraId="08AFCEC5">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Φ660</w:t>
                  </w:r>
                </w:p>
              </w:tc>
              <w:tc>
                <w:tcPr>
                  <w:tcW w:w="681" w:type="pct"/>
                  <w:tcBorders>
                    <w:top w:val="single" w:color="auto" w:sz="4" w:space="0"/>
                    <w:left w:val="single" w:color="auto" w:sz="4" w:space="0"/>
                    <w:bottom w:val="single" w:color="auto" w:sz="4" w:space="0"/>
                    <w:right w:val="single" w:color="auto" w:sz="4" w:space="0"/>
                  </w:tcBorders>
                  <w:vAlign w:val="center"/>
                </w:tcPr>
                <w:p w14:paraId="5B9BFE1B">
                  <w:pPr>
                    <w:kinsoku/>
                    <w:jc w:val="center"/>
                    <w:textAlignment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0-30</w:t>
                  </w:r>
                </w:p>
              </w:tc>
              <w:tc>
                <w:tcPr>
                  <w:tcW w:w="2837" w:type="pct"/>
                  <w:vMerge w:val="restart"/>
                  <w:tcBorders>
                    <w:top w:val="single" w:color="auto" w:sz="4" w:space="0"/>
                    <w:left w:val="single" w:color="auto" w:sz="4" w:space="0"/>
                    <w:right w:val="single" w:color="auto" w:sz="4" w:space="0"/>
                  </w:tcBorders>
                  <w:vAlign w:val="center"/>
                </w:tcPr>
                <w:p w14:paraId="0694A6B7">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 xml:space="preserve">171.20 </w:t>
                  </w:r>
                </w:p>
              </w:tc>
            </w:tr>
            <w:tr w14:paraId="59CEF674">
              <w:trPr>
                <w:trHeight w:val="193" w:hRule="atLeast"/>
                <w:jc w:val="center"/>
              </w:trPr>
              <w:tc>
                <w:tcPr>
                  <w:tcW w:w="269" w:type="pct"/>
                  <w:tcBorders>
                    <w:top w:val="single" w:color="auto" w:sz="4" w:space="0"/>
                    <w:left w:val="single" w:color="auto" w:sz="4" w:space="0"/>
                    <w:bottom w:val="single" w:color="auto" w:sz="4" w:space="0"/>
                    <w:right w:val="single" w:color="auto" w:sz="4" w:space="0"/>
                  </w:tcBorders>
                  <w:vAlign w:val="center"/>
                </w:tcPr>
                <w:p w14:paraId="305BB41C">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一开</w:t>
                  </w:r>
                </w:p>
              </w:tc>
              <w:tc>
                <w:tcPr>
                  <w:tcW w:w="673" w:type="pct"/>
                  <w:tcBorders>
                    <w:left w:val="single" w:color="auto" w:sz="4" w:space="0"/>
                    <w:right w:val="single" w:color="auto" w:sz="4" w:space="0"/>
                  </w:tcBorders>
                  <w:vAlign w:val="center"/>
                </w:tcPr>
                <w:p w14:paraId="49196765">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水基钻井液</w:t>
                  </w:r>
                </w:p>
              </w:tc>
              <w:tc>
                <w:tcPr>
                  <w:tcW w:w="538" w:type="pct"/>
                  <w:tcBorders>
                    <w:top w:val="single" w:color="auto" w:sz="4" w:space="0"/>
                    <w:left w:val="single" w:color="auto" w:sz="4" w:space="0"/>
                    <w:bottom w:val="single" w:color="auto" w:sz="4" w:space="0"/>
                    <w:right w:val="single" w:color="auto" w:sz="4" w:space="0"/>
                  </w:tcBorders>
                  <w:vAlign w:val="center"/>
                </w:tcPr>
                <w:p w14:paraId="6EA063A2">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Φ375</w:t>
                  </w:r>
                </w:p>
              </w:tc>
              <w:tc>
                <w:tcPr>
                  <w:tcW w:w="681" w:type="pct"/>
                  <w:tcBorders>
                    <w:top w:val="single" w:color="auto" w:sz="4" w:space="0"/>
                    <w:left w:val="single" w:color="auto" w:sz="4" w:space="0"/>
                    <w:bottom w:val="single" w:color="auto" w:sz="4" w:space="0"/>
                    <w:right w:val="single" w:color="auto" w:sz="4" w:space="0"/>
                  </w:tcBorders>
                  <w:vAlign w:val="center"/>
                </w:tcPr>
                <w:p w14:paraId="1A1B24CE">
                  <w:pPr>
                    <w:kinsoku/>
                    <w:jc w:val="center"/>
                    <w:textAlignment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30-</w:t>
                  </w:r>
                  <w:r>
                    <w:rPr>
                      <w:rFonts w:hint="eastAsia" w:ascii="Times New Roman" w:hAnsi="Times New Roman" w:eastAsia="宋体" w:cs="Times New Roman"/>
                      <w:color w:val="auto"/>
                      <w:highlight w:val="none"/>
                      <w:lang w:val="en-US" w:eastAsia="zh-CN" w:bidi="ar"/>
                    </w:rPr>
                    <w:t>1000</w:t>
                  </w:r>
                </w:p>
              </w:tc>
              <w:tc>
                <w:tcPr>
                  <w:tcW w:w="2837" w:type="pct"/>
                  <w:vMerge w:val="continue"/>
                  <w:tcBorders>
                    <w:left w:val="single" w:color="auto" w:sz="4" w:space="0"/>
                    <w:bottom w:val="single" w:color="auto" w:sz="4" w:space="0"/>
                    <w:right w:val="single" w:color="auto" w:sz="4" w:space="0"/>
                  </w:tcBorders>
                  <w:vAlign w:val="center"/>
                </w:tcPr>
                <w:p w14:paraId="1E5FBC7E">
                  <w:pPr>
                    <w:kinsoku/>
                    <w:jc w:val="center"/>
                    <w:textAlignment w:val="center"/>
                    <w:rPr>
                      <w:rFonts w:hint="default" w:ascii="Times New Roman" w:hAnsi="Times New Roman" w:eastAsia="宋体" w:cs="Times New Roman"/>
                      <w:color w:val="auto"/>
                      <w:highlight w:val="none"/>
                      <w:lang w:val="en-US" w:eastAsia="zh-CN" w:bidi="ar"/>
                    </w:rPr>
                  </w:pPr>
                </w:p>
              </w:tc>
            </w:tr>
            <w:tr w14:paraId="1E3B7336">
              <w:trPr>
                <w:trHeight w:val="266" w:hRule="atLeast"/>
                <w:jc w:val="center"/>
              </w:trPr>
              <w:tc>
                <w:tcPr>
                  <w:tcW w:w="269" w:type="pct"/>
                  <w:vMerge w:val="restart"/>
                  <w:tcBorders>
                    <w:top w:val="single" w:color="auto" w:sz="4" w:space="0"/>
                    <w:left w:val="single" w:color="auto" w:sz="4" w:space="0"/>
                    <w:right w:val="single" w:color="auto" w:sz="4" w:space="0"/>
                  </w:tcBorders>
                  <w:vAlign w:val="center"/>
                </w:tcPr>
                <w:p w14:paraId="73D1A152">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二开</w:t>
                  </w:r>
                </w:p>
              </w:tc>
              <w:tc>
                <w:tcPr>
                  <w:tcW w:w="673" w:type="pct"/>
                  <w:vMerge w:val="restart"/>
                  <w:tcBorders>
                    <w:left w:val="single" w:color="auto" w:sz="4" w:space="0"/>
                    <w:right w:val="single" w:color="auto" w:sz="4" w:space="0"/>
                  </w:tcBorders>
                  <w:vAlign w:val="center"/>
                </w:tcPr>
                <w:p w14:paraId="4C26B72E">
                  <w:pPr>
                    <w:pStyle w:val="26"/>
                    <w:rPr>
                      <w:rFonts w:hint="default" w:ascii="Times New Roman" w:hAnsi="Times New Roman" w:eastAsia="宋体" w:cs="Times New Roman"/>
                      <w:b w:val="0"/>
                      <w:bCs w:val="0"/>
                      <w:color w:val="auto"/>
                      <w:szCs w:val="21"/>
                      <w:highlight w:val="none"/>
                    </w:rPr>
                  </w:pPr>
                  <w:r>
                    <w:rPr>
                      <w:rFonts w:hint="eastAsia" w:eastAsia="宋体" w:cs="Times New Roman"/>
                      <w:b w:val="0"/>
                      <w:bCs w:val="0"/>
                      <w:color w:val="auto"/>
                      <w:szCs w:val="21"/>
                      <w:highlight w:val="none"/>
                      <w:lang w:val="en-US" w:eastAsia="zh-CN"/>
                    </w:rPr>
                    <w:t>油</w:t>
                  </w:r>
                  <w:r>
                    <w:rPr>
                      <w:rFonts w:hint="default" w:ascii="Times New Roman" w:hAnsi="Times New Roman" w:eastAsia="宋体" w:cs="Times New Roman"/>
                      <w:b w:val="0"/>
                      <w:bCs w:val="0"/>
                      <w:color w:val="auto"/>
                      <w:szCs w:val="21"/>
                      <w:highlight w:val="none"/>
                    </w:rPr>
                    <w:t>基钻井液</w:t>
                  </w:r>
                </w:p>
              </w:tc>
              <w:tc>
                <w:tcPr>
                  <w:tcW w:w="868" w:type="dxa"/>
                  <w:tcBorders>
                    <w:top w:val="single" w:color="auto" w:sz="4" w:space="0"/>
                    <w:left w:val="single" w:color="auto" w:sz="4" w:space="0"/>
                    <w:bottom w:val="single" w:color="auto" w:sz="4" w:space="0"/>
                    <w:right w:val="single" w:color="auto" w:sz="4" w:space="0"/>
                  </w:tcBorders>
                  <w:vAlign w:val="center"/>
                </w:tcPr>
                <w:p w14:paraId="044E4B3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Φ2</w:t>
                  </w:r>
                  <w:r>
                    <w:rPr>
                      <w:rFonts w:hint="eastAsia"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1</w:t>
                  </w:r>
                </w:p>
              </w:tc>
              <w:tc>
                <w:tcPr>
                  <w:tcW w:w="1101" w:type="dxa"/>
                  <w:tcBorders>
                    <w:top w:val="single" w:color="auto" w:sz="4" w:space="0"/>
                    <w:left w:val="single" w:color="auto" w:sz="4" w:space="0"/>
                    <w:bottom w:val="single" w:color="auto" w:sz="4" w:space="0"/>
                    <w:right w:val="single" w:color="auto" w:sz="4" w:space="0"/>
                  </w:tcBorders>
                  <w:vAlign w:val="center"/>
                </w:tcPr>
                <w:p w14:paraId="4AA90960">
                  <w:pPr>
                    <w:kinsoku/>
                    <w:jc w:val="center"/>
                    <w:textAlignment w:val="center"/>
                    <w:rPr>
                      <w:rFonts w:hint="default"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highlight w:val="none"/>
                      <w:lang w:val="en-US" w:eastAsia="zh-CN" w:bidi="ar"/>
                    </w:rPr>
                    <w:t>1000</w:t>
                  </w:r>
                  <w:r>
                    <w:rPr>
                      <w:rFonts w:hint="default" w:ascii="Times New Roman" w:hAnsi="Times New Roman" w:eastAsia="宋体" w:cs="Times New Roman"/>
                      <w:color w:val="auto"/>
                      <w:highlight w:val="none"/>
                      <w:lang w:eastAsia="zh-CN" w:bidi="ar"/>
                    </w:rPr>
                    <w:t>-</w:t>
                  </w:r>
                  <w:r>
                    <w:rPr>
                      <w:rFonts w:hint="eastAsia" w:ascii="Times New Roman" w:hAnsi="Times New Roman" w:eastAsia="宋体" w:cs="Times New Roman"/>
                      <w:color w:val="auto"/>
                      <w:highlight w:val="none"/>
                      <w:lang w:val="en-US" w:eastAsia="zh-CN" w:bidi="ar"/>
                    </w:rPr>
                    <w:t>3016</w:t>
                  </w:r>
                </w:p>
              </w:tc>
              <w:tc>
                <w:tcPr>
                  <w:tcW w:w="2837" w:type="pct"/>
                  <w:vMerge w:val="restart"/>
                  <w:tcBorders>
                    <w:top w:val="single" w:color="auto" w:sz="4" w:space="0"/>
                    <w:left w:val="single" w:color="auto" w:sz="4" w:space="0"/>
                    <w:right w:val="single" w:color="auto" w:sz="4" w:space="0"/>
                  </w:tcBorders>
                  <w:vAlign w:val="center"/>
                </w:tcPr>
                <w:p w14:paraId="51D973C7">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287.90</w:t>
                  </w:r>
                </w:p>
              </w:tc>
            </w:tr>
            <w:tr w14:paraId="4FD1AADB">
              <w:trPr>
                <w:trHeight w:val="226" w:hRule="atLeast"/>
                <w:jc w:val="center"/>
              </w:trPr>
              <w:tc>
                <w:tcPr>
                  <w:tcW w:w="269" w:type="pct"/>
                  <w:vMerge w:val="continue"/>
                  <w:tcBorders>
                    <w:left w:val="single" w:color="auto" w:sz="4" w:space="0"/>
                    <w:bottom w:val="single" w:color="auto" w:sz="4" w:space="0"/>
                    <w:right w:val="single" w:color="auto" w:sz="4" w:space="0"/>
                  </w:tcBorders>
                  <w:vAlign w:val="center"/>
                </w:tcPr>
                <w:p w14:paraId="27F30AB2">
                  <w:pPr>
                    <w:pStyle w:val="26"/>
                    <w:rPr>
                      <w:rFonts w:hint="default" w:ascii="Times New Roman" w:hAnsi="Times New Roman" w:eastAsia="宋体" w:cs="Times New Roman"/>
                      <w:b w:val="0"/>
                      <w:bCs w:val="0"/>
                      <w:color w:val="auto"/>
                      <w:szCs w:val="21"/>
                      <w:highlight w:val="none"/>
                    </w:rPr>
                  </w:pPr>
                </w:p>
              </w:tc>
              <w:tc>
                <w:tcPr>
                  <w:tcW w:w="673" w:type="pct"/>
                  <w:vMerge w:val="continue"/>
                  <w:tcBorders>
                    <w:left w:val="single" w:color="auto" w:sz="4" w:space="0"/>
                    <w:right w:val="single" w:color="auto" w:sz="4" w:space="0"/>
                  </w:tcBorders>
                  <w:vAlign w:val="center"/>
                </w:tcPr>
                <w:p w14:paraId="25ED16A3">
                  <w:pPr>
                    <w:pStyle w:val="26"/>
                    <w:rPr>
                      <w:rFonts w:hint="eastAsia" w:eastAsia="宋体" w:cs="Times New Roman"/>
                      <w:b w:val="0"/>
                      <w:bCs w:val="0"/>
                      <w:color w:val="auto"/>
                      <w:szCs w:val="21"/>
                      <w:highlight w:val="none"/>
                      <w:lang w:val="en-US" w:eastAsia="zh-CN"/>
                    </w:rPr>
                  </w:pPr>
                </w:p>
              </w:tc>
              <w:tc>
                <w:tcPr>
                  <w:tcW w:w="868" w:type="dxa"/>
                  <w:tcBorders>
                    <w:top w:val="single" w:color="auto" w:sz="4" w:space="0"/>
                    <w:left w:val="single" w:color="auto" w:sz="4" w:space="0"/>
                    <w:bottom w:val="single" w:color="auto" w:sz="4" w:space="0"/>
                    <w:right w:val="single" w:color="auto" w:sz="4" w:space="0"/>
                  </w:tcBorders>
                  <w:vAlign w:val="center"/>
                </w:tcPr>
                <w:p w14:paraId="1BBF362F">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Φ2</w:t>
                  </w:r>
                  <w:r>
                    <w:rPr>
                      <w:rFonts w:hint="eastAsia" w:eastAsia="宋体" w:cs="Times New Roman"/>
                      <w:b w:val="0"/>
                      <w:bCs w:val="0"/>
                      <w:color w:val="auto"/>
                      <w:sz w:val="21"/>
                      <w:szCs w:val="21"/>
                      <w:highlight w:val="none"/>
                      <w:lang w:val="en-US" w:eastAsia="zh-CN"/>
                    </w:rPr>
                    <w:t>16</w:t>
                  </w:r>
                </w:p>
              </w:tc>
              <w:tc>
                <w:tcPr>
                  <w:tcW w:w="1101" w:type="dxa"/>
                  <w:tcBorders>
                    <w:top w:val="single" w:color="auto" w:sz="4" w:space="0"/>
                    <w:left w:val="single" w:color="auto" w:sz="4" w:space="0"/>
                    <w:bottom w:val="single" w:color="auto" w:sz="4" w:space="0"/>
                    <w:right w:val="single" w:color="auto" w:sz="4" w:space="0"/>
                  </w:tcBorders>
                  <w:vAlign w:val="center"/>
                </w:tcPr>
                <w:p w14:paraId="4366225E">
                  <w:pPr>
                    <w:kinsoku/>
                    <w:jc w:val="center"/>
                    <w:textAlignment w:val="center"/>
                    <w:rPr>
                      <w:rFonts w:hint="eastAsia"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3016-3827.83</w:t>
                  </w:r>
                </w:p>
              </w:tc>
              <w:tc>
                <w:tcPr>
                  <w:tcW w:w="2837" w:type="pct"/>
                  <w:vMerge w:val="continue"/>
                  <w:tcBorders>
                    <w:left w:val="single" w:color="auto" w:sz="4" w:space="0"/>
                    <w:bottom w:val="single" w:color="auto" w:sz="4" w:space="0"/>
                    <w:right w:val="single" w:color="auto" w:sz="4" w:space="0"/>
                  </w:tcBorders>
                  <w:vAlign w:val="center"/>
                </w:tcPr>
                <w:p w14:paraId="2390099F">
                  <w:pPr>
                    <w:kinsoku/>
                    <w:jc w:val="center"/>
                    <w:textAlignment w:val="center"/>
                    <w:rPr>
                      <w:rFonts w:hint="eastAsia" w:ascii="Times New Roman" w:hAnsi="Times New Roman" w:eastAsia="宋体" w:cs="Times New Roman"/>
                      <w:color w:val="auto"/>
                      <w:highlight w:val="none"/>
                      <w:lang w:val="en-US" w:eastAsia="zh-CN" w:bidi="ar"/>
                    </w:rPr>
                  </w:pPr>
                </w:p>
              </w:tc>
            </w:tr>
            <w:tr w14:paraId="1D298743">
              <w:trPr>
                <w:trHeight w:val="193" w:hRule="atLeast"/>
                <w:jc w:val="center"/>
              </w:trPr>
              <w:tc>
                <w:tcPr>
                  <w:tcW w:w="2162" w:type="pct"/>
                  <w:gridSpan w:val="4"/>
                  <w:tcBorders>
                    <w:top w:val="single" w:color="auto" w:sz="4" w:space="0"/>
                    <w:left w:val="single" w:color="auto" w:sz="4" w:space="0"/>
                    <w:bottom w:val="single" w:color="auto" w:sz="4" w:space="0"/>
                    <w:right w:val="single" w:color="auto" w:sz="4" w:space="0"/>
                  </w:tcBorders>
                  <w:vAlign w:val="center"/>
                </w:tcPr>
                <w:p w14:paraId="51EF67D8">
                  <w:pPr>
                    <w:kinsoku/>
                    <w:jc w:val="center"/>
                    <w:textAlignment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rPr>
                    <w:t>合计</w:t>
                  </w:r>
                </w:p>
              </w:tc>
              <w:tc>
                <w:tcPr>
                  <w:tcW w:w="2837" w:type="pct"/>
                  <w:tcBorders>
                    <w:top w:val="single" w:color="auto" w:sz="4" w:space="0"/>
                    <w:left w:val="single" w:color="auto" w:sz="4" w:space="0"/>
                    <w:bottom w:val="single" w:color="auto" w:sz="4" w:space="0"/>
                    <w:right w:val="single" w:color="auto" w:sz="4" w:space="0"/>
                  </w:tcBorders>
                  <w:shd w:val="clear" w:color="auto" w:fill="auto"/>
                  <w:vAlign w:val="center"/>
                </w:tcPr>
                <w:p w14:paraId="686F9EBC">
                  <w:pPr>
                    <w:kinsoku/>
                    <w:jc w:val="center"/>
                    <w:textAlignment w:val="center"/>
                    <w:rPr>
                      <w:rFonts w:hint="default" w:ascii="宋体" w:hAnsi="宋体" w:eastAsia="宋体" w:cs="宋体"/>
                      <w:i w:val="0"/>
                      <w:iCs w:val="0"/>
                      <w:snapToGrid w:val="0"/>
                      <w:color w:val="auto"/>
                      <w:sz w:val="22"/>
                      <w:szCs w:val="22"/>
                      <w:u w:val="none"/>
                      <w:lang w:val="en-US" w:eastAsia="zh-CN" w:bidi="ar-SA"/>
                    </w:rPr>
                  </w:pPr>
                  <w:r>
                    <w:rPr>
                      <w:rFonts w:hint="eastAsia" w:ascii="Times New Roman" w:hAnsi="Times New Roman" w:eastAsia="宋体" w:cs="Times New Roman"/>
                      <w:color w:val="auto"/>
                      <w:highlight w:val="none"/>
                      <w:lang w:val="en-US" w:eastAsia="zh-CN"/>
                    </w:rPr>
                    <w:t>918.19</w:t>
                  </w:r>
                  <w:r>
                    <w:rPr>
                      <w:rFonts w:hint="default" w:ascii="Times New Roman" w:hAnsi="Times New Roman" w:eastAsia="宋体" w:cs="Times New Roman"/>
                      <w:color w:val="auto"/>
                      <w:highlight w:val="none"/>
                      <w:lang w:eastAsia="zh-CN"/>
                    </w:rPr>
                    <w:t>，其中水基泥浆</w:t>
                  </w:r>
                  <w:r>
                    <w:rPr>
                      <w:rFonts w:hint="eastAsia" w:ascii="Times New Roman" w:hAnsi="Times New Roman" w:eastAsia="宋体" w:cs="Times New Roman"/>
                      <w:color w:val="auto"/>
                      <w:highlight w:val="none"/>
                      <w:lang w:val="en-US" w:eastAsia="zh-CN"/>
                    </w:rPr>
                    <w:t>342.39</w:t>
                  </w:r>
                  <w:r>
                    <w:rPr>
                      <w:rFonts w:hint="default" w:ascii="Times New Roman" w:hAnsi="Times New Roman" w:eastAsia="宋体" w:cs="Times New Roman"/>
                      <w:color w:val="auto"/>
                      <w:highlight w:val="none"/>
                      <w:lang w:eastAsia="zh-CN"/>
                    </w:rPr>
                    <w:t>，油基泥浆</w:t>
                  </w:r>
                  <w:r>
                    <w:rPr>
                      <w:rFonts w:hint="eastAsia" w:ascii="Times New Roman" w:hAnsi="Times New Roman" w:eastAsia="宋体" w:cs="Times New Roman"/>
                      <w:color w:val="auto"/>
                      <w:highlight w:val="none"/>
                      <w:lang w:val="en-US" w:eastAsia="zh-CN"/>
                    </w:rPr>
                    <w:t>575.80</w:t>
                  </w:r>
                </w:p>
              </w:tc>
            </w:tr>
          </w:tbl>
          <w:p w14:paraId="66CED3C4">
            <w:pPr>
              <w:widowControl w:val="0"/>
              <w:kinsoku/>
              <w:jc w:val="both"/>
              <w:rPr>
                <w:rFonts w:hint="default" w:ascii="Times New Roman" w:hAnsi="Times New Roman" w:eastAsia="宋体" w:cs="Times New Roman"/>
                <w:b/>
                <w:bCs/>
                <w:color w:val="auto"/>
                <w:lang w:eastAsia="zh-CN"/>
              </w:rPr>
            </w:pPr>
          </w:p>
          <w:p w14:paraId="17658427">
            <w:pPr>
              <w:pStyle w:val="27"/>
              <w:widowControl w:val="0"/>
              <w:kinsoku/>
              <w:spacing w:line="360" w:lineRule="auto"/>
              <w:ind w:firstLine="460"/>
              <w:jc w:val="both"/>
              <w:rPr>
                <w:rFonts w:hint="default" w:ascii="Times New Roman" w:hAnsi="Times New Roman" w:eastAsia="宋体" w:cs="Times New Roman"/>
                <w:color w:val="auto"/>
                <w:spacing w:val="-14"/>
                <w:sz w:val="24"/>
                <w:szCs w:val="24"/>
                <w:highlight w:val="none"/>
                <w:lang w:eastAsia="zh-CN"/>
              </w:rPr>
            </w:pPr>
            <w:r>
              <w:rPr>
                <w:rFonts w:hint="default" w:ascii="Times New Roman" w:hAnsi="Times New Roman" w:eastAsia="宋体" w:cs="Times New Roman"/>
                <w:color w:val="auto"/>
                <w:spacing w:val="-5"/>
                <w:sz w:val="24"/>
                <w:szCs w:val="24"/>
                <w:lang w:eastAsia="zh-CN"/>
              </w:rPr>
              <w:t>本项目钻井泥浆最大</w:t>
            </w:r>
            <w:r>
              <w:rPr>
                <w:rFonts w:hint="default" w:ascii="Times New Roman" w:hAnsi="Times New Roman" w:eastAsia="宋体" w:cs="Times New Roman"/>
                <w:color w:val="auto"/>
                <w:spacing w:val="-5"/>
                <w:sz w:val="24"/>
                <w:szCs w:val="24"/>
                <w:highlight w:val="none"/>
                <w:lang w:eastAsia="zh-CN"/>
              </w:rPr>
              <w:t>产生量为</w:t>
            </w:r>
            <w:r>
              <w:rPr>
                <w:rFonts w:hint="eastAsia" w:ascii="Times New Roman" w:hAnsi="Times New Roman" w:eastAsia="宋体" w:cs="Times New Roman"/>
                <w:color w:val="auto"/>
                <w:spacing w:val="-5"/>
                <w:sz w:val="24"/>
                <w:szCs w:val="24"/>
                <w:highlight w:val="none"/>
                <w:lang w:val="en-US" w:eastAsia="zh-CN"/>
              </w:rPr>
              <w:t>918.19</w:t>
            </w:r>
            <w:r>
              <w:rPr>
                <w:rFonts w:hint="default" w:ascii="Times New Roman" w:hAnsi="Times New Roman" w:eastAsia="宋体" w:cs="Times New Roman"/>
                <w:color w:val="auto"/>
                <w:spacing w:val="-5"/>
                <w:sz w:val="24"/>
                <w:szCs w:val="24"/>
                <w:highlight w:val="none"/>
                <w:lang w:eastAsia="zh-CN"/>
              </w:rPr>
              <w:t>m</w:t>
            </w:r>
            <w:r>
              <w:rPr>
                <w:rFonts w:hint="default" w:ascii="Times New Roman" w:hAnsi="Times New Roman" w:eastAsia="宋体" w:cs="Times New Roman"/>
                <w:color w:val="auto"/>
                <w:spacing w:val="-5"/>
                <w:position w:val="8"/>
                <w:sz w:val="15"/>
                <w:szCs w:val="15"/>
                <w:highlight w:val="none"/>
                <w:lang w:eastAsia="zh-CN"/>
              </w:rPr>
              <w:t>3</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6"/>
                <w:sz w:val="24"/>
                <w:szCs w:val="24"/>
                <w:highlight w:val="none"/>
                <w:lang w:eastAsia="zh-CN"/>
              </w:rPr>
              <w:t>其中水基泥浆</w:t>
            </w:r>
            <w:r>
              <w:rPr>
                <w:rFonts w:hint="eastAsia" w:ascii="Times New Roman" w:hAnsi="Times New Roman" w:eastAsia="宋体" w:cs="Times New Roman"/>
                <w:color w:val="auto"/>
                <w:spacing w:val="-6"/>
                <w:sz w:val="24"/>
                <w:szCs w:val="24"/>
                <w:highlight w:val="none"/>
                <w:lang w:val="en-US" w:eastAsia="zh-CN"/>
              </w:rPr>
              <w:t>342.39</w:t>
            </w:r>
            <w:r>
              <w:rPr>
                <w:rFonts w:hint="default" w:ascii="Times New Roman" w:hAnsi="Times New Roman" w:eastAsia="宋体" w:cs="Times New Roman"/>
                <w:color w:val="auto"/>
                <w:spacing w:val="-5"/>
                <w:sz w:val="24"/>
                <w:szCs w:val="24"/>
                <w:highlight w:val="none"/>
                <w:lang w:eastAsia="zh-CN"/>
              </w:rPr>
              <w:t>m</w:t>
            </w:r>
            <w:r>
              <w:rPr>
                <w:rFonts w:hint="default" w:ascii="Times New Roman" w:hAnsi="Times New Roman" w:eastAsia="宋体" w:cs="Times New Roman"/>
                <w:color w:val="auto"/>
                <w:spacing w:val="-5"/>
                <w:position w:val="8"/>
                <w:sz w:val="15"/>
                <w:szCs w:val="15"/>
                <w:highlight w:val="none"/>
                <w:lang w:eastAsia="zh-CN"/>
              </w:rPr>
              <w:t>3</w:t>
            </w:r>
            <w:r>
              <w:rPr>
                <w:rFonts w:hint="default" w:ascii="Times New Roman" w:hAnsi="Times New Roman" w:eastAsia="宋体" w:cs="Times New Roman"/>
                <w:color w:val="auto"/>
                <w:spacing w:val="-6"/>
                <w:sz w:val="24"/>
                <w:szCs w:val="24"/>
                <w:highlight w:val="none"/>
                <w:lang w:eastAsia="zh-CN"/>
              </w:rPr>
              <w:t>，油基泥浆</w:t>
            </w:r>
            <w:r>
              <w:rPr>
                <w:rFonts w:hint="eastAsia" w:ascii="Times New Roman" w:hAnsi="Times New Roman" w:eastAsia="宋体" w:cs="Times New Roman"/>
                <w:color w:val="auto"/>
                <w:spacing w:val="-6"/>
                <w:sz w:val="24"/>
                <w:szCs w:val="24"/>
                <w:highlight w:val="none"/>
                <w:lang w:val="en-US" w:eastAsia="zh-CN"/>
              </w:rPr>
              <w:t>575.80</w:t>
            </w:r>
            <w:r>
              <w:rPr>
                <w:rFonts w:hint="default" w:ascii="Times New Roman" w:hAnsi="Times New Roman" w:eastAsia="宋体" w:cs="Times New Roman"/>
                <w:color w:val="auto"/>
                <w:spacing w:val="-5"/>
                <w:sz w:val="24"/>
                <w:szCs w:val="24"/>
                <w:highlight w:val="none"/>
                <w:lang w:eastAsia="zh-CN"/>
              </w:rPr>
              <w:t>m</w:t>
            </w:r>
            <w:r>
              <w:rPr>
                <w:rFonts w:hint="default" w:ascii="Times New Roman" w:hAnsi="Times New Roman" w:eastAsia="宋体" w:cs="Times New Roman"/>
                <w:color w:val="auto"/>
                <w:spacing w:val="-5"/>
                <w:position w:val="8"/>
                <w:sz w:val="15"/>
                <w:szCs w:val="15"/>
                <w:highlight w:val="none"/>
                <w:lang w:eastAsia="zh-CN"/>
              </w:rPr>
              <w:t>3</w:t>
            </w:r>
            <w:r>
              <w:rPr>
                <w:rFonts w:hint="default" w:ascii="Times New Roman" w:hAnsi="Times New Roman" w:eastAsia="宋体" w:cs="Times New Roman"/>
                <w:color w:val="auto"/>
                <w:spacing w:val="-14"/>
                <w:sz w:val="24"/>
                <w:szCs w:val="24"/>
                <w:highlight w:val="none"/>
                <w:lang w:eastAsia="zh-CN"/>
              </w:rPr>
              <w:t>），项目采用泥浆不落地系统实现固液分离，分离后的液相循环使用，</w:t>
            </w:r>
            <w:r>
              <w:rPr>
                <w:rFonts w:hint="default" w:ascii="Times New Roman" w:hAnsi="Times New Roman" w:eastAsia="宋体" w:cs="Times New Roman"/>
                <w:color w:val="auto"/>
                <w:spacing w:val="-14"/>
                <w:sz w:val="24"/>
                <w:szCs w:val="24"/>
                <w:highlight w:val="none"/>
              </w:rPr>
              <w:t>泥浆循环利用率（重复利用）按95%计算，因此，废弃钻井泥浆</w:t>
            </w:r>
            <w:r>
              <w:rPr>
                <w:rFonts w:hint="default" w:ascii="Times New Roman" w:hAnsi="Times New Roman" w:eastAsia="宋体" w:cs="Times New Roman"/>
                <w:color w:val="auto"/>
                <w:spacing w:val="-14"/>
                <w:sz w:val="24"/>
                <w:szCs w:val="24"/>
                <w:highlight w:val="none"/>
                <w:lang w:val="en-US" w:eastAsia="zh-CN"/>
              </w:rPr>
              <w:t>产生</w:t>
            </w:r>
            <w:r>
              <w:rPr>
                <w:rFonts w:hint="default" w:ascii="Times New Roman" w:hAnsi="Times New Roman" w:eastAsia="宋体" w:cs="Times New Roman"/>
                <w:color w:val="auto"/>
                <w:spacing w:val="-14"/>
                <w:sz w:val="24"/>
                <w:szCs w:val="24"/>
                <w:highlight w:val="none"/>
              </w:rPr>
              <w:t>量</w:t>
            </w:r>
            <w:r>
              <w:rPr>
                <w:rFonts w:hint="default" w:ascii="Times New Roman" w:hAnsi="Times New Roman" w:eastAsia="宋体" w:cs="Times New Roman"/>
                <w:color w:val="auto"/>
                <w:spacing w:val="-6"/>
                <w:sz w:val="24"/>
                <w:szCs w:val="24"/>
                <w:highlight w:val="none"/>
                <w:lang w:val="en-US" w:eastAsia="zh-CN"/>
              </w:rPr>
              <w:t>为</w:t>
            </w:r>
            <w:r>
              <w:rPr>
                <w:rFonts w:hint="eastAsia" w:ascii="Times New Roman" w:hAnsi="Times New Roman" w:eastAsia="宋体" w:cs="Times New Roman"/>
                <w:color w:val="auto"/>
                <w:spacing w:val="-6"/>
                <w:sz w:val="24"/>
                <w:szCs w:val="24"/>
                <w:highlight w:val="none"/>
                <w:lang w:val="en-US" w:eastAsia="zh-CN"/>
              </w:rPr>
              <w:t>45.91</w:t>
            </w:r>
            <w:r>
              <w:rPr>
                <w:rFonts w:hint="default" w:ascii="Times New Roman" w:hAnsi="Times New Roman" w:eastAsia="宋体" w:cs="Times New Roman"/>
                <w:color w:val="auto"/>
                <w:spacing w:val="-6"/>
                <w:sz w:val="24"/>
                <w:szCs w:val="24"/>
                <w:highlight w:val="none"/>
                <w:lang w:val="en-US" w:eastAsia="zh-CN"/>
              </w:rPr>
              <w:t>m</w:t>
            </w:r>
            <w:r>
              <w:rPr>
                <w:rFonts w:hint="default" w:ascii="Times New Roman" w:hAnsi="Times New Roman" w:eastAsia="宋体" w:cs="Times New Roman"/>
                <w:color w:val="auto"/>
                <w:spacing w:val="-6"/>
                <w:sz w:val="24"/>
                <w:szCs w:val="24"/>
                <w:highlight w:val="none"/>
                <w:vertAlign w:val="superscript"/>
                <w:lang w:val="en-US" w:eastAsia="zh-CN"/>
              </w:rPr>
              <w:t>3</w:t>
            </w:r>
            <w:r>
              <w:rPr>
                <w:rFonts w:hint="default" w:ascii="Times New Roman" w:hAnsi="Times New Roman" w:eastAsia="宋体" w:cs="Times New Roman"/>
                <w:color w:val="auto"/>
                <w:spacing w:val="-6"/>
                <w:sz w:val="24"/>
                <w:szCs w:val="24"/>
                <w:highlight w:val="none"/>
                <w:lang w:val="en-US" w:eastAsia="zh-CN"/>
              </w:rPr>
              <w:t>（</w:t>
            </w:r>
            <w:r>
              <w:rPr>
                <w:rFonts w:hint="default" w:ascii="Times New Roman" w:hAnsi="Times New Roman" w:eastAsia="宋体" w:cs="Times New Roman"/>
                <w:color w:val="auto"/>
                <w:spacing w:val="-14"/>
                <w:sz w:val="24"/>
                <w:szCs w:val="24"/>
                <w:highlight w:val="none"/>
              </w:rPr>
              <w:t>其中：水基泥浆</w:t>
            </w:r>
            <w:r>
              <w:rPr>
                <w:rFonts w:hint="eastAsia" w:ascii="Times New Roman" w:hAnsi="Times New Roman" w:eastAsia="宋体" w:cs="Times New Roman"/>
                <w:color w:val="auto"/>
                <w:spacing w:val="-14"/>
                <w:sz w:val="24"/>
                <w:szCs w:val="24"/>
                <w:highlight w:val="none"/>
                <w:lang w:val="en-US" w:eastAsia="zh-CN"/>
              </w:rPr>
              <w:t>17.12</w:t>
            </w:r>
            <w:r>
              <w:rPr>
                <w:rFonts w:hint="default" w:ascii="Times New Roman" w:hAnsi="Times New Roman" w:eastAsia="宋体" w:cs="Times New Roman"/>
                <w:color w:val="auto"/>
                <w:spacing w:val="-14"/>
                <w:sz w:val="24"/>
                <w:szCs w:val="24"/>
                <w:highlight w:val="none"/>
              </w:rPr>
              <w:t>m</w:t>
            </w:r>
            <w:r>
              <w:rPr>
                <w:rFonts w:hint="default" w:ascii="Times New Roman" w:hAnsi="Times New Roman" w:eastAsia="宋体" w:cs="Times New Roman"/>
                <w:color w:val="auto"/>
                <w:spacing w:val="-14"/>
                <w:sz w:val="24"/>
                <w:szCs w:val="24"/>
                <w:highlight w:val="none"/>
                <w:vertAlign w:val="superscript"/>
              </w:rPr>
              <w:t>3</w:t>
            </w:r>
            <w:r>
              <w:rPr>
                <w:rFonts w:hint="default" w:ascii="Times New Roman" w:hAnsi="Times New Roman" w:eastAsia="宋体" w:cs="Times New Roman"/>
                <w:color w:val="auto"/>
                <w:spacing w:val="-14"/>
                <w:sz w:val="24"/>
                <w:szCs w:val="24"/>
                <w:highlight w:val="none"/>
              </w:rPr>
              <w:t>，油基泥浆</w:t>
            </w:r>
            <w:r>
              <w:rPr>
                <w:rFonts w:hint="eastAsia" w:ascii="Times New Roman" w:hAnsi="Times New Roman" w:eastAsia="宋体" w:cs="Times New Roman"/>
                <w:color w:val="auto"/>
                <w:spacing w:val="-14"/>
                <w:sz w:val="24"/>
                <w:szCs w:val="24"/>
                <w:highlight w:val="none"/>
                <w:lang w:val="en-US" w:eastAsia="zh-CN"/>
              </w:rPr>
              <w:t>28.79</w:t>
            </w:r>
            <w:r>
              <w:rPr>
                <w:rFonts w:hint="default" w:ascii="Times New Roman" w:hAnsi="Times New Roman" w:eastAsia="宋体" w:cs="Times New Roman"/>
                <w:color w:val="auto"/>
                <w:spacing w:val="-14"/>
                <w:sz w:val="24"/>
                <w:szCs w:val="24"/>
                <w:highlight w:val="none"/>
              </w:rPr>
              <w:t>m</w:t>
            </w:r>
            <w:r>
              <w:rPr>
                <w:rFonts w:hint="default" w:ascii="Times New Roman" w:hAnsi="Times New Roman" w:eastAsia="宋体" w:cs="Times New Roman"/>
                <w:color w:val="auto"/>
                <w:spacing w:val="-14"/>
                <w:sz w:val="24"/>
                <w:szCs w:val="24"/>
                <w:highlight w:val="none"/>
                <w:vertAlign w:val="superscript"/>
              </w:rPr>
              <w:t>3</w:t>
            </w:r>
            <w:r>
              <w:rPr>
                <w:rFonts w:hint="default" w:ascii="Times New Roman" w:hAnsi="Times New Roman" w:eastAsia="宋体" w:cs="Times New Roman"/>
                <w:color w:val="auto"/>
                <w:spacing w:val="-14"/>
                <w:sz w:val="24"/>
                <w:szCs w:val="24"/>
                <w:highlight w:val="none"/>
              </w:rPr>
              <w:t>）。</w:t>
            </w:r>
            <w:r>
              <w:rPr>
                <w:rFonts w:hint="eastAsia" w:ascii="Times New Roman" w:hAnsi="Times New Roman" w:eastAsia="宋体" w:cs="Times New Roman"/>
                <w:color w:val="auto"/>
                <w:spacing w:val="-14"/>
                <w:sz w:val="24"/>
                <w:szCs w:val="24"/>
                <w:highlight w:val="none"/>
                <w:lang w:val="en-US" w:eastAsia="zh-CN"/>
              </w:rPr>
              <w:t>废弃水基泥浆委托具有</w:t>
            </w:r>
            <w:r>
              <w:rPr>
                <w:rFonts w:hint="default" w:ascii="Times New Roman" w:hAnsi="Times New Roman" w:eastAsia="宋体" w:cs="Times New Roman"/>
                <w:color w:val="auto"/>
                <w:spacing w:val="-14"/>
                <w:sz w:val="24"/>
                <w:szCs w:val="24"/>
                <w:highlight w:val="none"/>
                <w:lang w:eastAsia="zh-CN"/>
              </w:rPr>
              <w:t>相应处理能力的第三方</w:t>
            </w:r>
            <w:r>
              <w:rPr>
                <w:rFonts w:hint="eastAsia" w:ascii="Times New Roman" w:hAnsi="Times New Roman" w:eastAsia="宋体" w:cs="Times New Roman"/>
                <w:color w:val="auto"/>
                <w:spacing w:val="-14"/>
                <w:sz w:val="24"/>
                <w:szCs w:val="24"/>
                <w:highlight w:val="none"/>
                <w:lang w:val="en-US" w:eastAsia="zh-CN"/>
              </w:rPr>
              <w:t>环保</w:t>
            </w:r>
            <w:r>
              <w:rPr>
                <w:rFonts w:hint="default" w:ascii="Times New Roman" w:hAnsi="Times New Roman" w:eastAsia="宋体" w:cs="Times New Roman"/>
                <w:color w:val="auto"/>
                <w:spacing w:val="-14"/>
                <w:sz w:val="24"/>
                <w:szCs w:val="24"/>
                <w:highlight w:val="none"/>
                <w:lang w:eastAsia="zh-CN"/>
              </w:rPr>
              <w:t>单位进行集中处置，经检测达到《油气田钻井固体废物综合利用污染控制要求》（DB65/T3997-2017）相关标准限值后综合利用。</w:t>
            </w:r>
            <w:r>
              <w:rPr>
                <w:rFonts w:hint="eastAsia" w:ascii="Times New Roman" w:hAnsi="Times New Roman" w:eastAsia="宋体" w:cs="Times New Roman"/>
                <w:color w:val="auto"/>
                <w:spacing w:val="-14"/>
                <w:sz w:val="24"/>
                <w:szCs w:val="24"/>
                <w:highlight w:val="none"/>
                <w:lang w:val="en-US" w:eastAsia="zh-CN"/>
              </w:rPr>
              <w:t>废弃油基泥浆属于危险废物，</w:t>
            </w:r>
            <w:r>
              <w:rPr>
                <w:rFonts w:hint="default" w:ascii="Times New Roman" w:hAnsi="Times New Roman" w:eastAsia="宋体" w:cs="Times New Roman"/>
                <w:color w:val="auto"/>
                <w:spacing w:val="-14"/>
                <w:sz w:val="24"/>
                <w:szCs w:val="24"/>
                <w:highlight w:val="none"/>
                <w:lang w:val="en-US" w:eastAsia="zh-CN"/>
              </w:rPr>
              <w:t>规范</w:t>
            </w:r>
            <w:r>
              <w:rPr>
                <w:rFonts w:hint="default" w:ascii="Times New Roman" w:hAnsi="Times New Roman" w:eastAsia="宋体" w:cs="Times New Roman"/>
                <w:color w:val="auto"/>
                <w:spacing w:val="-14"/>
                <w:sz w:val="24"/>
                <w:szCs w:val="24"/>
                <w:highlight w:val="none"/>
                <w:lang w:eastAsia="zh-CN"/>
              </w:rPr>
              <w:t>收集、防渗暂存，委托具有危险废物经营资质的单位</w:t>
            </w:r>
            <w:r>
              <w:rPr>
                <w:rFonts w:hint="eastAsia" w:ascii="Times New Roman" w:hAnsi="Times New Roman" w:eastAsia="宋体" w:cs="Times New Roman"/>
                <w:color w:val="auto"/>
                <w:spacing w:val="-14"/>
                <w:sz w:val="24"/>
                <w:szCs w:val="24"/>
                <w:highlight w:val="none"/>
                <w:lang w:val="en-US" w:eastAsia="zh-CN"/>
              </w:rPr>
              <w:t>及时</w:t>
            </w:r>
            <w:r>
              <w:rPr>
                <w:rFonts w:hint="default" w:ascii="Times New Roman" w:hAnsi="Times New Roman" w:eastAsia="宋体" w:cs="Times New Roman"/>
                <w:color w:val="auto"/>
                <w:spacing w:val="-14"/>
                <w:sz w:val="24"/>
                <w:szCs w:val="24"/>
                <w:highlight w:val="none"/>
                <w:lang w:eastAsia="zh-CN"/>
              </w:rPr>
              <w:t>规范处置</w:t>
            </w:r>
            <w:r>
              <w:rPr>
                <w:rFonts w:hint="eastAsia" w:ascii="Times New Roman" w:hAnsi="Times New Roman" w:eastAsia="宋体" w:cs="Times New Roman"/>
                <w:color w:val="auto"/>
                <w:spacing w:val="-14"/>
                <w:sz w:val="24"/>
                <w:szCs w:val="24"/>
                <w:highlight w:val="none"/>
                <w:lang w:eastAsia="zh-CN"/>
              </w:rPr>
              <w:t>（</w:t>
            </w:r>
            <w:r>
              <w:rPr>
                <w:rFonts w:hint="eastAsia" w:ascii="Times New Roman" w:hAnsi="Times New Roman" w:eastAsia="宋体" w:cs="Times New Roman"/>
                <w:color w:val="auto"/>
                <w:spacing w:val="-14"/>
                <w:sz w:val="24"/>
                <w:szCs w:val="24"/>
                <w:highlight w:val="none"/>
                <w:lang w:val="en-US" w:eastAsia="zh-CN"/>
              </w:rPr>
              <w:t>日产日清</w:t>
            </w:r>
            <w:r>
              <w:rPr>
                <w:rFonts w:hint="eastAsia" w:ascii="Times New Roman" w:hAnsi="Times New Roman" w:eastAsia="宋体" w:cs="Times New Roman"/>
                <w:color w:val="auto"/>
                <w:spacing w:val="-14"/>
                <w:sz w:val="24"/>
                <w:szCs w:val="24"/>
                <w:highlight w:val="none"/>
                <w:lang w:eastAsia="zh-CN"/>
              </w:rPr>
              <w:t>）</w:t>
            </w:r>
            <w:r>
              <w:rPr>
                <w:rFonts w:hint="default" w:ascii="Times New Roman" w:hAnsi="Times New Roman" w:eastAsia="宋体" w:cs="Times New Roman"/>
                <w:color w:val="auto"/>
                <w:spacing w:val="-14"/>
                <w:sz w:val="24"/>
                <w:szCs w:val="24"/>
                <w:highlight w:val="none"/>
                <w:lang w:eastAsia="zh-CN"/>
              </w:rPr>
              <w:t>。</w:t>
            </w:r>
          </w:p>
          <w:p w14:paraId="01BA385D">
            <w:pPr>
              <w:pStyle w:val="23"/>
              <w:widowControl w:val="0"/>
              <w:kinsoku/>
              <w:spacing w:before="3" w:line="359" w:lineRule="auto"/>
              <w:ind w:right="4"/>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6.2钻井岩屑</w:t>
            </w:r>
          </w:p>
          <w:p w14:paraId="6010FA5C">
            <w:pPr>
              <w:pStyle w:val="23"/>
              <w:widowControl w:val="0"/>
              <w:kinsoku/>
              <w:spacing w:before="3" w:line="359" w:lineRule="auto"/>
              <w:ind w:left="2" w:right="4" w:firstLine="481"/>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钻井过程中，岩石经钻头和钻井液的研磨而破碎成岩屑，随钻井液排出井口，进入钻井液不落地系统处理后岩屑与钻井液分离，固体岩屑拉运处理。岩屑产生量与井身结构有关，可按下式计算：</w:t>
            </w:r>
          </w:p>
          <w:p w14:paraId="06618C92">
            <w:pPr>
              <w:widowControl w:val="0"/>
              <w:kinsoku/>
              <w:spacing w:line="322" w:lineRule="exact"/>
              <w:ind w:left="3254"/>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4"/>
                <w:position w:val="1"/>
                <w:sz w:val="24"/>
                <w:szCs w:val="24"/>
                <w:lang w:eastAsia="zh-CN"/>
              </w:rPr>
              <w:t>W=1/4×</w:t>
            </w:r>
            <w:r>
              <w:rPr>
                <w:rFonts w:hint="default" w:ascii="Times New Roman" w:hAnsi="Times New Roman" w:eastAsia="宋体" w:cs="Times New Roman"/>
                <w:color w:val="auto"/>
                <w:spacing w:val="-4"/>
                <w:position w:val="1"/>
                <w:sz w:val="24"/>
                <w:szCs w:val="24"/>
              </w:rPr>
              <w:t>π</w:t>
            </w:r>
            <w:r>
              <w:rPr>
                <w:rFonts w:hint="default" w:ascii="Times New Roman" w:hAnsi="Times New Roman" w:eastAsia="宋体" w:cs="Times New Roman"/>
                <w:color w:val="auto"/>
                <w:spacing w:val="-4"/>
                <w:position w:val="1"/>
                <w:sz w:val="24"/>
                <w:szCs w:val="24"/>
                <w:lang w:eastAsia="zh-CN"/>
              </w:rPr>
              <w:t>×D</w:t>
            </w:r>
            <w:r>
              <w:rPr>
                <w:rFonts w:hint="default" w:ascii="Times New Roman" w:hAnsi="Times New Roman" w:eastAsia="宋体" w:cs="Times New Roman"/>
                <w:color w:val="auto"/>
                <w:spacing w:val="-4"/>
                <w:position w:val="8"/>
                <w:sz w:val="15"/>
                <w:szCs w:val="15"/>
                <w:lang w:eastAsia="zh-CN"/>
              </w:rPr>
              <w:t>2</w:t>
            </w:r>
            <w:r>
              <w:rPr>
                <w:rFonts w:hint="default" w:ascii="Times New Roman" w:hAnsi="Times New Roman" w:eastAsia="宋体" w:cs="Times New Roman"/>
                <w:color w:val="auto"/>
                <w:spacing w:val="-4"/>
                <w:position w:val="1"/>
                <w:sz w:val="24"/>
                <w:szCs w:val="24"/>
                <w:lang w:eastAsia="zh-CN"/>
              </w:rPr>
              <w:t>×h×P</w:t>
            </w:r>
          </w:p>
          <w:p w14:paraId="675A6BCB">
            <w:pPr>
              <w:pStyle w:val="23"/>
              <w:widowControl w:val="0"/>
              <w:kinsoku/>
              <w:spacing w:before="153" w:line="219" w:lineRule="auto"/>
              <w:ind w:left="488"/>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lang w:eastAsia="zh-CN"/>
              </w:rPr>
              <w:t>式中：W——产生的岩屑量，m</w:t>
            </w:r>
            <w:r>
              <w:rPr>
                <w:rFonts w:hint="default" w:ascii="Times New Roman" w:hAnsi="Times New Roman" w:eastAsia="宋体" w:cs="Times New Roman"/>
                <w:color w:val="auto"/>
                <w:spacing w:val="-1"/>
                <w:position w:val="8"/>
                <w:sz w:val="15"/>
                <w:szCs w:val="15"/>
                <w:lang w:eastAsia="zh-CN"/>
              </w:rPr>
              <w:t>3</w:t>
            </w:r>
            <w:r>
              <w:rPr>
                <w:rFonts w:hint="default" w:ascii="Times New Roman" w:hAnsi="Times New Roman" w:eastAsia="宋体" w:cs="Times New Roman"/>
                <w:color w:val="auto"/>
                <w:spacing w:val="-1"/>
                <w:sz w:val="24"/>
                <w:szCs w:val="24"/>
                <w:lang w:eastAsia="zh-CN"/>
              </w:rPr>
              <w:t>；</w:t>
            </w:r>
          </w:p>
          <w:p w14:paraId="12E631C7">
            <w:pPr>
              <w:pStyle w:val="23"/>
              <w:widowControl w:val="0"/>
              <w:kinsoku/>
              <w:spacing w:before="183" w:line="219" w:lineRule="auto"/>
              <w:ind w:left="1198"/>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lang w:eastAsia="zh-CN"/>
              </w:rPr>
              <w:t>D——井眼平均井径，m；</w:t>
            </w:r>
          </w:p>
          <w:p w14:paraId="24104968">
            <w:pPr>
              <w:pStyle w:val="23"/>
              <w:widowControl w:val="0"/>
              <w:kinsoku/>
              <w:spacing w:before="180" w:line="360" w:lineRule="auto"/>
              <w:ind w:left="1195"/>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lang w:eastAsia="zh-CN"/>
              </w:rPr>
              <w:t>h——裸眼长度，m；</w:t>
            </w:r>
          </w:p>
          <w:p w14:paraId="1FDCD168">
            <w:pPr>
              <w:pStyle w:val="23"/>
              <w:widowControl w:val="0"/>
              <w:kinsoku/>
              <w:spacing w:before="3" w:line="360" w:lineRule="auto"/>
              <w:ind w:right="4" w:firstLine="1200" w:firstLineChars="5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P——膨胀系数，使用水基钻井液体系时取P= 1.8，油基钻井液体系取P=4。</w:t>
            </w:r>
          </w:p>
          <w:p w14:paraId="755A4637">
            <w:pPr>
              <w:pStyle w:val="2"/>
              <w:widowControl w:val="0"/>
              <w:kinsoku/>
              <w:ind w:firstLine="472"/>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lang w:eastAsia="zh-CN"/>
              </w:rPr>
              <w:t>岩屑产生量</w:t>
            </w:r>
            <w:r>
              <w:rPr>
                <w:rFonts w:hint="default" w:ascii="Times New Roman" w:hAnsi="Times New Roman" w:eastAsia="宋体" w:cs="Times New Roman"/>
                <w:color w:val="auto"/>
                <w:spacing w:val="-2"/>
                <w:sz w:val="24"/>
                <w:szCs w:val="24"/>
                <w:highlight w:val="none"/>
                <w:lang w:eastAsia="zh-CN"/>
              </w:rPr>
              <w:t>详见下表：</w:t>
            </w:r>
          </w:p>
          <w:p w14:paraId="2344981B">
            <w:pPr>
              <w:pStyle w:val="29"/>
              <w:widowControl w:val="0"/>
              <w:kinsoku/>
              <w:ind w:firstLine="0" w:firstLineChars="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表4-</w:t>
            </w: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eastAsia="zh-CN"/>
              </w:rPr>
              <w:t xml:space="preserve"> 钻井岩屑产生量一览表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9"/>
              <w:gridCol w:w="1089"/>
              <w:gridCol w:w="872"/>
              <w:gridCol w:w="1097"/>
              <w:gridCol w:w="4590"/>
            </w:tblGrid>
            <w:tr w14:paraId="7A9FDFF6">
              <w:trPr>
                <w:trHeight w:val="193" w:hRule="atLeast"/>
                <w:jc w:val="center"/>
              </w:trPr>
              <w:tc>
                <w:tcPr>
                  <w:tcW w:w="272" w:type="pct"/>
                  <w:tcBorders>
                    <w:top w:val="single" w:color="auto" w:sz="4" w:space="0"/>
                    <w:left w:val="single" w:color="auto" w:sz="0" w:space="0"/>
                    <w:bottom w:val="single" w:color="auto" w:sz="4" w:space="0"/>
                    <w:right w:val="single" w:color="auto" w:sz="4" w:space="0"/>
                  </w:tcBorders>
                  <w:vAlign w:val="center"/>
                </w:tcPr>
                <w:p w14:paraId="48782F94">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开钻</w:t>
                  </w:r>
                </w:p>
                <w:p w14:paraId="5AD2DF8B">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次序</w:t>
                  </w:r>
                </w:p>
              </w:tc>
              <w:tc>
                <w:tcPr>
                  <w:tcW w:w="673" w:type="pct"/>
                  <w:tcBorders>
                    <w:top w:val="single" w:color="auto" w:sz="4" w:space="0"/>
                    <w:left w:val="single" w:color="auto" w:sz="4" w:space="0"/>
                    <w:bottom w:val="single" w:color="auto" w:sz="4" w:space="0"/>
                    <w:right w:val="single" w:color="auto" w:sz="4" w:space="0"/>
                  </w:tcBorders>
                  <w:vAlign w:val="center"/>
                </w:tcPr>
                <w:p w14:paraId="5213FBA4">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钻井液类型</w:t>
                  </w:r>
                </w:p>
              </w:tc>
              <w:tc>
                <w:tcPr>
                  <w:tcW w:w="539" w:type="pct"/>
                  <w:tcBorders>
                    <w:top w:val="single" w:color="auto" w:sz="4" w:space="0"/>
                    <w:left w:val="single" w:color="auto" w:sz="4" w:space="0"/>
                    <w:bottom w:val="single" w:color="auto" w:sz="4" w:space="0"/>
                    <w:right w:val="single" w:color="auto" w:sz="4" w:space="0"/>
                  </w:tcBorders>
                  <w:vAlign w:val="center"/>
                </w:tcPr>
                <w:p w14:paraId="46A2285D">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钻头尺寸</w:t>
                  </w:r>
                </w:p>
                <w:p w14:paraId="13A6C13D">
                  <w:pPr>
                    <w:pStyle w:val="2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(mm)</w:t>
                  </w:r>
                </w:p>
              </w:tc>
              <w:tc>
                <w:tcPr>
                  <w:tcW w:w="677" w:type="pct"/>
                  <w:tcBorders>
                    <w:top w:val="single" w:color="auto" w:sz="4" w:space="0"/>
                    <w:left w:val="single" w:color="auto" w:sz="4" w:space="0"/>
                    <w:bottom w:val="single" w:color="auto" w:sz="4" w:space="0"/>
                    <w:right w:val="single" w:color="auto" w:sz="4" w:space="0"/>
                  </w:tcBorders>
                  <w:vAlign w:val="center"/>
                </w:tcPr>
                <w:p w14:paraId="7B20B0B8">
                  <w:pPr>
                    <w:pStyle w:val="23"/>
                    <w:kinsoku/>
                    <w:spacing w:before="60"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lang w:eastAsia="zh-CN"/>
                    </w:rPr>
                    <w:t>井段（m）</w:t>
                  </w:r>
                </w:p>
              </w:tc>
              <w:tc>
                <w:tcPr>
                  <w:tcW w:w="2837" w:type="pct"/>
                  <w:tcBorders>
                    <w:top w:val="single" w:color="auto" w:sz="4" w:space="0"/>
                    <w:left w:val="single" w:color="auto" w:sz="4" w:space="0"/>
                    <w:bottom w:val="single" w:color="auto" w:sz="4" w:space="0"/>
                    <w:right w:val="single" w:color="auto" w:sz="4" w:space="0"/>
                  </w:tcBorders>
                  <w:vAlign w:val="center"/>
                </w:tcPr>
                <w:p w14:paraId="7D7111B5">
                  <w:pPr>
                    <w:pStyle w:val="23"/>
                    <w:kinsoku/>
                    <w:spacing w:before="60" w:line="228" w:lineRule="auto"/>
                    <w:jc w:val="center"/>
                    <w:rPr>
                      <w:rFonts w:hint="default" w:ascii="Times New Roman" w:hAnsi="Times New Roman" w:eastAsia="宋体" w:cs="Times New Roman"/>
                      <w:b/>
                      <w:bCs/>
                      <w:color w:val="auto"/>
                      <w:spacing w:val="4"/>
                      <w:sz w:val="21"/>
                      <w:szCs w:val="21"/>
                      <w:highlight w:val="none"/>
                      <w:lang w:eastAsia="zh-CN"/>
                    </w:rPr>
                  </w:pPr>
                  <w:r>
                    <w:rPr>
                      <w:rFonts w:hint="default" w:ascii="Times New Roman" w:hAnsi="Times New Roman" w:eastAsia="宋体" w:cs="Times New Roman"/>
                      <w:b/>
                      <w:bCs/>
                      <w:color w:val="auto"/>
                      <w:spacing w:val="7"/>
                      <w:sz w:val="21"/>
                      <w:szCs w:val="21"/>
                      <w:highlight w:val="none"/>
                      <w:lang w:eastAsia="zh-CN"/>
                    </w:rPr>
                    <w:t>岩屑产生量</w:t>
                  </w:r>
                </w:p>
                <w:p w14:paraId="41A59F74">
                  <w:pPr>
                    <w:pStyle w:val="23"/>
                    <w:kinsoku/>
                    <w:spacing w:before="60" w:line="228"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4"/>
                      <w:sz w:val="21"/>
                      <w:szCs w:val="21"/>
                      <w:highlight w:val="none"/>
                      <w:lang w:eastAsia="zh-CN"/>
                    </w:rPr>
                    <w:t>（</w:t>
                  </w:r>
                  <w:r>
                    <w:rPr>
                      <w:rFonts w:hint="default" w:ascii="Times New Roman" w:hAnsi="Times New Roman" w:eastAsia="宋体" w:cs="Times New Roman"/>
                      <w:b/>
                      <w:bCs/>
                      <w:color w:val="auto"/>
                      <w:spacing w:val="1"/>
                      <w:sz w:val="21"/>
                      <w:szCs w:val="21"/>
                      <w:highlight w:val="none"/>
                      <w:lang w:eastAsia="zh-CN"/>
                    </w:rPr>
                    <w:t>m</w:t>
                  </w:r>
                  <w:r>
                    <w:rPr>
                      <w:rFonts w:hint="default" w:ascii="Times New Roman" w:hAnsi="Times New Roman" w:eastAsia="宋体" w:cs="Times New Roman"/>
                      <w:b/>
                      <w:bCs/>
                      <w:color w:val="auto"/>
                      <w:spacing w:val="1"/>
                      <w:sz w:val="21"/>
                      <w:szCs w:val="21"/>
                      <w:highlight w:val="none"/>
                      <w:vertAlign w:val="superscript"/>
                      <w:lang w:eastAsia="zh-CN"/>
                    </w:rPr>
                    <w:t>3</w:t>
                  </w:r>
                  <w:r>
                    <w:rPr>
                      <w:rFonts w:hint="default" w:ascii="Times New Roman" w:hAnsi="Times New Roman" w:eastAsia="宋体" w:cs="Times New Roman"/>
                      <w:b/>
                      <w:bCs/>
                      <w:color w:val="auto"/>
                      <w:spacing w:val="4"/>
                      <w:sz w:val="21"/>
                      <w:szCs w:val="21"/>
                      <w:highlight w:val="none"/>
                      <w:lang w:eastAsia="zh-CN"/>
                    </w:rPr>
                    <w:t>）</w:t>
                  </w:r>
                </w:p>
              </w:tc>
            </w:tr>
            <w:tr w14:paraId="1D43E2F3">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9AC3211">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rPr>
                    <w:t>阜2602</w:t>
                  </w:r>
                </w:p>
              </w:tc>
            </w:tr>
            <w:tr w14:paraId="2442E683">
              <w:trPr>
                <w:trHeight w:val="193" w:hRule="atLeast"/>
                <w:jc w:val="center"/>
              </w:trPr>
              <w:tc>
                <w:tcPr>
                  <w:tcW w:w="272" w:type="pct"/>
                  <w:tcBorders>
                    <w:top w:val="single" w:color="auto" w:sz="4" w:space="0"/>
                    <w:left w:val="single" w:color="auto" w:sz="4" w:space="0"/>
                    <w:bottom w:val="single" w:color="auto" w:sz="4" w:space="0"/>
                    <w:right w:val="single" w:color="auto" w:sz="4" w:space="0"/>
                  </w:tcBorders>
                  <w:vAlign w:val="center"/>
                </w:tcPr>
                <w:p w14:paraId="7590E646">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导眼</w:t>
                  </w:r>
                </w:p>
              </w:tc>
              <w:tc>
                <w:tcPr>
                  <w:tcW w:w="673" w:type="pct"/>
                  <w:tcBorders>
                    <w:top w:val="single" w:color="auto" w:sz="4" w:space="0"/>
                    <w:left w:val="single" w:color="auto" w:sz="4" w:space="0"/>
                    <w:right w:val="single" w:color="auto" w:sz="4" w:space="0"/>
                  </w:tcBorders>
                  <w:vAlign w:val="center"/>
                </w:tcPr>
                <w:p w14:paraId="02A58461">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水基钻井液</w:t>
                  </w:r>
                </w:p>
              </w:tc>
              <w:tc>
                <w:tcPr>
                  <w:tcW w:w="539" w:type="pct"/>
                  <w:tcBorders>
                    <w:top w:val="single" w:color="auto" w:sz="4" w:space="0"/>
                    <w:left w:val="single" w:color="auto" w:sz="4" w:space="0"/>
                    <w:bottom w:val="single" w:color="auto" w:sz="4" w:space="0"/>
                    <w:right w:val="single" w:color="auto" w:sz="4" w:space="0"/>
                  </w:tcBorders>
                  <w:vAlign w:val="center"/>
                </w:tcPr>
                <w:p w14:paraId="6A049E0A">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Φ660</w:t>
                  </w:r>
                </w:p>
              </w:tc>
              <w:tc>
                <w:tcPr>
                  <w:tcW w:w="677" w:type="pct"/>
                  <w:tcBorders>
                    <w:top w:val="single" w:color="auto" w:sz="4" w:space="0"/>
                    <w:left w:val="single" w:color="auto" w:sz="4" w:space="0"/>
                    <w:bottom w:val="single" w:color="auto" w:sz="4" w:space="0"/>
                    <w:right w:val="single" w:color="auto" w:sz="4" w:space="0"/>
                  </w:tcBorders>
                  <w:vAlign w:val="center"/>
                </w:tcPr>
                <w:p w14:paraId="3BE78ACD">
                  <w:pPr>
                    <w:kinsoku/>
                    <w:jc w:val="center"/>
                    <w:textAlignment w:val="center"/>
                    <w:rPr>
                      <w:rFonts w:hint="default" w:ascii="Times New Roman" w:hAnsi="Times New Roman" w:eastAsia="宋体" w:cs="Times New Roman"/>
                      <w:color w:val="auto"/>
                      <w:highlight w:val="none"/>
                      <w:lang w:val="zh-CN" w:eastAsia="zh-CN" w:bidi="ar"/>
                    </w:rPr>
                  </w:pPr>
                  <w:r>
                    <w:rPr>
                      <w:rFonts w:hint="default" w:ascii="Times New Roman" w:hAnsi="Times New Roman" w:eastAsia="宋体" w:cs="Times New Roman"/>
                      <w:color w:val="auto"/>
                      <w:highlight w:val="none"/>
                      <w:lang w:eastAsia="zh-CN" w:bidi="ar"/>
                    </w:rPr>
                    <w:t>0-30</w:t>
                  </w:r>
                </w:p>
              </w:tc>
              <w:tc>
                <w:tcPr>
                  <w:tcW w:w="4590" w:type="dxa"/>
                  <w:tcBorders>
                    <w:top w:val="single" w:color="auto" w:sz="4" w:space="0"/>
                    <w:left w:val="single" w:color="auto" w:sz="4" w:space="0"/>
                    <w:bottom w:val="single" w:color="auto" w:sz="4" w:space="0"/>
                    <w:right w:val="single" w:color="auto" w:sz="4" w:space="0"/>
                  </w:tcBorders>
                  <w:vAlign w:val="center"/>
                </w:tcPr>
                <w:p w14:paraId="428485E0">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 xml:space="preserve">18.47 </w:t>
                  </w:r>
                </w:p>
              </w:tc>
            </w:tr>
            <w:tr w14:paraId="59AB44DC">
              <w:trPr>
                <w:trHeight w:val="193" w:hRule="atLeast"/>
                <w:jc w:val="center"/>
              </w:trPr>
              <w:tc>
                <w:tcPr>
                  <w:tcW w:w="272" w:type="pct"/>
                  <w:tcBorders>
                    <w:top w:val="single" w:color="auto" w:sz="4" w:space="0"/>
                    <w:left w:val="single" w:color="auto" w:sz="4" w:space="0"/>
                    <w:bottom w:val="single" w:color="auto" w:sz="4" w:space="0"/>
                    <w:right w:val="single" w:color="auto" w:sz="4" w:space="0"/>
                  </w:tcBorders>
                  <w:vAlign w:val="center"/>
                </w:tcPr>
                <w:p w14:paraId="03AFED27">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一开</w:t>
                  </w:r>
                </w:p>
              </w:tc>
              <w:tc>
                <w:tcPr>
                  <w:tcW w:w="673" w:type="pct"/>
                  <w:tcBorders>
                    <w:left w:val="single" w:color="auto" w:sz="4" w:space="0"/>
                    <w:right w:val="single" w:color="auto" w:sz="4" w:space="0"/>
                  </w:tcBorders>
                  <w:vAlign w:val="center"/>
                </w:tcPr>
                <w:p w14:paraId="57ACB35C">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水基钻井液</w:t>
                  </w:r>
                </w:p>
              </w:tc>
              <w:tc>
                <w:tcPr>
                  <w:tcW w:w="539" w:type="pct"/>
                  <w:tcBorders>
                    <w:top w:val="single" w:color="auto" w:sz="4" w:space="0"/>
                    <w:left w:val="single" w:color="auto" w:sz="4" w:space="0"/>
                    <w:bottom w:val="single" w:color="auto" w:sz="4" w:space="0"/>
                    <w:right w:val="single" w:color="auto" w:sz="4" w:space="0"/>
                  </w:tcBorders>
                  <w:vAlign w:val="center"/>
                </w:tcPr>
                <w:p w14:paraId="5053FB0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Φ375</w:t>
                  </w:r>
                </w:p>
              </w:tc>
              <w:tc>
                <w:tcPr>
                  <w:tcW w:w="677" w:type="pct"/>
                  <w:tcBorders>
                    <w:top w:val="single" w:color="auto" w:sz="4" w:space="0"/>
                    <w:left w:val="single" w:color="auto" w:sz="4" w:space="0"/>
                    <w:bottom w:val="single" w:color="auto" w:sz="4" w:space="0"/>
                    <w:right w:val="single" w:color="auto" w:sz="4" w:space="0"/>
                  </w:tcBorders>
                  <w:vAlign w:val="center"/>
                </w:tcPr>
                <w:p w14:paraId="4734F43C">
                  <w:pPr>
                    <w:kinsoku/>
                    <w:jc w:val="center"/>
                    <w:textAlignment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30-</w:t>
                  </w:r>
                  <w:r>
                    <w:rPr>
                      <w:rFonts w:hint="eastAsia" w:ascii="Times New Roman" w:hAnsi="Times New Roman" w:eastAsia="宋体" w:cs="Times New Roman"/>
                      <w:color w:val="auto"/>
                      <w:highlight w:val="none"/>
                      <w:lang w:val="en-US" w:eastAsia="zh-CN" w:bidi="ar"/>
                    </w:rPr>
                    <w:t>1000</w:t>
                  </w:r>
                </w:p>
              </w:tc>
              <w:tc>
                <w:tcPr>
                  <w:tcW w:w="4590" w:type="dxa"/>
                  <w:tcBorders>
                    <w:top w:val="single" w:color="auto" w:sz="4" w:space="0"/>
                    <w:left w:val="single" w:color="auto" w:sz="4" w:space="0"/>
                    <w:bottom w:val="single" w:color="auto" w:sz="4" w:space="0"/>
                    <w:right w:val="single" w:color="auto" w:sz="4" w:space="0"/>
                  </w:tcBorders>
                  <w:vAlign w:val="center"/>
                </w:tcPr>
                <w:p w14:paraId="468A5937">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 xml:space="preserve">192.74 </w:t>
                  </w:r>
                </w:p>
              </w:tc>
            </w:tr>
            <w:tr w14:paraId="15A54861">
              <w:trPr>
                <w:trHeight w:val="233" w:hRule="atLeast"/>
                <w:jc w:val="center"/>
              </w:trPr>
              <w:tc>
                <w:tcPr>
                  <w:tcW w:w="439" w:type="dxa"/>
                  <w:vMerge w:val="restart"/>
                  <w:tcBorders>
                    <w:top w:val="single" w:color="auto" w:sz="4" w:space="0"/>
                    <w:left w:val="single" w:color="auto" w:sz="4" w:space="0"/>
                    <w:right w:val="single" w:color="auto" w:sz="4" w:space="0"/>
                  </w:tcBorders>
                  <w:vAlign w:val="center"/>
                </w:tcPr>
                <w:p w14:paraId="1F7AABB3">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二开</w:t>
                  </w:r>
                </w:p>
              </w:tc>
              <w:tc>
                <w:tcPr>
                  <w:tcW w:w="1089" w:type="dxa"/>
                  <w:vMerge w:val="restart"/>
                  <w:tcBorders>
                    <w:left w:val="single" w:color="auto" w:sz="4" w:space="0"/>
                    <w:right w:val="single" w:color="auto" w:sz="4" w:space="0"/>
                  </w:tcBorders>
                  <w:vAlign w:val="center"/>
                </w:tcPr>
                <w:p w14:paraId="2F687B32">
                  <w:pPr>
                    <w:pStyle w:val="26"/>
                    <w:rPr>
                      <w:rFonts w:hint="default" w:ascii="Times New Roman" w:hAnsi="Times New Roman" w:eastAsia="宋体" w:cs="Times New Roman"/>
                      <w:b w:val="0"/>
                      <w:bCs w:val="0"/>
                      <w:color w:val="auto"/>
                      <w:szCs w:val="21"/>
                      <w:highlight w:val="none"/>
                      <w:lang w:val="en-US" w:eastAsia="zh-CN"/>
                    </w:rPr>
                  </w:pPr>
                  <w:r>
                    <w:rPr>
                      <w:rFonts w:hint="eastAsia" w:eastAsia="宋体" w:cs="Times New Roman"/>
                      <w:b w:val="0"/>
                      <w:bCs w:val="0"/>
                      <w:color w:val="auto"/>
                      <w:szCs w:val="21"/>
                      <w:highlight w:val="none"/>
                      <w:lang w:val="en-US" w:eastAsia="zh-CN"/>
                    </w:rPr>
                    <w:t>油</w:t>
                  </w:r>
                  <w:r>
                    <w:rPr>
                      <w:rFonts w:hint="default" w:ascii="Times New Roman" w:hAnsi="Times New Roman" w:eastAsia="宋体" w:cs="Times New Roman"/>
                      <w:b w:val="0"/>
                      <w:bCs w:val="0"/>
                      <w:color w:val="auto"/>
                      <w:szCs w:val="21"/>
                      <w:highlight w:val="none"/>
                    </w:rPr>
                    <w:t>基钻井液</w:t>
                  </w:r>
                </w:p>
              </w:tc>
              <w:tc>
                <w:tcPr>
                  <w:tcW w:w="872" w:type="dxa"/>
                  <w:tcBorders>
                    <w:top w:val="single" w:color="auto" w:sz="4" w:space="0"/>
                    <w:left w:val="single" w:color="auto" w:sz="4" w:space="0"/>
                    <w:bottom w:val="single" w:color="auto" w:sz="4" w:space="0"/>
                    <w:right w:val="single" w:color="auto" w:sz="4" w:space="0"/>
                  </w:tcBorders>
                  <w:vAlign w:val="center"/>
                </w:tcPr>
                <w:p w14:paraId="5763ADF3">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Φ2</w:t>
                  </w:r>
                  <w:r>
                    <w:rPr>
                      <w:rFonts w:hint="eastAsia"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1</w:t>
                  </w:r>
                </w:p>
              </w:tc>
              <w:tc>
                <w:tcPr>
                  <w:tcW w:w="1097" w:type="dxa"/>
                  <w:tcBorders>
                    <w:top w:val="single" w:color="auto" w:sz="4" w:space="0"/>
                    <w:left w:val="single" w:color="auto" w:sz="4" w:space="0"/>
                    <w:bottom w:val="single" w:color="auto" w:sz="4" w:space="0"/>
                    <w:right w:val="single" w:color="auto" w:sz="4" w:space="0"/>
                  </w:tcBorders>
                  <w:vAlign w:val="center"/>
                </w:tcPr>
                <w:p w14:paraId="0B76FFCB">
                  <w:pPr>
                    <w:kinsoku/>
                    <w:jc w:val="center"/>
                    <w:textAlignment w:val="center"/>
                    <w:rPr>
                      <w:rFonts w:hint="default"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highlight w:val="none"/>
                      <w:lang w:val="en-US" w:eastAsia="zh-CN" w:bidi="ar"/>
                    </w:rPr>
                    <w:t>1000</w:t>
                  </w:r>
                  <w:r>
                    <w:rPr>
                      <w:rFonts w:hint="default" w:ascii="Times New Roman" w:hAnsi="Times New Roman" w:eastAsia="宋体" w:cs="Times New Roman"/>
                      <w:color w:val="auto"/>
                      <w:highlight w:val="none"/>
                      <w:lang w:eastAsia="zh-CN" w:bidi="ar"/>
                    </w:rPr>
                    <w:t>-</w:t>
                  </w:r>
                  <w:r>
                    <w:rPr>
                      <w:rFonts w:hint="eastAsia" w:ascii="Times New Roman" w:hAnsi="Times New Roman" w:eastAsia="宋体" w:cs="Times New Roman"/>
                      <w:color w:val="auto"/>
                      <w:highlight w:val="none"/>
                      <w:lang w:val="en-US" w:eastAsia="zh-CN" w:bidi="ar"/>
                    </w:rPr>
                    <w:t>3016</w:t>
                  </w:r>
                </w:p>
              </w:tc>
              <w:tc>
                <w:tcPr>
                  <w:tcW w:w="4590" w:type="dxa"/>
                  <w:tcBorders>
                    <w:top w:val="single" w:color="auto" w:sz="4" w:space="0"/>
                    <w:left w:val="single" w:color="auto" w:sz="4" w:space="0"/>
                    <w:right w:val="single" w:color="auto" w:sz="4" w:space="0"/>
                  </w:tcBorders>
                  <w:vAlign w:val="center"/>
                </w:tcPr>
                <w:p w14:paraId="1F1A70C1">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 xml:space="preserve">367.67 </w:t>
                  </w:r>
                </w:p>
              </w:tc>
            </w:tr>
            <w:tr w14:paraId="16928703">
              <w:trPr>
                <w:trHeight w:val="259" w:hRule="atLeast"/>
                <w:jc w:val="center"/>
              </w:trPr>
              <w:tc>
                <w:tcPr>
                  <w:tcW w:w="439" w:type="dxa"/>
                  <w:vMerge w:val="continue"/>
                  <w:tcBorders>
                    <w:left w:val="single" w:color="auto" w:sz="4" w:space="0"/>
                    <w:bottom w:val="single" w:color="auto" w:sz="4" w:space="0"/>
                    <w:right w:val="single" w:color="auto" w:sz="4" w:space="0"/>
                  </w:tcBorders>
                  <w:vAlign w:val="center"/>
                </w:tcPr>
                <w:p w14:paraId="0FCA8C0D">
                  <w:pPr>
                    <w:pStyle w:val="26"/>
                    <w:rPr>
                      <w:rFonts w:hint="default" w:ascii="Times New Roman" w:hAnsi="Times New Roman" w:eastAsia="宋体" w:cs="Times New Roman"/>
                      <w:b w:val="0"/>
                      <w:bCs w:val="0"/>
                      <w:color w:val="auto"/>
                      <w:szCs w:val="21"/>
                      <w:highlight w:val="none"/>
                    </w:rPr>
                  </w:pPr>
                </w:p>
              </w:tc>
              <w:tc>
                <w:tcPr>
                  <w:tcW w:w="1089" w:type="dxa"/>
                  <w:vMerge w:val="continue"/>
                  <w:tcBorders>
                    <w:left w:val="single" w:color="auto" w:sz="4" w:space="0"/>
                    <w:right w:val="single" w:color="auto" w:sz="4" w:space="0"/>
                  </w:tcBorders>
                  <w:vAlign w:val="center"/>
                </w:tcPr>
                <w:p w14:paraId="65EAE0C5">
                  <w:pPr>
                    <w:pStyle w:val="26"/>
                    <w:rPr>
                      <w:rFonts w:hint="default" w:ascii="Times New Roman" w:hAnsi="Times New Roman" w:eastAsia="宋体" w:cs="Times New Roman"/>
                      <w:b w:val="0"/>
                      <w:bCs w:val="0"/>
                      <w:color w:val="auto"/>
                      <w:szCs w:val="21"/>
                      <w:highlight w:val="none"/>
                    </w:rPr>
                  </w:pPr>
                </w:p>
              </w:tc>
              <w:tc>
                <w:tcPr>
                  <w:tcW w:w="872" w:type="dxa"/>
                  <w:tcBorders>
                    <w:top w:val="single" w:color="auto" w:sz="4" w:space="0"/>
                    <w:left w:val="single" w:color="auto" w:sz="4" w:space="0"/>
                    <w:bottom w:val="single" w:color="auto" w:sz="4" w:space="0"/>
                    <w:right w:val="single" w:color="auto" w:sz="4" w:space="0"/>
                  </w:tcBorders>
                  <w:vAlign w:val="center"/>
                </w:tcPr>
                <w:p w14:paraId="41DB9280">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Φ2</w:t>
                  </w:r>
                  <w:r>
                    <w:rPr>
                      <w:rFonts w:hint="eastAsia" w:eastAsia="宋体" w:cs="Times New Roman"/>
                      <w:b w:val="0"/>
                      <w:bCs w:val="0"/>
                      <w:color w:val="auto"/>
                      <w:sz w:val="21"/>
                      <w:szCs w:val="21"/>
                      <w:highlight w:val="none"/>
                      <w:lang w:val="en-US" w:eastAsia="zh-CN"/>
                    </w:rPr>
                    <w:t>16</w:t>
                  </w:r>
                </w:p>
              </w:tc>
              <w:tc>
                <w:tcPr>
                  <w:tcW w:w="1097" w:type="dxa"/>
                  <w:tcBorders>
                    <w:top w:val="single" w:color="auto" w:sz="4" w:space="0"/>
                    <w:left w:val="single" w:color="auto" w:sz="4" w:space="0"/>
                    <w:bottom w:val="single" w:color="auto" w:sz="4" w:space="0"/>
                    <w:right w:val="single" w:color="auto" w:sz="4" w:space="0"/>
                  </w:tcBorders>
                  <w:vAlign w:val="center"/>
                </w:tcPr>
                <w:p w14:paraId="18658B94">
                  <w:pPr>
                    <w:kinsoku/>
                    <w:jc w:val="center"/>
                    <w:textAlignment w:val="center"/>
                    <w:rPr>
                      <w:rFonts w:hint="eastAsia"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3016-3827.83</w:t>
                  </w:r>
                </w:p>
              </w:tc>
              <w:tc>
                <w:tcPr>
                  <w:tcW w:w="4590" w:type="dxa"/>
                  <w:tcBorders>
                    <w:left w:val="single" w:color="auto" w:sz="4" w:space="0"/>
                    <w:bottom w:val="single" w:color="auto" w:sz="4" w:space="0"/>
                    <w:right w:val="single" w:color="auto" w:sz="4" w:space="0"/>
                  </w:tcBorders>
                  <w:vAlign w:val="center"/>
                </w:tcPr>
                <w:p w14:paraId="03ED3FB8">
                  <w:pPr>
                    <w:kinsoku/>
                    <w:jc w:val="center"/>
                    <w:textAlignment w:val="center"/>
                    <w:rPr>
                      <w:rFonts w:hint="eastAsia"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 xml:space="preserve">118.93 </w:t>
                  </w:r>
                </w:p>
              </w:tc>
            </w:tr>
            <w:tr w14:paraId="3B35FB02">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9223F95">
                  <w:pPr>
                    <w:kinsoku/>
                    <w:jc w:val="center"/>
                    <w:textAlignment w:val="center"/>
                    <w:rPr>
                      <w:rFonts w:hint="default"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rPr>
                    <w:t>阜2602</w:t>
                  </w:r>
                  <w:r>
                    <w:rPr>
                      <w:rFonts w:hint="default" w:ascii="Times New Roman" w:hAnsi="Times New Roman" w:eastAsia="宋体" w:cs="Times New Roman"/>
                      <w:color w:val="auto"/>
                      <w:highlight w:val="none"/>
                      <w:lang w:val="en-US" w:eastAsia="zh-CN"/>
                    </w:rPr>
                    <w:t>-1</w:t>
                  </w:r>
                </w:p>
              </w:tc>
            </w:tr>
            <w:tr w14:paraId="39CBCF85">
              <w:trPr>
                <w:trHeight w:val="193" w:hRule="atLeast"/>
                <w:jc w:val="center"/>
              </w:trPr>
              <w:tc>
                <w:tcPr>
                  <w:tcW w:w="272" w:type="pct"/>
                  <w:tcBorders>
                    <w:top w:val="single" w:color="auto" w:sz="4" w:space="0"/>
                    <w:left w:val="single" w:color="auto" w:sz="4" w:space="0"/>
                    <w:bottom w:val="single" w:color="auto" w:sz="4" w:space="0"/>
                    <w:right w:val="single" w:color="auto" w:sz="4" w:space="0"/>
                  </w:tcBorders>
                  <w:vAlign w:val="center"/>
                </w:tcPr>
                <w:p w14:paraId="04C5DDF9">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导眼</w:t>
                  </w:r>
                </w:p>
              </w:tc>
              <w:tc>
                <w:tcPr>
                  <w:tcW w:w="673" w:type="pct"/>
                  <w:tcBorders>
                    <w:left w:val="single" w:color="auto" w:sz="4" w:space="0"/>
                    <w:right w:val="single" w:color="auto" w:sz="4" w:space="0"/>
                  </w:tcBorders>
                  <w:vAlign w:val="center"/>
                </w:tcPr>
                <w:p w14:paraId="2506A6DD">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水基钻井液</w:t>
                  </w:r>
                </w:p>
              </w:tc>
              <w:tc>
                <w:tcPr>
                  <w:tcW w:w="539" w:type="pct"/>
                  <w:tcBorders>
                    <w:top w:val="single" w:color="auto" w:sz="4" w:space="0"/>
                    <w:left w:val="single" w:color="auto" w:sz="4" w:space="0"/>
                    <w:bottom w:val="single" w:color="auto" w:sz="4" w:space="0"/>
                    <w:right w:val="single" w:color="auto" w:sz="4" w:space="0"/>
                  </w:tcBorders>
                  <w:vAlign w:val="center"/>
                </w:tcPr>
                <w:p w14:paraId="41BEACED">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Φ660</w:t>
                  </w:r>
                </w:p>
              </w:tc>
              <w:tc>
                <w:tcPr>
                  <w:tcW w:w="677" w:type="pct"/>
                  <w:tcBorders>
                    <w:top w:val="single" w:color="auto" w:sz="4" w:space="0"/>
                    <w:left w:val="single" w:color="auto" w:sz="4" w:space="0"/>
                    <w:bottom w:val="single" w:color="auto" w:sz="4" w:space="0"/>
                    <w:right w:val="single" w:color="auto" w:sz="4" w:space="0"/>
                  </w:tcBorders>
                  <w:vAlign w:val="center"/>
                </w:tcPr>
                <w:p w14:paraId="5396359A">
                  <w:pPr>
                    <w:kinsoku/>
                    <w:jc w:val="center"/>
                    <w:textAlignment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0-30</w:t>
                  </w:r>
                </w:p>
              </w:tc>
              <w:tc>
                <w:tcPr>
                  <w:tcW w:w="4590" w:type="dxa"/>
                  <w:tcBorders>
                    <w:top w:val="single" w:color="auto" w:sz="4" w:space="0"/>
                    <w:left w:val="single" w:color="auto" w:sz="4" w:space="0"/>
                    <w:bottom w:val="single" w:color="auto" w:sz="4" w:space="0"/>
                    <w:right w:val="single" w:color="auto" w:sz="4" w:space="0"/>
                  </w:tcBorders>
                  <w:vAlign w:val="center"/>
                </w:tcPr>
                <w:p w14:paraId="6D00A88B">
                  <w:pPr>
                    <w:kinsoku/>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highlight w:val="none"/>
                      <w:lang w:val="en-US" w:eastAsia="zh-CN" w:bidi="ar"/>
                    </w:rPr>
                    <w:t xml:space="preserve">18.47 </w:t>
                  </w:r>
                </w:p>
              </w:tc>
            </w:tr>
            <w:tr w14:paraId="4A85DB45">
              <w:trPr>
                <w:trHeight w:val="193" w:hRule="atLeast"/>
                <w:jc w:val="center"/>
              </w:trPr>
              <w:tc>
                <w:tcPr>
                  <w:tcW w:w="272" w:type="pct"/>
                  <w:tcBorders>
                    <w:top w:val="single" w:color="auto" w:sz="4" w:space="0"/>
                    <w:left w:val="single" w:color="auto" w:sz="4" w:space="0"/>
                    <w:bottom w:val="single" w:color="auto" w:sz="4" w:space="0"/>
                    <w:right w:val="single" w:color="auto" w:sz="4" w:space="0"/>
                  </w:tcBorders>
                  <w:vAlign w:val="center"/>
                </w:tcPr>
                <w:p w14:paraId="1EEBEBB6">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一开</w:t>
                  </w:r>
                </w:p>
              </w:tc>
              <w:tc>
                <w:tcPr>
                  <w:tcW w:w="673" w:type="pct"/>
                  <w:tcBorders>
                    <w:left w:val="single" w:color="auto" w:sz="4" w:space="0"/>
                    <w:right w:val="single" w:color="auto" w:sz="4" w:space="0"/>
                  </w:tcBorders>
                  <w:vAlign w:val="center"/>
                </w:tcPr>
                <w:p w14:paraId="4C4D0199">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水基钻井液</w:t>
                  </w:r>
                </w:p>
              </w:tc>
              <w:tc>
                <w:tcPr>
                  <w:tcW w:w="539" w:type="pct"/>
                  <w:tcBorders>
                    <w:top w:val="single" w:color="auto" w:sz="4" w:space="0"/>
                    <w:left w:val="single" w:color="auto" w:sz="4" w:space="0"/>
                    <w:bottom w:val="single" w:color="auto" w:sz="4" w:space="0"/>
                    <w:right w:val="single" w:color="auto" w:sz="4" w:space="0"/>
                  </w:tcBorders>
                  <w:vAlign w:val="center"/>
                </w:tcPr>
                <w:p w14:paraId="087FE67F">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Φ375</w:t>
                  </w:r>
                </w:p>
              </w:tc>
              <w:tc>
                <w:tcPr>
                  <w:tcW w:w="677" w:type="pct"/>
                  <w:tcBorders>
                    <w:top w:val="single" w:color="auto" w:sz="4" w:space="0"/>
                    <w:left w:val="single" w:color="auto" w:sz="4" w:space="0"/>
                    <w:bottom w:val="single" w:color="auto" w:sz="4" w:space="0"/>
                    <w:right w:val="single" w:color="auto" w:sz="4" w:space="0"/>
                  </w:tcBorders>
                  <w:vAlign w:val="center"/>
                </w:tcPr>
                <w:p w14:paraId="183ED0BA">
                  <w:pPr>
                    <w:kinsoku/>
                    <w:jc w:val="center"/>
                    <w:textAlignment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eastAsia="zh-CN" w:bidi="ar"/>
                    </w:rPr>
                    <w:t>30-</w:t>
                  </w:r>
                  <w:r>
                    <w:rPr>
                      <w:rFonts w:hint="eastAsia" w:ascii="Times New Roman" w:hAnsi="Times New Roman" w:eastAsia="宋体" w:cs="Times New Roman"/>
                      <w:color w:val="auto"/>
                      <w:highlight w:val="none"/>
                      <w:lang w:val="en-US" w:eastAsia="zh-CN" w:bidi="ar"/>
                    </w:rPr>
                    <w:t>1000</w:t>
                  </w:r>
                </w:p>
              </w:tc>
              <w:tc>
                <w:tcPr>
                  <w:tcW w:w="4590" w:type="dxa"/>
                  <w:tcBorders>
                    <w:top w:val="single" w:color="auto" w:sz="4" w:space="0"/>
                    <w:left w:val="single" w:color="auto" w:sz="4" w:space="0"/>
                    <w:bottom w:val="single" w:color="auto" w:sz="4" w:space="0"/>
                    <w:right w:val="single" w:color="auto" w:sz="4" w:space="0"/>
                  </w:tcBorders>
                  <w:vAlign w:val="center"/>
                </w:tcPr>
                <w:p w14:paraId="042221FF">
                  <w:pPr>
                    <w:kinsoku/>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highlight w:val="none"/>
                      <w:lang w:val="en-US" w:eastAsia="zh-CN" w:bidi="ar"/>
                    </w:rPr>
                    <w:t xml:space="preserve">192.74 </w:t>
                  </w:r>
                </w:p>
              </w:tc>
            </w:tr>
            <w:tr w14:paraId="32DB1625">
              <w:trPr>
                <w:trHeight w:val="229" w:hRule="atLeast"/>
                <w:jc w:val="center"/>
              </w:trPr>
              <w:tc>
                <w:tcPr>
                  <w:tcW w:w="439" w:type="dxa"/>
                  <w:vMerge w:val="restart"/>
                  <w:tcBorders>
                    <w:top w:val="single" w:color="auto" w:sz="4" w:space="0"/>
                    <w:left w:val="single" w:color="auto" w:sz="4" w:space="0"/>
                    <w:right w:val="single" w:color="auto" w:sz="4" w:space="0"/>
                  </w:tcBorders>
                  <w:vAlign w:val="center"/>
                </w:tcPr>
                <w:p w14:paraId="64BDFEAD">
                  <w:pPr>
                    <w:pStyle w:val="26"/>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二开</w:t>
                  </w:r>
                </w:p>
              </w:tc>
              <w:tc>
                <w:tcPr>
                  <w:tcW w:w="1089" w:type="dxa"/>
                  <w:vMerge w:val="restart"/>
                  <w:tcBorders>
                    <w:left w:val="single" w:color="auto" w:sz="4" w:space="0"/>
                    <w:right w:val="single" w:color="auto" w:sz="4" w:space="0"/>
                  </w:tcBorders>
                  <w:vAlign w:val="center"/>
                </w:tcPr>
                <w:p w14:paraId="3CFFF604">
                  <w:pPr>
                    <w:pStyle w:val="26"/>
                    <w:rPr>
                      <w:rFonts w:hint="default" w:ascii="Times New Roman" w:hAnsi="Times New Roman" w:eastAsia="宋体" w:cs="Times New Roman"/>
                      <w:b w:val="0"/>
                      <w:bCs w:val="0"/>
                      <w:color w:val="auto"/>
                      <w:szCs w:val="21"/>
                      <w:highlight w:val="none"/>
                    </w:rPr>
                  </w:pPr>
                  <w:r>
                    <w:rPr>
                      <w:rFonts w:hint="eastAsia" w:eastAsia="宋体" w:cs="Times New Roman"/>
                      <w:b w:val="0"/>
                      <w:bCs w:val="0"/>
                      <w:color w:val="auto"/>
                      <w:szCs w:val="21"/>
                      <w:highlight w:val="none"/>
                      <w:lang w:val="en-US" w:eastAsia="zh-CN"/>
                    </w:rPr>
                    <w:t>油</w:t>
                  </w:r>
                  <w:r>
                    <w:rPr>
                      <w:rFonts w:hint="default" w:ascii="Times New Roman" w:hAnsi="Times New Roman" w:eastAsia="宋体" w:cs="Times New Roman"/>
                      <w:b w:val="0"/>
                      <w:bCs w:val="0"/>
                      <w:color w:val="auto"/>
                      <w:szCs w:val="21"/>
                      <w:highlight w:val="none"/>
                    </w:rPr>
                    <w:t>基钻井液</w:t>
                  </w:r>
                </w:p>
              </w:tc>
              <w:tc>
                <w:tcPr>
                  <w:tcW w:w="872" w:type="dxa"/>
                  <w:tcBorders>
                    <w:top w:val="single" w:color="auto" w:sz="4" w:space="0"/>
                    <w:left w:val="single" w:color="auto" w:sz="4" w:space="0"/>
                    <w:bottom w:val="single" w:color="auto" w:sz="4" w:space="0"/>
                    <w:right w:val="single" w:color="auto" w:sz="4" w:space="0"/>
                  </w:tcBorders>
                  <w:vAlign w:val="center"/>
                </w:tcPr>
                <w:p w14:paraId="1BEA08BE">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Φ2</w:t>
                  </w:r>
                  <w:r>
                    <w:rPr>
                      <w:rFonts w:hint="eastAsia"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1</w:t>
                  </w:r>
                </w:p>
              </w:tc>
              <w:tc>
                <w:tcPr>
                  <w:tcW w:w="1097" w:type="dxa"/>
                  <w:tcBorders>
                    <w:top w:val="single" w:color="auto" w:sz="4" w:space="0"/>
                    <w:left w:val="single" w:color="auto" w:sz="4" w:space="0"/>
                    <w:bottom w:val="single" w:color="auto" w:sz="4" w:space="0"/>
                    <w:right w:val="single" w:color="auto" w:sz="4" w:space="0"/>
                  </w:tcBorders>
                  <w:vAlign w:val="center"/>
                </w:tcPr>
                <w:p w14:paraId="63EA09BC">
                  <w:pPr>
                    <w:kinsoku/>
                    <w:jc w:val="center"/>
                    <w:textAlignment w:val="center"/>
                    <w:rPr>
                      <w:rFonts w:hint="default"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highlight w:val="none"/>
                      <w:lang w:val="en-US" w:eastAsia="zh-CN" w:bidi="ar"/>
                    </w:rPr>
                    <w:t>1000</w:t>
                  </w:r>
                  <w:r>
                    <w:rPr>
                      <w:rFonts w:hint="default" w:ascii="Times New Roman" w:hAnsi="Times New Roman" w:eastAsia="宋体" w:cs="Times New Roman"/>
                      <w:color w:val="auto"/>
                      <w:highlight w:val="none"/>
                      <w:lang w:eastAsia="zh-CN" w:bidi="ar"/>
                    </w:rPr>
                    <w:t>-</w:t>
                  </w:r>
                  <w:r>
                    <w:rPr>
                      <w:rFonts w:hint="eastAsia" w:ascii="Times New Roman" w:hAnsi="Times New Roman" w:eastAsia="宋体" w:cs="Times New Roman"/>
                      <w:color w:val="auto"/>
                      <w:highlight w:val="none"/>
                      <w:lang w:val="en-US" w:eastAsia="zh-CN" w:bidi="ar"/>
                    </w:rPr>
                    <w:t>3016</w:t>
                  </w:r>
                </w:p>
              </w:tc>
              <w:tc>
                <w:tcPr>
                  <w:tcW w:w="4590" w:type="dxa"/>
                  <w:tcBorders>
                    <w:top w:val="single" w:color="auto" w:sz="4" w:space="0"/>
                    <w:left w:val="single" w:color="auto" w:sz="4" w:space="0"/>
                    <w:right w:val="single" w:color="auto" w:sz="4" w:space="0"/>
                  </w:tcBorders>
                  <w:vAlign w:val="center"/>
                </w:tcPr>
                <w:p w14:paraId="38CABCF3">
                  <w:pPr>
                    <w:kinsoku/>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highlight w:val="none"/>
                      <w:lang w:val="en-US" w:eastAsia="zh-CN" w:bidi="ar"/>
                    </w:rPr>
                    <w:t xml:space="preserve">367.67 </w:t>
                  </w:r>
                </w:p>
              </w:tc>
            </w:tr>
            <w:tr w14:paraId="141DAC5D">
              <w:trPr>
                <w:trHeight w:val="263" w:hRule="atLeast"/>
                <w:jc w:val="center"/>
              </w:trPr>
              <w:tc>
                <w:tcPr>
                  <w:tcW w:w="439" w:type="dxa"/>
                  <w:vMerge w:val="continue"/>
                  <w:tcBorders>
                    <w:left w:val="single" w:color="auto" w:sz="4" w:space="0"/>
                    <w:bottom w:val="single" w:color="auto" w:sz="4" w:space="0"/>
                    <w:right w:val="single" w:color="auto" w:sz="4" w:space="0"/>
                  </w:tcBorders>
                  <w:vAlign w:val="center"/>
                </w:tcPr>
                <w:p w14:paraId="69D425E8">
                  <w:pPr>
                    <w:pStyle w:val="26"/>
                    <w:rPr>
                      <w:rFonts w:hint="default" w:ascii="Times New Roman" w:hAnsi="Times New Roman" w:eastAsia="宋体" w:cs="Times New Roman"/>
                      <w:b w:val="0"/>
                      <w:bCs w:val="0"/>
                      <w:color w:val="auto"/>
                      <w:szCs w:val="21"/>
                      <w:highlight w:val="none"/>
                    </w:rPr>
                  </w:pPr>
                </w:p>
              </w:tc>
              <w:tc>
                <w:tcPr>
                  <w:tcW w:w="1089" w:type="dxa"/>
                  <w:vMerge w:val="continue"/>
                  <w:tcBorders>
                    <w:left w:val="single" w:color="auto" w:sz="4" w:space="0"/>
                    <w:right w:val="single" w:color="auto" w:sz="4" w:space="0"/>
                  </w:tcBorders>
                  <w:vAlign w:val="center"/>
                </w:tcPr>
                <w:p w14:paraId="05A78130">
                  <w:pPr>
                    <w:pStyle w:val="26"/>
                    <w:rPr>
                      <w:rFonts w:hint="default" w:ascii="Times New Roman" w:hAnsi="Times New Roman" w:eastAsia="宋体" w:cs="Times New Roman"/>
                      <w:b w:val="0"/>
                      <w:bCs w:val="0"/>
                      <w:color w:val="auto"/>
                      <w:szCs w:val="21"/>
                      <w:highlight w:val="none"/>
                    </w:rPr>
                  </w:pPr>
                </w:p>
              </w:tc>
              <w:tc>
                <w:tcPr>
                  <w:tcW w:w="872" w:type="dxa"/>
                  <w:tcBorders>
                    <w:top w:val="single" w:color="auto" w:sz="4" w:space="0"/>
                    <w:left w:val="single" w:color="auto" w:sz="4" w:space="0"/>
                    <w:bottom w:val="single" w:color="auto" w:sz="4" w:space="0"/>
                    <w:right w:val="single" w:color="auto" w:sz="4" w:space="0"/>
                  </w:tcBorders>
                  <w:vAlign w:val="center"/>
                </w:tcPr>
                <w:p w14:paraId="04BB73EC">
                  <w:pPr>
                    <w:pStyle w:val="2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Φ2</w:t>
                  </w:r>
                  <w:r>
                    <w:rPr>
                      <w:rFonts w:hint="eastAsia" w:eastAsia="宋体" w:cs="Times New Roman"/>
                      <w:b w:val="0"/>
                      <w:bCs w:val="0"/>
                      <w:color w:val="auto"/>
                      <w:sz w:val="21"/>
                      <w:szCs w:val="21"/>
                      <w:highlight w:val="none"/>
                      <w:lang w:val="en-US" w:eastAsia="zh-CN"/>
                    </w:rPr>
                    <w:t>16</w:t>
                  </w:r>
                </w:p>
              </w:tc>
              <w:tc>
                <w:tcPr>
                  <w:tcW w:w="1097" w:type="dxa"/>
                  <w:tcBorders>
                    <w:top w:val="single" w:color="auto" w:sz="4" w:space="0"/>
                    <w:left w:val="single" w:color="auto" w:sz="4" w:space="0"/>
                    <w:bottom w:val="single" w:color="auto" w:sz="4" w:space="0"/>
                    <w:right w:val="single" w:color="auto" w:sz="4" w:space="0"/>
                  </w:tcBorders>
                  <w:vAlign w:val="center"/>
                </w:tcPr>
                <w:p w14:paraId="67756322">
                  <w:pPr>
                    <w:kinsoku/>
                    <w:jc w:val="center"/>
                    <w:textAlignment w:val="center"/>
                    <w:rPr>
                      <w:rFonts w:hint="eastAsia" w:ascii="Times New Roman" w:hAnsi="Times New Roman" w:eastAsia="宋体" w:cs="Times New Roman"/>
                      <w:color w:val="auto"/>
                      <w:highlight w:val="none"/>
                      <w:lang w:val="en-US" w:eastAsia="zh-CN" w:bidi="ar"/>
                    </w:rPr>
                  </w:pPr>
                  <w:r>
                    <w:rPr>
                      <w:rFonts w:hint="eastAsia" w:ascii="Times New Roman" w:hAnsi="Times New Roman" w:eastAsia="宋体" w:cs="Times New Roman"/>
                      <w:color w:val="auto"/>
                      <w:highlight w:val="none"/>
                      <w:lang w:val="en-US" w:eastAsia="zh-CN" w:bidi="ar"/>
                    </w:rPr>
                    <w:t>3016-3827.83</w:t>
                  </w:r>
                </w:p>
              </w:tc>
              <w:tc>
                <w:tcPr>
                  <w:tcW w:w="4590" w:type="dxa"/>
                  <w:tcBorders>
                    <w:left w:val="single" w:color="auto" w:sz="4" w:space="0"/>
                    <w:bottom w:val="single" w:color="auto" w:sz="4" w:space="0"/>
                    <w:right w:val="single" w:color="auto" w:sz="4" w:space="0"/>
                  </w:tcBorders>
                  <w:vAlign w:val="center"/>
                </w:tcPr>
                <w:p w14:paraId="55B1041D">
                  <w:pPr>
                    <w:kinsoku/>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highlight w:val="none"/>
                      <w:lang w:val="en-US" w:eastAsia="zh-CN" w:bidi="ar"/>
                    </w:rPr>
                    <w:t xml:space="preserve">118.93 </w:t>
                  </w:r>
                </w:p>
              </w:tc>
            </w:tr>
            <w:tr w14:paraId="2A8CF348">
              <w:trPr>
                <w:trHeight w:val="193" w:hRule="atLeast"/>
                <w:jc w:val="center"/>
              </w:trPr>
              <w:tc>
                <w:tcPr>
                  <w:tcW w:w="2162" w:type="pct"/>
                  <w:gridSpan w:val="4"/>
                  <w:tcBorders>
                    <w:top w:val="single" w:color="auto" w:sz="4" w:space="0"/>
                    <w:left w:val="single" w:color="auto" w:sz="4" w:space="0"/>
                    <w:bottom w:val="single" w:color="auto" w:sz="4" w:space="0"/>
                    <w:right w:val="single" w:color="auto" w:sz="4" w:space="0"/>
                  </w:tcBorders>
                  <w:vAlign w:val="center"/>
                </w:tcPr>
                <w:p w14:paraId="1160E6CD">
                  <w:pPr>
                    <w:kinsoku/>
                    <w:jc w:val="center"/>
                    <w:textAlignment w:val="center"/>
                    <w:rPr>
                      <w:rFonts w:hint="default"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rPr>
                    <w:t>合计</w:t>
                  </w:r>
                </w:p>
              </w:tc>
              <w:tc>
                <w:tcPr>
                  <w:tcW w:w="2837" w:type="pct"/>
                  <w:tcBorders>
                    <w:top w:val="single" w:color="auto" w:sz="4" w:space="0"/>
                    <w:left w:val="single" w:color="auto" w:sz="4" w:space="0"/>
                    <w:bottom w:val="single" w:color="auto" w:sz="4" w:space="0"/>
                    <w:right w:val="single" w:color="auto" w:sz="4" w:space="0"/>
                  </w:tcBorders>
                </w:tcPr>
                <w:p w14:paraId="28793AED">
                  <w:pPr>
                    <w:kinsoku/>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1395.61</w:t>
                  </w:r>
                  <w:r>
                    <w:rPr>
                      <w:rFonts w:hint="default" w:ascii="Times New Roman" w:hAnsi="Times New Roman" w:eastAsia="宋体" w:cs="Times New Roman"/>
                      <w:color w:val="auto"/>
                      <w:highlight w:val="none"/>
                      <w:lang w:eastAsia="zh-CN"/>
                    </w:rPr>
                    <w:t>，其中水基岩屑</w:t>
                  </w:r>
                  <w:r>
                    <w:rPr>
                      <w:rFonts w:hint="eastAsia" w:ascii="Times New Roman" w:hAnsi="Times New Roman" w:eastAsia="宋体" w:cs="Times New Roman"/>
                      <w:color w:val="auto"/>
                      <w:highlight w:val="none"/>
                      <w:lang w:val="en-US" w:eastAsia="zh-CN"/>
                    </w:rPr>
                    <w:t>422.41</w:t>
                  </w:r>
                  <w:r>
                    <w:rPr>
                      <w:rFonts w:hint="default" w:ascii="Times New Roman" w:hAnsi="Times New Roman" w:eastAsia="宋体" w:cs="Times New Roman"/>
                      <w:color w:val="auto"/>
                      <w:highlight w:val="none"/>
                      <w:lang w:eastAsia="zh-CN"/>
                    </w:rPr>
                    <w:t>，油基岩屑</w:t>
                  </w:r>
                  <w:r>
                    <w:rPr>
                      <w:rFonts w:hint="eastAsia" w:ascii="Times New Roman" w:hAnsi="Times New Roman" w:eastAsia="宋体" w:cs="Times New Roman"/>
                      <w:color w:val="auto"/>
                      <w:highlight w:val="none"/>
                      <w:lang w:val="en-US" w:eastAsia="zh-CN"/>
                    </w:rPr>
                    <w:t>973.20</w:t>
                  </w:r>
                </w:p>
              </w:tc>
            </w:tr>
          </w:tbl>
          <w:p w14:paraId="1F5D2449">
            <w:pPr>
              <w:pStyle w:val="23"/>
              <w:widowControl w:val="0"/>
              <w:kinsoku/>
              <w:spacing w:before="38" w:line="360" w:lineRule="auto"/>
              <w:ind w:right="4"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结合本项目钻井液体系及钻井阶段差异，钻井岩屑实行分类</w:t>
            </w:r>
            <w:r>
              <w:rPr>
                <w:rFonts w:hint="default" w:ascii="Times New Roman" w:hAnsi="Times New Roman" w:eastAsia="宋体" w:cs="Times New Roman"/>
                <w:color w:val="auto"/>
                <w:sz w:val="24"/>
                <w:szCs w:val="24"/>
              </w:rPr>
              <w:t>管理、分段处置：</w:t>
            </w:r>
          </w:p>
          <w:p w14:paraId="51A40C07">
            <w:pPr>
              <w:pStyle w:val="23"/>
              <w:widowControl w:val="0"/>
              <w:kinsoku/>
              <w:spacing w:before="38" w:line="360" w:lineRule="auto"/>
              <w:ind w:right="4"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钻井过程中</w:t>
            </w:r>
            <w:r>
              <w:rPr>
                <w:rFonts w:hint="default" w:ascii="Times New Roman" w:hAnsi="Times New Roman" w:eastAsia="宋体" w:cs="Times New Roman"/>
                <w:color w:val="auto"/>
                <w:sz w:val="24"/>
                <w:szCs w:val="24"/>
                <w:lang w:eastAsia="zh-CN"/>
              </w:rPr>
              <w:t>产生的水基钻井岩屑不属于危险废物，经“泥浆不落地”系统处理，</w:t>
            </w:r>
            <w:r>
              <w:rPr>
                <w:rFonts w:hint="eastAsia" w:ascii="Times New Roman" w:hAnsi="Times New Roman" w:eastAsia="宋体" w:cs="Times New Roman"/>
                <w:color w:val="auto"/>
                <w:sz w:val="24"/>
                <w:szCs w:val="24"/>
                <w:lang w:val="en-US" w:eastAsia="zh-CN"/>
              </w:rPr>
              <w:t>委托具有</w:t>
            </w:r>
            <w:r>
              <w:rPr>
                <w:rFonts w:hint="default" w:ascii="Times New Roman" w:hAnsi="Times New Roman" w:eastAsia="宋体" w:cs="Times New Roman"/>
                <w:color w:val="auto"/>
                <w:sz w:val="24"/>
                <w:szCs w:val="24"/>
                <w:lang w:eastAsia="zh-CN"/>
              </w:rPr>
              <w:t>相应处理能力的第三方</w:t>
            </w:r>
            <w:r>
              <w:rPr>
                <w:rFonts w:hint="eastAsia" w:ascii="Times New Roman" w:hAnsi="Times New Roman" w:eastAsia="宋体" w:cs="Times New Roman"/>
                <w:color w:val="auto"/>
                <w:sz w:val="24"/>
                <w:szCs w:val="24"/>
                <w:lang w:val="en-US" w:eastAsia="zh-CN"/>
              </w:rPr>
              <w:t>环保</w:t>
            </w:r>
            <w:r>
              <w:rPr>
                <w:rFonts w:hint="default" w:ascii="Times New Roman" w:hAnsi="Times New Roman" w:eastAsia="宋体" w:cs="Times New Roman"/>
                <w:color w:val="auto"/>
                <w:sz w:val="24"/>
                <w:szCs w:val="24"/>
                <w:lang w:eastAsia="zh-CN"/>
              </w:rPr>
              <w:t>单位进行集中处置，经检测达到《油气田钻井固体废物综合利用污染控制要求》（DB65/T3997-2017）相关标准限值后综合利用；产生的油基钻井岩屑属于危险废物，</w:t>
            </w:r>
            <w:r>
              <w:rPr>
                <w:rFonts w:hint="default" w:ascii="Times New Roman" w:hAnsi="Times New Roman" w:eastAsia="宋体" w:cs="Times New Roman"/>
                <w:color w:val="auto"/>
                <w:sz w:val="24"/>
                <w:szCs w:val="24"/>
                <w:lang w:val="en-US" w:eastAsia="zh-CN"/>
              </w:rPr>
              <w:t>规范</w:t>
            </w:r>
            <w:r>
              <w:rPr>
                <w:rFonts w:hint="default" w:ascii="Times New Roman" w:hAnsi="Times New Roman" w:eastAsia="宋体" w:cs="Times New Roman"/>
                <w:color w:val="auto"/>
                <w:sz w:val="24"/>
                <w:szCs w:val="24"/>
                <w:lang w:eastAsia="zh-CN"/>
              </w:rPr>
              <w:t>收集、防渗暂存，委托具有危险废物经营资质的单位</w:t>
            </w:r>
            <w:r>
              <w:rPr>
                <w:rFonts w:hint="eastAsia" w:ascii="Times New Roman" w:hAnsi="Times New Roman" w:eastAsia="宋体" w:cs="Times New Roman"/>
                <w:color w:val="auto"/>
                <w:sz w:val="24"/>
                <w:szCs w:val="24"/>
                <w:lang w:val="en-US" w:eastAsia="zh-CN"/>
              </w:rPr>
              <w:t>及时</w:t>
            </w:r>
            <w:r>
              <w:rPr>
                <w:rFonts w:hint="default" w:ascii="Times New Roman" w:hAnsi="Times New Roman" w:eastAsia="宋体" w:cs="Times New Roman"/>
                <w:color w:val="auto"/>
                <w:sz w:val="24"/>
                <w:szCs w:val="24"/>
                <w:lang w:eastAsia="zh-CN"/>
              </w:rPr>
              <w:t>规范处置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日产日清</w:t>
            </w:r>
            <w:r>
              <w:rPr>
                <w:rFonts w:hint="eastAsia" w:ascii="Times New Roman" w:hAnsi="Times New Roman" w:eastAsia="宋体" w:cs="Times New Roman"/>
                <w:color w:val="auto"/>
                <w:sz w:val="24"/>
                <w:szCs w:val="24"/>
                <w:lang w:eastAsia="zh-CN"/>
              </w:rPr>
              <w:t>）。</w:t>
            </w:r>
          </w:p>
          <w:p w14:paraId="74C1C036">
            <w:pPr>
              <w:pStyle w:val="23"/>
              <w:widowControl w:val="0"/>
              <w:kinsoku/>
              <w:spacing w:before="38" w:line="360" w:lineRule="auto"/>
              <w:ind w:right="4"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本项目钻井岩屑在产生、暂存、转运和处置全过程中均纳入建设单位环保管理体系，严格执行分类管理、规范处置和风险可控原则，不会对周边环境产生不利影响。</w:t>
            </w:r>
          </w:p>
          <w:p w14:paraId="04C350E6">
            <w:pPr>
              <w:pStyle w:val="23"/>
              <w:widowControl w:val="0"/>
              <w:kinsoku/>
              <w:spacing w:line="360" w:lineRule="auto"/>
              <w:ind w:left="3"/>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6.3生活垃圾</w:t>
            </w:r>
          </w:p>
          <w:p w14:paraId="540337A8">
            <w:pPr>
              <w:pStyle w:val="23"/>
              <w:widowControl w:val="0"/>
              <w:kinsoku/>
              <w:spacing w:before="38" w:line="360" w:lineRule="auto"/>
              <w:ind w:left="3" w:right="4" w:firstLine="48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4"/>
                <w:sz w:val="24"/>
                <w:szCs w:val="24"/>
                <w:lang w:eastAsia="zh-CN"/>
              </w:rPr>
              <w:t>钻井期钻井人数</w:t>
            </w:r>
            <w:r>
              <w:rPr>
                <w:rFonts w:hint="default" w:ascii="Times New Roman" w:hAnsi="Times New Roman" w:eastAsia="宋体" w:cs="Times New Roman"/>
                <w:color w:val="auto"/>
                <w:spacing w:val="4"/>
                <w:sz w:val="24"/>
                <w:szCs w:val="24"/>
                <w:lang w:val="en-US" w:eastAsia="zh-CN"/>
              </w:rPr>
              <w:t>5</w:t>
            </w:r>
            <w:r>
              <w:rPr>
                <w:rFonts w:hint="default" w:ascii="Times New Roman" w:hAnsi="Times New Roman" w:eastAsia="宋体" w:cs="Times New Roman"/>
                <w:color w:val="auto"/>
                <w:spacing w:val="4"/>
                <w:sz w:val="24"/>
                <w:szCs w:val="24"/>
                <w:highlight w:val="none"/>
                <w:lang w:val="en-US" w:eastAsia="zh-CN"/>
              </w:rPr>
              <w:t>0</w:t>
            </w:r>
            <w:r>
              <w:rPr>
                <w:rFonts w:hint="default" w:ascii="Times New Roman" w:hAnsi="Times New Roman" w:eastAsia="宋体" w:cs="Times New Roman"/>
                <w:color w:val="auto"/>
                <w:spacing w:val="4"/>
                <w:sz w:val="24"/>
                <w:szCs w:val="24"/>
                <w:highlight w:val="none"/>
                <w:lang w:eastAsia="zh-CN"/>
              </w:rPr>
              <w:t>人，单井钻井天数90天，</w:t>
            </w:r>
            <w:r>
              <w:rPr>
                <w:rFonts w:hint="default" w:ascii="Times New Roman" w:hAnsi="Times New Roman" w:eastAsia="宋体" w:cs="Times New Roman"/>
                <w:color w:val="auto"/>
                <w:spacing w:val="-2"/>
                <w:sz w:val="24"/>
                <w:szCs w:val="24"/>
                <w:highlight w:val="none"/>
                <w:lang w:eastAsia="zh-CN"/>
              </w:rPr>
              <w:t>施工期生活垃圾产生量按0.8kg/人·d计算，则施工期间生活垃圾产生量约</w:t>
            </w:r>
            <w:r>
              <w:rPr>
                <w:rFonts w:hint="default" w:ascii="Times New Roman" w:hAnsi="Times New Roman" w:eastAsia="宋体" w:cs="Times New Roman"/>
                <w:color w:val="auto"/>
                <w:spacing w:val="-2"/>
                <w:sz w:val="24"/>
                <w:szCs w:val="24"/>
                <w:highlight w:val="none"/>
                <w:lang w:val="en-US" w:eastAsia="zh-CN"/>
              </w:rPr>
              <w:t>7.2</w:t>
            </w:r>
            <w:r>
              <w:rPr>
                <w:rFonts w:hint="default" w:ascii="Times New Roman" w:hAnsi="Times New Roman" w:eastAsia="宋体" w:cs="Times New Roman"/>
                <w:color w:val="auto"/>
                <w:spacing w:val="-2"/>
                <w:sz w:val="24"/>
                <w:szCs w:val="24"/>
                <w:highlight w:val="none"/>
                <w:lang w:eastAsia="zh-CN"/>
              </w:rPr>
              <w:t>t，生活垃圾集中收集后委托第三方拉运至</w:t>
            </w:r>
            <w:r>
              <w:rPr>
                <w:rFonts w:hint="eastAsia" w:ascii="Times New Roman" w:hAnsi="Times New Roman" w:cs="Times New Roman"/>
                <w:color w:val="auto"/>
                <w:spacing w:val="-2"/>
                <w:sz w:val="24"/>
                <w:szCs w:val="24"/>
                <w:highlight w:val="none"/>
                <w:lang w:val="en-US" w:eastAsia="zh-CN"/>
              </w:rPr>
              <w:t>吉木萨尔县</w:t>
            </w:r>
            <w:r>
              <w:rPr>
                <w:rFonts w:hint="default" w:ascii="Times New Roman" w:hAnsi="Times New Roman" w:eastAsia="宋体" w:cs="Times New Roman"/>
                <w:color w:val="auto"/>
                <w:spacing w:val="-2"/>
                <w:sz w:val="24"/>
                <w:szCs w:val="24"/>
                <w:highlight w:val="none"/>
                <w:lang w:eastAsia="zh-CN"/>
              </w:rPr>
              <w:t>垃圾场处理。</w:t>
            </w:r>
          </w:p>
          <w:p w14:paraId="1A7B1966">
            <w:pPr>
              <w:pStyle w:val="23"/>
              <w:widowControl w:val="0"/>
              <w:kinsoku/>
              <w:spacing w:before="2" w:line="360" w:lineRule="auto"/>
              <w:ind w:left="3"/>
              <w:jc w:val="both"/>
              <w:rPr>
                <w:rFonts w:hint="default" w:ascii="Times New Roman" w:hAnsi="Times New Roman" w:eastAsia="宋体" w:cs="Times New Roman"/>
                <w:b/>
                <w:bCs/>
                <w:color w:val="auto"/>
                <w:spacing w:val="-3"/>
                <w:sz w:val="24"/>
                <w:szCs w:val="24"/>
                <w:lang w:eastAsia="zh-CN"/>
              </w:rPr>
            </w:pPr>
            <w:r>
              <w:rPr>
                <w:rFonts w:hint="default" w:ascii="Times New Roman" w:hAnsi="Times New Roman" w:eastAsia="宋体" w:cs="Times New Roman"/>
                <w:b/>
                <w:bCs/>
                <w:color w:val="auto"/>
                <w:spacing w:val="-3"/>
                <w:sz w:val="24"/>
                <w:szCs w:val="24"/>
                <w:lang w:eastAsia="zh-CN"/>
              </w:rPr>
              <w:t>6.4废防渗材料</w:t>
            </w:r>
          </w:p>
          <w:p w14:paraId="7F8A3112">
            <w:pPr>
              <w:pStyle w:val="23"/>
              <w:widowControl w:val="0"/>
              <w:kinsoku/>
              <w:spacing w:before="2" w:line="360" w:lineRule="auto"/>
              <w:ind w:left="3" w:firstLine="472"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lang w:eastAsia="zh-CN"/>
              </w:rPr>
              <w:t>施工结束对场地进行清理时，会产生在防渗区域铺设的废防渗材料，拆除的未破损且未沾油的防渗材料由建设单位集中回收利用，类比其他钻井井场施工经</w:t>
            </w:r>
            <w:r>
              <w:rPr>
                <w:rFonts w:hint="default" w:ascii="Times New Roman" w:hAnsi="Times New Roman" w:eastAsia="宋体" w:cs="Times New Roman"/>
                <w:color w:val="auto"/>
                <w:spacing w:val="-1"/>
                <w:sz w:val="24"/>
                <w:szCs w:val="24"/>
                <w:lang w:eastAsia="zh-CN"/>
              </w:rPr>
              <w:t>验，沾油的废防渗材料产生量约0.02t/井，本项目共计2口</w:t>
            </w:r>
            <w:r>
              <w:rPr>
                <w:rFonts w:hint="default" w:ascii="Times New Roman" w:hAnsi="Times New Roman" w:eastAsia="宋体" w:cs="Times New Roman"/>
                <w:color w:val="auto"/>
                <w:spacing w:val="-1"/>
                <w:sz w:val="24"/>
                <w:szCs w:val="24"/>
                <w:lang w:val="en-US" w:eastAsia="zh-CN"/>
              </w:rPr>
              <w:t>评价</w:t>
            </w:r>
            <w:r>
              <w:rPr>
                <w:rFonts w:hint="default" w:ascii="Times New Roman" w:hAnsi="Times New Roman" w:eastAsia="宋体" w:cs="Times New Roman"/>
                <w:color w:val="auto"/>
                <w:spacing w:val="-1"/>
                <w:sz w:val="24"/>
                <w:szCs w:val="24"/>
                <w:lang w:eastAsia="zh-CN"/>
              </w:rPr>
              <w:t>井，预计产生量约为0.04t。沾油的</w:t>
            </w:r>
            <w:r>
              <w:rPr>
                <w:rFonts w:hint="default" w:ascii="Times New Roman" w:hAnsi="Times New Roman" w:eastAsia="宋体" w:cs="Times New Roman"/>
                <w:color w:val="auto"/>
                <w:sz w:val="24"/>
                <w:szCs w:val="24"/>
                <w:lang w:eastAsia="zh-CN"/>
              </w:rPr>
              <w:t>废防渗材料属于《国家危险废物名录》（2025年版）中的</w:t>
            </w:r>
            <w:r>
              <w:rPr>
                <w:rFonts w:hint="default" w:ascii="Times New Roman" w:hAnsi="Times New Roman" w:eastAsia="宋体" w:cs="Times New Roman"/>
                <w:color w:val="auto"/>
                <w:spacing w:val="-1"/>
                <w:sz w:val="24"/>
                <w:szCs w:val="24"/>
                <w:lang w:eastAsia="zh-CN"/>
              </w:rPr>
              <w:t>HW08废矿物油与含矿物油类危险废物（废物代码为900-249-08，危险特</w:t>
            </w:r>
            <w:r>
              <w:rPr>
                <w:rFonts w:hint="default" w:ascii="Times New Roman" w:hAnsi="Times New Roman" w:eastAsia="宋体" w:cs="Times New Roman"/>
                <w:color w:val="auto"/>
                <w:spacing w:val="-2"/>
                <w:sz w:val="24"/>
                <w:szCs w:val="24"/>
                <w:lang w:eastAsia="zh-CN"/>
              </w:rPr>
              <w:t>性为毒性和易燃性</w:t>
            </w:r>
            <w:r>
              <w:rPr>
                <w:rFonts w:hint="default" w:ascii="Times New Roman" w:hAnsi="Times New Roman" w:eastAsia="宋体" w:cs="Times New Roman"/>
                <w:color w:val="auto"/>
                <w:spacing w:val="4"/>
                <w:sz w:val="24"/>
                <w:szCs w:val="24"/>
                <w:lang w:eastAsia="zh-CN"/>
              </w:rPr>
              <w:t>），</w:t>
            </w:r>
            <w:r>
              <w:rPr>
                <w:rFonts w:hint="default" w:ascii="Times New Roman" w:hAnsi="Times New Roman" w:eastAsia="宋体" w:cs="Times New Roman"/>
                <w:color w:val="auto"/>
                <w:spacing w:val="-2"/>
                <w:sz w:val="24"/>
                <w:szCs w:val="24"/>
                <w:lang w:eastAsia="zh-CN"/>
              </w:rPr>
              <w:t>施工结</w:t>
            </w:r>
            <w:r>
              <w:rPr>
                <w:rFonts w:hint="default" w:ascii="Times New Roman" w:hAnsi="Times New Roman" w:eastAsia="宋体" w:cs="Times New Roman"/>
                <w:color w:val="auto"/>
                <w:spacing w:val="-1"/>
                <w:sz w:val="24"/>
                <w:szCs w:val="24"/>
                <w:lang w:eastAsia="zh-CN"/>
              </w:rPr>
              <w:t>束后委托具有相应危险废物处置资质的单位进行处置。</w:t>
            </w:r>
          </w:p>
          <w:p w14:paraId="738989A1">
            <w:pPr>
              <w:pStyle w:val="23"/>
              <w:widowControl w:val="0"/>
              <w:kinsoku/>
              <w:spacing w:before="38" w:line="359" w:lineRule="auto"/>
              <w:ind w:right="4"/>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6.5落地油</w:t>
            </w:r>
          </w:p>
          <w:p w14:paraId="7E71DCB2">
            <w:pPr>
              <w:pStyle w:val="23"/>
              <w:widowControl w:val="0"/>
              <w:kinsoku/>
              <w:spacing w:before="38" w:line="359" w:lineRule="auto"/>
              <w:ind w:left="3" w:right="4"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本工程钻井期和试油期间事故状态下可能产生少量落地原油和含油污泥，落地油要求100%回收。本工程试油期产生的液体首先进入试油产液缓冲罐后，采用槽车安装抽油泵的抽汲方式将试油产液吸入罐车，试油过程敷设防渗布。落地油产生量很小。根据相关资料，探</w:t>
            </w:r>
            <w:r>
              <w:rPr>
                <w:rFonts w:hint="eastAsia" w:ascii="Times New Roman" w:hAnsi="Times New Roman" w:cs="Times New Roman"/>
                <w:color w:val="auto"/>
                <w:spacing w:val="-2"/>
                <w:sz w:val="24"/>
                <w:szCs w:val="24"/>
                <w:lang w:val="en-US" w:eastAsia="zh-CN"/>
              </w:rPr>
              <w:t>评</w:t>
            </w:r>
            <w:r>
              <w:rPr>
                <w:rFonts w:hint="default" w:ascii="Times New Roman" w:hAnsi="Times New Roman" w:eastAsia="宋体" w:cs="Times New Roman"/>
                <w:color w:val="auto"/>
                <w:spacing w:val="-2"/>
                <w:sz w:val="24"/>
                <w:szCs w:val="24"/>
                <w:lang w:eastAsia="zh-CN"/>
              </w:rPr>
              <w:t>井单井试油期产生的落地油产生量约在10-50kg/口。由于探</w:t>
            </w:r>
            <w:r>
              <w:rPr>
                <w:rFonts w:hint="eastAsia" w:ascii="Times New Roman" w:hAnsi="Times New Roman" w:cs="Times New Roman"/>
                <w:color w:val="auto"/>
                <w:spacing w:val="-2"/>
                <w:sz w:val="24"/>
                <w:szCs w:val="24"/>
                <w:lang w:val="en-US" w:eastAsia="zh-CN"/>
              </w:rPr>
              <w:t>评</w:t>
            </w:r>
            <w:r>
              <w:rPr>
                <w:rFonts w:hint="default" w:ascii="Times New Roman" w:hAnsi="Times New Roman" w:eastAsia="宋体" w:cs="Times New Roman"/>
                <w:color w:val="auto"/>
                <w:spacing w:val="-2"/>
                <w:sz w:val="24"/>
                <w:szCs w:val="24"/>
                <w:lang w:eastAsia="zh-CN"/>
              </w:rPr>
              <w:t>井存在不出油的可能性。只有在有油条件下可能产生落地油，不出油时则没有落地油产生。假设本项目钻井全部出油，则落地油泥产生量共计0.1t。根据《国家危险废物名录》（2025年版）、《危险废物环境管理指南 陆上石油天然气开采》（生态环境部公告2021年第74号），落地油属于《国家危险废物名录》（2025年版）中的HW08废矿物油与含矿物油类危险废物，废物代码为071-001-08，落地油100%回收。</w:t>
            </w:r>
          </w:p>
          <w:p w14:paraId="712C9890">
            <w:pPr>
              <w:pStyle w:val="23"/>
              <w:widowControl w:val="0"/>
              <w:kinsoku/>
              <w:spacing w:before="38" w:line="359" w:lineRule="auto"/>
              <w:ind w:right="4"/>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6.6机械设备废油与废油桶</w:t>
            </w:r>
          </w:p>
          <w:p w14:paraId="56E5CEE9">
            <w:pPr>
              <w:pStyle w:val="23"/>
              <w:widowControl w:val="0"/>
              <w:kinsoku/>
              <w:spacing w:before="38" w:line="359" w:lineRule="auto"/>
              <w:ind w:left="3" w:right="4"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钻井期间使用的机械设备运行过程中需进行维护、保养、维修等工作，以使其能正常运转，此过程中将产生少量的废油，如废润滑油、废机油等，与之相应会有废油桶产生。类比调查一个钻井期机械设备产生的废油产生量不足0.5t，本工程2口评价井产生量约1t，废油桶产生量为0.</w:t>
            </w:r>
            <w:r>
              <w:rPr>
                <w:rFonts w:hint="default" w:ascii="Times New Roman" w:hAnsi="Times New Roman" w:eastAsia="宋体" w:cs="Times New Roman"/>
                <w:color w:val="auto"/>
                <w:spacing w:val="-2"/>
                <w:sz w:val="24"/>
                <w:szCs w:val="24"/>
                <w:lang w:val="en-US" w:eastAsia="zh-CN"/>
              </w:rPr>
              <w:t>4</w:t>
            </w:r>
            <w:r>
              <w:rPr>
                <w:rFonts w:hint="default" w:ascii="Times New Roman" w:hAnsi="Times New Roman" w:eastAsia="宋体" w:cs="Times New Roman"/>
                <w:color w:val="auto"/>
                <w:spacing w:val="-2"/>
                <w:sz w:val="24"/>
                <w:szCs w:val="24"/>
                <w:lang w:eastAsia="zh-CN"/>
              </w:rPr>
              <w:t>t，钻井期间产生的废油与废油桶暂存至危废贮存点，委托有资质单位进行处置。</w:t>
            </w:r>
          </w:p>
          <w:p w14:paraId="493FB190">
            <w:pPr>
              <w:pStyle w:val="23"/>
              <w:widowControl w:val="0"/>
              <w:kinsoku/>
              <w:spacing w:before="38" w:line="359" w:lineRule="auto"/>
              <w:ind w:left="3" w:right="4"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根据《国家危险废物名录》（2025年版），设备检修与维护过程间歇产生的废矿物油划分为“HW08废矿物油与含矿物油废物类”，其危险废物编号为900-214-08，废油桶危险废物编号为900-249-08，上述危险废物暂存至危废贮存点，委托有资质单位进行处置。</w:t>
            </w:r>
          </w:p>
          <w:p w14:paraId="2B8BB0E3">
            <w:pPr>
              <w:pStyle w:val="23"/>
              <w:widowControl w:val="0"/>
              <w:kinsoku/>
              <w:spacing w:before="38" w:line="359" w:lineRule="auto"/>
              <w:ind w:left="3" w:right="4"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项目一般固废和危险废物清单见表4-</w:t>
            </w:r>
            <w:r>
              <w:rPr>
                <w:rFonts w:hint="default" w:ascii="Times New Roman" w:hAnsi="Times New Roman" w:eastAsia="宋体" w:cs="Times New Roman"/>
                <w:color w:val="auto"/>
                <w:spacing w:val="-2"/>
                <w:sz w:val="24"/>
                <w:szCs w:val="24"/>
                <w:lang w:val="en-US" w:eastAsia="zh-CN"/>
              </w:rPr>
              <w:t>4</w:t>
            </w:r>
            <w:r>
              <w:rPr>
                <w:rFonts w:hint="default" w:ascii="Times New Roman" w:hAnsi="Times New Roman" w:eastAsia="宋体" w:cs="Times New Roman"/>
                <w:color w:val="auto"/>
                <w:spacing w:val="-2"/>
                <w:sz w:val="24"/>
                <w:szCs w:val="24"/>
                <w:lang w:eastAsia="zh-CN"/>
              </w:rPr>
              <w:t>和表4-</w:t>
            </w:r>
            <w:r>
              <w:rPr>
                <w:rFonts w:hint="default" w:ascii="Times New Roman" w:hAnsi="Times New Roman" w:eastAsia="宋体" w:cs="Times New Roman"/>
                <w:color w:val="auto"/>
                <w:spacing w:val="-2"/>
                <w:sz w:val="24"/>
                <w:szCs w:val="24"/>
                <w:lang w:val="en-US" w:eastAsia="zh-CN"/>
              </w:rPr>
              <w:t>5</w:t>
            </w:r>
            <w:r>
              <w:rPr>
                <w:rFonts w:hint="default" w:ascii="Times New Roman" w:hAnsi="Times New Roman" w:eastAsia="宋体" w:cs="Times New Roman"/>
                <w:color w:val="auto"/>
                <w:spacing w:val="-2"/>
                <w:sz w:val="24"/>
                <w:szCs w:val="24"/>
                <w:lang w:eastAsia="zh-CN"/>
              </w:rPr>
              <w:t>。</w:t>
            </w:r>
          </w:p>
          <w:p w14:paraId="290DCA8F">
            <w:pPr>
              <w:widowControl w:val="0"/>
              <w:kinsoku/>
              <w:jc w:val="center"/>
              <w:rPr>
                <w:rFonts w:hint="default" w:ascii="Times New Roman" w:hAnsi="Times New Roman" w:eastAsia="宋体" w:cs="Times New Roman"/>
                <w:b/>
                <w:bCs/>
                <w:color w:val="auto"/>
                <w:spacing w:val="5"/>
              </w:rPr>
            </w:pPr>
            <w:r>
              <w:rPr>
                <w:rFonts w:hint="default" w:ascii="Times New Roman" w:hAnsi="Times New Roman" w:eastAsia="宋体" w:cs="Times New Roman"/>
                <w:b/>
                <w:bCs/>
                <w:color w:val="auto"/>
                <w:spacing w:val="5"/>
              </w:rPr>
              <w:t>表4-</w:t>
            </w:r>
            <w:r>
              <w:rPr>
                <w:rFonts w:hint="default" w:ascii="Times New Roman" w:hAnsi="Times New Roman" w:eastAsia="宋体" w:cs="Times New Roman"/>
                <w:b/>
                <w:bCs/>
                <w:color w:val="auto"/>
                <w:spacing w:val="5"/>
                <w:lang w:val="en-US" w:eastAsia="zh-CN"/>
              </w:rPr>
              <w:t>4</w:t>
            </w:r>
            <w:r>
              <w:rPr>
                <w:rFonts w:hint="default" w:ascii="Times New Roman" w:hAnsi="Times New Roman" w:eastAsia="宋体" w:cs="Times New Roman"/>
                <w:b/>
                <w:bCs/>
                <w:color w:val="auto"/>
                <w:spacing w:val="5"/>
                <w:lang w:eastAsia="zh-CN"/>
              </w:rPr>
              <w:t xml:space="preserve"> </w:t>
            </w:r>
            <w:r>
              <w:rPr>
                <w:rFonts w:hint="default" w:ascii="Times New Roman" w:hAnsi="Times New Roman" w:eastAsia="宋体" w:cs="Times New Roman"/>
                <w:b/>
                <w:bCs/>
                <w:color w:val="auto"/>
                <w:spacing w:val="5"/>
              </w:rPr>
              <w:t>本项目一般固废清单</w:t>
            </w:r>
          </w:p>
          <w:tbl>
            <w:tblPr>
              <w:tblStyle w:val="22"/>
              <w:tblW w:w="80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3"/>
              <w:gridCol w:w="968"/>
              <w:gridCol w:w="846"/>
              <w:gridCol w:w="1073"/>
              <w:gridCol w:w="1245"/>
              <w:gridCol w:w="3480"/>
            </w:tblGrid>
            <w:tr w14:paraId="64F2CF8A">
              <w:trPr>
                <w:trHeight w:val="767" w:hRule="atLeast"/>
                <w:jc w:val="center"/>
              </w:trPr>
              <w:tc>
                <w:tcPr>
                  <w:tcW w:w="483" w:type="dxa"/>
                  <w:vAlign w:val="center"/>
                </w:tcPr>
                <w:p w14:paraId="11209E7A">
                  <w:pPr>
                    <w:pStyle w:val="23"/>
                    <w:kinsoku/>
                    <w:spacing w:before="81" w:line="21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序号</w:t>
                  </w:r>
                </w:p>
              </w:tc>
              <w:tc>
                <w:tcPr>
                  <w:tcW w:w="968" w:type="dxa"/>
                  <w:vAlign w:val="center"/>
                </w:tcPr>
                <w:p w14:paraId="2B6C6F96">
                  <w:pPr>
                    <w:pStyle w:val="23"/>
                    <w:kinsoku/>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固废名称</w:t>
                  </w:r>
                </w:p>
              </w:tc>
              <w:tc>
                <w:tcPr>
                  <w:tcW w:w="846" w:type="dxa"/>
                  <w:vAlign w:val="center"/>
                </w:tcPr>
                <w:p w14:paraId="7A0188FB">
                  <w:pPr>
                    <w:pStyle w:val="23"/>
                    <w:kinsoku/>
                    <w:spacing w:before="65" w:line="22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属性</w:t>
                  </w:r>
                </w:p>
              </w:tc>
              <w:tc>
                <w:tcPr>
                  <w:tcW w:w="1073" w:type="dxa"/>
                  <w:vAlign w:val="center"/>
                </w:tcPr>
                <w:p w14:paraId="27F10DEE">
                  <w:pPr>
                    <w:pStyle w:val="23"/>
                    <w:kinsoku/>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固废代码</w:t>
                  </w:r>
                </w:p>
              </w:tc>
              <w:tc>
                <w:tcPr>
                  <w:tcW w:w="1245" w:type="dxa"/>
                  <w:vAlign w:val="center"/>
                </w:tcPr>
                <w:p w14:paraId="65B029F7">
                  <w:pPr>
                    <w:pStyle w:val="23"/>
                    <w:kinsoku/>
                    <w:spacing w:before="110" w:line="251" w:lineRule="auto"/>
                    <w:ind w:right="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估算产生</w:t>
                  </w:r>
                  <w:r>
                    <w:rPr>
                      <w:rFonts w:hint="default" w:ascii="Times New Roman" w:hAnsi="Times New Roman" w:eastAsia="宋体" w:cs="Times New Roman"/>
                      <w:b/>
                      <w:bCs/>
                      <w:color w:val="auto"/>
                      <w:spacing w:val="2"/>
                      <w:sz w:val="21"/>
                      <w:szCs w:val="21"/>
                      <w:highlight w:val="none"/>
                    </w:rPr>
                    <w:t>量（施工期</w:t>
                  </w:r>
                  <w:r>
                    <w:rPr>
                      <w:rFonts w:hint="default" w:ascii="Times New Roman" w:hAnsi="Times New Roman" w:eastAsia="宋体" w:cs="Times New Roman"/>
                      <w:b/>
                      <w:bCs/>
                      <w:color w:val="auto"/>
                      <w:spacing w:val="-3"/>
                      <w:sz w:val="21"/>
                      <w:szCs w:val="21"/>
                      <w:highlight w:val="none"/>
                    </w:rPr>
                    <w:t>)</w:t>
                  </w:r>
                </w:p>
              </w:tc>
              <w:tc>
                <w:tcPr>
                  <w:tcW w:w="3480" w:type="dxa"/>
                  <w:tcBorders>
                    <w:right w:val="single" w:color="000000" w:sz="4" w:space="0"/>
                  </w:tcBorders>
                  <w:vAlign w:val="center"/>
                </w:tcPr>
                <w:p w14:paraId="3246E603">
                  <w:pPr>
                    <w:pStyle w:val="23"/>
                    <w:kinsoku/>
                    <w:spacing w:before="65" w:line="227"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采取的处理处置方式</w:t>
                  </w:r>
                </w:p>
              </w:tc>
            </w:tr>
            <w:tr w14:paraId="27A1A69E">
              <w:trPr>
                <w:trHeight w:val="1011" w:hRule="atLeast"/>
                <w:jc w:val="center"/>
              </w:trPr>
              <w:tc>
                <w:tcPr>
                  <w:tcW w:w="483" w:type="dxa"/>
                  <w:vAlign w:val="center"/>
                </w:tcPr>
                <w:p w14:paraId="5210C1CA">
                  <w:pPr>
                    <w:kinsoku/>
                    <w:spacing w:before="57" w:line="195"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968" w:type="dxa"/>
                  <w:vAlign w:val="center"/>
                </w:tcPr>
                <w:p w14:paraId="67E7485C">
                  <w:pPr>
                    <w:pStyle w:val="23"/>
                    <w:kinsoku/>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val="en-US" w:eastAsia="zh-CN"/>
                    </w:rPr>
                    <w:t>废弃</w:t>
                  </w:r>
                  <w:r>
                    <w:rPr>
                      <w:rFonts w:hint="default" w:ascii="Times New Roman" w:hAnsi="Times New Roman" w:eastAsia="宋体" w:cs="Times New Roman"/>
                      <w:color w:val="auto"/>
                      <w:spacing w:val="6"/>
                      <w:sz w:val="21"/>
                      <w:szCs w:val="21"/>
                      <w:highlight w:val="none"/>
                    </w:rPr>
                    <w:t>水基泥浆</w:t>
                  </w:r>
                </w:p>
              </w:tc>
              <w:tc>
                <w:tcPr>
                  <w:tcW w:w="846" w:type="dxa"/>
                  <w:vAlign w:val="center"/>
                </w:tcPr>
                <w:p w14:paraId="2ECFD36E">
                  <w:pPr>
                    <w:pStyle w:val="23"/>
                    <w:kinsoku/>
                    <w:spacing w:before="194" w:line="22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一般工业</w:t>
                  </w:r>
                  <w:r>
                    <w:rPr>
                      <w:rFonts w:hint="default" w:ascii="Times New Roman" w:hAnsi="Times New Roman" w:eastAsia="宋体" w:cs="Times New Roman"/>
                      <w:color w:val="auto"/>
                      <w:spacing w:val="-5"/>
                      <w:sz w:val="21"/>
                      <w:szCs w:val="21"/>
                      <w:highlight w:val="none"/>
                    </w:rPr>
                    <w:t>固废</w:t>
                  </w:r>
                </w:p>
              </w:tc>
              <w:tc>
                <w:tcPr>
                  <w:tcW w:w="1073" w:type="dxa"/>
                  <w:vAlign w:val="center"/>
                </w:tcPr>
                <w:p w14:paraId="75EEECEA">
                  <w:pPr>
                    <w:pStyle w:val="23"/>
                    <w:kinsoku/>
                    <w:spacing w:before="65" w:line="241"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（071-001-</w:t>
                  </w:r>
                </w:p>
                <w:p w14:paraId="6A03B18F">
                  <w:pPr>
                    <w:pStyle w:val="23"/>
                    <w:kinsoku/>
                    <w:spacing w:before="10"/>
                    <w:ind w:left="31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S12）</w:t>
                  </w:r>
                </w:p>
              </w:tc>
              <w:tc>
                <w:tcPr>
                  <w:tcW w:w="1245" w:type="dxa"/>
                  <w:vAlign w:val="center"/>
                </w:tcPr>
                <w:p w14:paraId="2ABFB229">
                  <w:pPr>
                    <w:kinsoku/>
                    <w:spacing w:before="57" w:line="216" w:lineRule="auto"/>
                    <w:jc w:val="center"/>
                    <w:rPr>
                      <w:rFonts w:hint="default" w:ascii="Times New Roman" w:hAnsi="Times New Roman" w:eastAsia="宋体" w:cs="Times New Roman"/>
                      <w:color w:val="auto"/>
                      <w:highlight w:val="none"/>
                    </w:rPr>
                  </w:pPr>
                  <w:r>
                    <w:rPr>
                      <w:rFonts w:hint="eastAsia" w:ascii="Times New Roman" w:hAnsi="Times New Roman" w:eastAsia="宋体" w:cs="Times New Roman"/>
                      <w:snapToGrid w:val="0"/>
                      <w:color w:val="auto"/>
                      <w:spacing w:val="3"/>
                      <w:sz w:val="21"/>
                      <w:szCs w:val="21"/>
                      <w:highlight w:val="none"/>
                      <w:lang w:val="en-US" w:eastAsia="zh-CN" w:bidi="ar-SA"/>
                    </w:rPr>
                    <w:t>17.12</w:t>
                  </w:r>
                  <w:r>
                    <w:rPr>
                      <w:rFonts w:hint="default" w:ascii="Times New Roman" w:hAnsi="Times New Roman" w:eastAsia="宋体" w:cs="Times New Roman"/>
                      <w:color w:val="auto"/>
                      <w:spacing w:val="4"/>
                      <w:highlight w:val="none"/>
                    </w:rPr>
                    <w:t>m</w:t>
                  </w:r>
                  <w:r>
                    <w:rPr>
                      <w:rFonts w:hint="default" w:ascii="Times New Roman" w:hAnsi="Times New Roman" w:eastAsia="宋体" w:cs="Times New Roman"/>
                      <w:color w:val="auto"/>
                      <w:spacing w:val="4"/>
                      <w:highlight w:val="none"/>
                      <w:vertAlign w:val="superscript"/>
                      <w:lang w:eastAsia="zh-CN"/>
                    </w:rPr>
                    <w:t>3</w:t>
                  </w:r>
                </w:p>
              </w:tc>
              <w:tc>
                <w:tcPr>
                  <w:tcW w:w="3480" w:type="dxa"/>
                  <w:vMerge w:val="restart"/>
                  <w:tcBorders>
                    <w:bottom w:val="nil"/>
                    <w:right w:val="single" w:color="000000" w:sz="4" w:space="0"/>
                  </w:tcBorders>
                  <w:vAlign w:val="center"/>
                </w:tcPr>
                <w:p w14:paraId="1722A85D">
                  <w:pPr>
                    <w:pStyle w:val="23"/>
                    <w:kinsoku/>
                    <w:spacing w:before="65" w:line="228"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lang w:eastAsia="zh-CN"/>
                    </w:rPr>
                    <w:t>项目采用不落地系统，</w:t>
                  </w:r>
                  <w:r>
                    <w:rPr>
                      <w:rFonts w:hint="default" w:ascii="Times New Roman" w:hAnsi="Times New Roman" w:eastAsia="宋体" w:cs="Times New Roman"/>
                      <w:color w:val="auto"/>
                      <w:spacing w:val="8"/>
                      <w:sz w:val="21"/>
                      <w:szCs w:val="21"/>
                      <w:highlight w:val="none"/>
                      <w:lang w:val="en-US" w:eastAsia="zh-CN"/>
                    </w:rPr>
                    <w:t>废弃水基</w:t>
                  </w:r>
                  <w:r>
                    <w:rPr>
                      <w:rFonts w:hint="default" w:ascii="Times New Roman" w:hAnsi="Times New Roman" w:eastAsia="宋体" w:cs="Times New Roman"/>
                      <w:color w:val="auto"/>
                      <w:spacing w:val="8"/>
                      <w:sz w:val="21"/>
                      <w:szCs w:val="21"/>
                      <w:highlight w:val="none"/>
                      <w:lang w:eastAsia="zh-CN"/>
                    </w:rPr>
                    <w:t>钻井泥浆、岩屑</w:t>
                  </w:r>
                  <w:r>
                    <w:rPr>
                      <w:rFonts w:hint="eastAsia" w:ascii="Times New Roman" w:hAnsi="Times New Roman" w:eastAsia="宋体" w:cs="Times New Roman"/>
                      <w:color w:val="auto"/>
                      <w:spacing w:val="6"/>
                      <w:sz w:val="21"/>
                      <w:szCs w:val="21"/>
                      <w:highlight w:val="none"/>
                      <w:lang w:val="en-US" w:eastAsia="zh-CN"/>
                    </w:rPr>
                    <w:t>委托具有</w:t>
                  </w:r>
                  <w:r>
                    <w:rPr>
                      <w:rFonts w:hint="default" w:ascii="Times New Roman" w:hAnsi="Times New Roman" w:eastAsia="宋体" w:cs="Times New Roman"/>
                      <w:color w:val="auto"/>
                      <w:spacing w:val="6"/>
                      <w:sz w:val="21"/>
                      <w:szCs w:val="21"/>
                      <w:highlight w:val="none"/>
                      <w:lang w:eastAsia="zh-CN"/>
                    </w:rPr>
                    <w:t>相应处理能力的第三方</w:t>
                  </w:r>
                  <w:r>
                    <w:rPr>
                      <w:rFonts w:hint="eastAsia" w:ascii="Times New Roman" w:hAnsi="Times New Roman" w:eastAsia="宋体" w:cs="Times New Roman"/>
                      <w:color w:val="auto"/>
                      <w:spacing w:val="6"/>
                      <w:sz w:val="21"/>
                      <w:szCs w:val="21"/>
                      <w:highlight w:val="none"/>
                      <w:lang w:val="en-US" w:eastAsia="zh-CN"/>
                    </w:rPr>
                    <w:t>环保</w:t>
                  </w:r>
                  <w:r>
                    <w:rPr>
                      <w:rFonts w:hint="default" w:ascii="Times New Roman" w:hAnsi="Times New Roman" w:eastAsia="宋体" w:cs="Times New Roman"/>
                      <w:color w:val="auto"/>
                      <w:spacing w:val="6"/>
                      <w:sz w:val="21"/>
                      <w:szCs w:val="21"/>
                      <w:highlight w:val="none"/>
                      <w:lang w:eastAsia="zh-CN"/>
                    </w:rPr>
                    <w:t>单位进行集中处置，经检测达到《油气田钻井固体废物综合利用污染控制要求》（DB65/T3997-2017）相关标准限值后综合利用</w:t>
                  </w:r>
                  <w:r>
                    <w:rPr>
                      <w:rFonts w:hint="eastAsia" w:ascii="Times New Roman" w:hAnsi="Times New Roman" w:cs="Times New Roman"/>
                      <w:color w:val="auto"/>
                      <w:spacing w:val="6"/>
                      <w:sz w:val="21"/>
                      <w:szCs w:val="21"/>
                      <w:highlight w:val="none"/>
                      <w:lang w:eastAsia="zh-CN"/>
                    </w:rPr>
                    <w:t>。</w:t>
                  </w:r>
                </w:p>
              </w:tc>
            </w:tr>
            <w:tr w14:paraId="4C699D14">
              <w:trPr>
                <w:trHeight w:val="921" w:hRule="atLeast"/>
                <w:jc w:val="center"/>
              </w:trPr>
              <w:tc>
                <w:tcPr>
                  <w:tcW w:w="483" w:type="dxa"/>
                  <w:vAlign w:val="center"/>
                </w:tcPr>
                <w:p w14:paraId="7F81C307">
                  <w:pPr>
                    <w:kinsoku/>
                    <w:spacing w:before="57" w:line="195"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968" w:type="dxa"/>
                  <w:vAlign w:val="center"/>
                </w:tcPr>
                <w:p w14:paraId="3023D642">
                  <w:pPr>
                    <w:pStyle w:val="23"/>
                    <w:kinsoku/>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水基岩屑</w:t>
                  </w:r>
                </w:p>
              </w:tc>
              <w:tc>
                <w:tcPr>
                  <w:tcW w:w="846" w:type="dxa"/>
                  <w:vAlign w:val="center"/>
                </w:tcPr>
                <w:p w14:paraId="69DF7F69">
                  <w:pPr>
                    <w:pStyle w:val="23"/>
                    <w:kinsoku/>
                    <w:spacing w:before="196" w:line="22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一般工业</w:t>
                  </w:r>
                  <w:r>
                    <w:rPr>
                      <w:rFonts w:hint="default" w:ascii="Times New Roman" w:hAnsi="Times New Roman" w:eastAsia="宋体" w:cs="Times New Roman"/>
                      <w:color w:val="auto"/>
                      <w:spacing w:val="-5"/>
                      <w:sz w:val="21"/>
                      <w:szCs w:val="21"/>
                      <w:highlight w:val="none"/>
                    </w:rPr>
                    <w:t>固废</w:t>
                  </w:r>
                </w:p>
              </w:tc>
              <w:tc>
                <w:tcPr>
                  <w:tcW w:w="1073" w:type="dxa"/>
                  <w:vAlign w:val="center"/>
                </w:tcPr>
                <w:p w14:paraId="3E27CC64">
                  <w:pPr>
                    <w:pStyle w:val="23"/>
                    <w:kinsoku/>
                    <w:spacing w:before="65" w:line="241"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（071-001-</w:t>
                  </w:r>
                </w:p>
                <w:p w14:paraId="17D8EBBA">
                  <w:pPr>
                    <w:pStyle w:val="23"/>
                    <w:kinsoku/>
                    <w:spacing w:before="12"/>
                    <w:ind w:left="31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S12）</w:t>
                  </w:r>
                </w:p>
              </w:tc>
              <w:tc>
                <w:tcPr>
                  <w:tcW w:w="1245" w:type="dxa"/>
                  <w:vAlign w:val="center"/>
                </w:tcPr>
                <w:p w14:paraId="77D7F869">
                  <w:pPr>
                    <w:kinsoku/>
                    <w:spacing w:before="57" w:line="213" w:lineRule="auto"/>
                    <w:jc w:val="center"/>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snapToGrid w:val="0"/>
                      <w:color w:val="auto"/>
                      <w:spacing w:val="3"/>
                      <w:sz w:val="21"/>
                      <w:szCs w:val="21"/>
                      <w:highlight w:val="none"/>
                      <w:lang w:val="en-US" w:eastAsia="zh-CN" w:bidi="ar-SA"/>
                    </w:rPr>
                    <w:t>422.41</w:t>
                  </w:r>
                  <w:r>
                    <w:rPr>
                      <w:rFonts w:hint="default" w:ascii="Times New Roman" w:hAnsi="Times New Roman" w:eastAsia="宋体" w:cs="Times New Roman"/>
                      <w:color w:val="auto"/>
                      <w:spacing w:val="4"/>
                      <w:highlight w:val="none"/>
                    </w:rPr>
                    <w:t>m</w:t>
                  </w:r>
                  <w:r>
                    <w:rPr>
                      <w:rFonts w:hint="default" w:ascii="Times New Roman" w:hAnsi="Times New Roman" w:eastAsia="宋体" w:cs="Times New Roman"/>
                      <w:color w:val="auto"/>
                      <w:spacing w:val="4"/>
                      <w:highlight w:val="none"/>
                      <w:vertAlign w:val="superscript"/>
                      <w:lang w:eastAsia="zh-CN"/>
                    </w:rPr>
                    <w:t>3</w:t>
                  </w:r>
                </w:p>
              </w:tc>
              <w:tc>
                <w:tcPr>
                  <w:tcW w:w="3480" w:type="dxa"/>
                  <w:vMerge w:val="continue"/>
                  <w:tcBorders>
                    <w:top w:val="nil"/>
                    <w:right w:val="single" w:color="000000" w:sz="4" w:space="0"/>
                  </w:tcBorders>
                  <w:vAlign w:val="center"/>
                </w:tcPr>
                <w:p w14:paraId="3361DD0A">
                  <w:pPr>
                    <w:kinsoku/>
                    <w:jc w:val="both"/>
                    <w:rPr>
                      <w:rFonts w:hint="default" w:ascii="Times New Roman" w:hAnsi="Times New Roman" w:eastAsia="宋体" w:cs="Times New Roman"/>
                      <w:color w:val="auto"/>
                      <w:highlight w:val="none"/>
                    </w:rPr>
                  </w:pPr>
                </w:p>
              </w:tc>
            </w:tr>
            <w:tr w14:paraId="38D535F2">
              <w:trPr>
                <w:trHeight w:val="661" w:hRule="atLeast"/>
                <w:jc w:val="center"/>
              </w:trPr>
              <w:tc>
                <w:tcPr>
                  <w:tcW w:w="483" w:type="dxa"/>
                  <w:vAlign w:val="center"/>
                </w:tcPr>
                <w:p w14:paraId="0ABBD6F2">
                  <w:pPr>
                    <w:pStyle w:val="23"/>
                    <w:kinsoku/>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3</w:t>
                  </w:r>
                </w:p>
              </w:tc>
              <w:tc>
                <w:tcPr>
                  <w:tcW w:w="968" w:type="dxa"/>
                  <w:vAlign w:val="center"/>
                </w:tcPr>
                <w:p w14:paraId="6331AAC0">
                  <w:pPr>
                    <w:pStyle w:val="23"/>
                    <w:kinsoku/>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生活垃圾</w:t>
                  </w:r>
                </w:p>
              </w:tc>
              <w:tc>
                <w:tcPr>
                  <w:tcW w:w="846" w:type="dxa"/>
                  <w:vAlign w:val="center"/>
                </w:tcPr>
                <w:p w14:paraId="0370615E">
                  <w:pPr>
                    <w:pStyle w:val="23"/>
                    <w:kinsoku/>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一般固废</w:t>
                  </w:r>
                </w:p>
              </w:tc>
              <w:tc>
                <w:tcPr>
                  <w:tcW w:w="1073" w:type="dxa"/>
                  <w:vAlign w:val="center"/>
                </w:tcPr>
                <w:p w14:paraId="09540FEB">
                  <w:pPr>
                    <w:pStyle w:val="23"/>
                    <w:kinsoku/>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w:t>
                  </w:r>
                </w:p>
              </w:tc>
              <w:tc>
                <w:tcPr>
                  <w:tcW w:w="1245" w:type="dxa"/>
                  <w:vAlign w:val="center"/>
                </w:tcPr>
                <w:p w14:paraId="78F369C2">
                  <w:pPr>
                    <w:pStyle w:val="23"/>
                    <w:kinsoku/>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lang w:val="en-US" w:eastAsia="zh-CN"/>
                    </w:rPr>
                    <w:t>7.20</w:t>
                  </w:r>
                  <w:r>
                    <w:rPr>
                      <w:rFonts w:hint="default" w:ascii="Times New Roman" w:hAnsi="Times New Roman" w:eastAsia="宋体" w:cs="Times New Roman"/>
                      <w:color w:val="auto"/>
                      <w:spacing w:val="6"/>
                      <w:sz w:val="21"/>
                      <w:szCs w:val="21"/>
                      <w:highlight w:val="none"/>
                    </w:rPr>
                    <w:t>t</w:t>
                  </w:r>
                </w:p>
              </w:tc>
              <w:tc>
                <w:tcPr>
                  <w:tcW w:w="3480" w:type="dxa"/>
                  <w:tcBorders>
                    <w:right w:val="single" w:color="000000" w:sz="4" w:space="0"/>
                  </w:tcBorders>
                  <w:vAlign w:val="center"/>
                </w:tcPr>
                <w:p w14:paraId="2D2D2AF1">
                  <w:pPr>
                    <w:pStyle w:val="23"/>
                    <w:kinsoku/>
                    <w:spacing w:before="89" w:line="252" w:lineRule="auto"/>
                    <w:ind w:left="142" w:right="71" w:hanging="74"/>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lang w:eastAsia="zh-CN"/>
                    </w:rPr>
                    <w:t>生活垃圾集中收集后委托第三方拉运至</w:t>
                  </w:r>
                  <w:r>
                    <w:rPr>
                      <w:rFonts w:hint="eastAsia" w:ascii="Times New Roman" w:hAnsi="Times New Roman" w:cs="Times New Roman"/>
                      <w:color w:val="auto"/>
                      <w:spacing w:val="6"/>
                      <w:sz w:val="21"/>
                      <w:szCs w:val="21"/>
                      <w:highlight w:val="none"/>
                      <w:lang w:val="en-US" w:eastAsia="zh-CN"/>
                    </w:rPr>
                    <w:t>吉木萨尔县</w:t>
                  </w:r>
                  <w:r>
                    <w:rPr>
                      <w:rFonts w:hint="default" w:ascii="Times New Roman" w:hAnsi="Times New Roman" w:eastAsia="宋体" w:cs="Times New Roman"/>
                      <w:color w:val="auto"/>
                      <w:spacing w:val="6"/>
                      <w:sz w:val="21"/>
                      <w:szCs w:val="21"/>
                      <w:highlight w:val="none"/>
                      <w:lang w:eastAsia="zh-CN"/>
                    </w:rPr>
                    <w:t>垃圾场处理</w:t>
                  </w:r>
                  <w:r>
                    <w:rPr>
                      <w:rFonts w:hint="default" w:ascii="Times New Roman" w:hAnsi="Times New Roman" w:eastAsia="宋体" w:cs="Times New Roman"/>
                      <w:color w:val="auto"/>
                      <w:spacing w:val="8"/>
                      <w:sz w:val="21"/>
                      <w:szCs w:val="21"/>
                      <w:highlight w:val="none"/>
                      <w:lang w:eastAsia="zh-CN"/>
                    </w:rPr>
                    <w:t>。</w:t>
                  </w:r>
                </w:p>
              </w:tc>
            </w:tr>
          </w:tbl>
          <w:p w14:paraId="668348F2">
            <w:pPr>
              <w:widowControl w:val="0"/>
              <w:kinsoku/>
              <w:jc w:val="center"/>
              <w:rPr>
                <w:rFonts w:hint="default" w:ascii="Times New Roman" w:hAnsi="Times New Roman" w:eastAsia="宋体" w:cs="Times New Roman"/>
                <w:b/>
                <w:bCs/>
                <w:color w:val="auto"/>
                <w:spacing w:val="5"/>
                <w:lang w:eastAsia="zh-CN"/>
              </w:rPr>
            </w:pPr>
          </w:p>
          <w:p w14:paraId="5592696B">
            <w:pPr>
              <w:widowControl w:val="0"/>
              <w:kinsoku/>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pacing w:val="5"/>
                <w:lang w:eastAsia="zh-CN"/>
              </w:rPr>
              <w:t>表4-</w:t>
            </w:r>
            <w:r>
              <w:rPr>
                <w:rFonts w:hint="default" w:ascii="Times New Roman" w:hAnsi="Times New Roman" w:eastAsia="宋体" w:cs="Times New Roman"/>
                <w:b/>
                <w:bCs/>
                <w:color w:val="auto"/>
                <w:spacing w:val="5"/>
                <w:lang w:val="en-US" w:eastAsia="zh-CN"/>
              </w:rPr>
              <w:t>5</w:t>
            </w:r>
            <w:r>
              <w:rPr>
                <w:rFonts w:hint="default" w:ascii="Times New Roman" w:hAnsi="Times New Roman" w:eastAsia="宋体" w:cs="Times New Roman"/>
                <w:b/>
                <w:bCs/>
                <w:color w:val="auto"/>
                <w:spacing w:val="5"/>
                <w:lang w:eastAsia="zh-CN"/>
              </w:rPr>
              <w:t xml:space="preserve"> 本项目危险废物清单</w:t>
            </w:r>
          </w:p>
          <w:tbl>
            <w:tblPr>
              <w:tblStyle w:val="22"/>
              <w:tblW w:w="80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0"/>
              <w:gridCol w:w="941"/>
              <w:gridCol w:w="502"/>
              <w:gridCol w:w="539"/>
              <w:gridCol w:w="702"/>
              <w:gridCol w:w="767"/>
              <w:gridCol w:w="1116"/>
              <w:gridCol w:w="3108"/>
            </w:tblGrid>
            <w:tr w14:paraId="1D51C226">
              <w:trPr>
                <w:trHeight w:val="977" w:hRule="atLeast"/>
                <w:jc w:val="center"/>
              </w:trPr>
              <w:tc>
                <w:tcPr>
                  <w:tcW w:w="360" w:type="dxa"/>
                  <w:vAlign w:val="center"/>
                </w:tcPr>
                <w:p w14:paraId="6CE31139">
                  <w:pPr>
                    <w:pStyle w:val="23"/>
                    <w:kinsoku/>
                    <w:spacing w:line="240" w:lineRule="atLeast"/>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序号</w:t>
                  </w:r>
                </w:p>
              </w:tc>
              <w:tc>
                <w:tcPr>
                  <w:tcW w:w="941" w:type="dxa"/>
                  <w:vAlign w:val="center"/>
                </w:tcPr>
                <w:p w14:paraId="5E18B25D">
                  <w:pPr>
                    <w:pStyle w:val="23"/>
                    <w:kinsoku/>
                    <w:spacing w:line="240" w:lineRule="atLeast"/>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危废名称</w:t>
                  </w:r>
                </w:p>
              </w:tc>
              <w:tc>
                <w:tcPr>
                  <w:tcW w:w="502" w:type="dxa"/>
                  <w:vAlign w:val="center"/>
                </w:tcPr>
                <w:p w14:paraId="747F80F5">
                  <w:pPr>
                    <w:pStyle w:val="23"/>
                    <w:kinsoku/>
                    <w:spacing w:line="240" w:lineRule="atLeast"/>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属性</w:t>
                  </w:r>
                </w:p>
              </w:tc>
              <w:tc>
                <w:tcPr>
                  <w:tcW w:w="539" w:type="dxa"/>
                  <w:vAlign w:val="center"/>
                </w:tcPr>
                <w:p w14:paraId="5A833BC7">
                  <w:pPr>
                    <w:pStyle w:val="23"/>
                    <w:kinsoku/>
                    <w:spacing w:line="240" w:lineRule="atLeast"/>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危险特性</w:t>
                  </w:r>
                </w:p>
              </w:tc>
              <w:tc>
                <w:tcPr>
                  <w:tcW w:w="702" w:type="dxa"/>
                  <w:vAlign w:val="center"/>
                </w:tcPr>
                <w:p w14:paraId="77991609">
                  <w:pPr>
                    <w:pStyle w:val="23"/>
                    <w:kinsoku/>
                    <w:spacing w:line="240" w:lineRule="atLeast"/>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废物类别</w:t>
                  </w:r>
                </w:p>
              </w:tc>
              <w:tc>
                <w:tcPr>
                  <w:tcW w:w="767" w:type="dxa"/>
                  <w:vAlign w:val="center"/>
                </w:tcPr>
                <w:p w14:paraId="46EF41D1">
                  <w:pPr>
                    <w:pStyle w:val="23"/>
                    <w:kinsoku/>
                    <w:spacing w:line="240" w:lineRule="atLeast"/>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废物代码</w:t>
                  </w:r>
                </w:p>
              </w:tc>
              <w:tc>
                <w:tcPr>
                  <w:tcW w:w="1116" w:type="dxa"/>
                  <w:vAlign w:val="center"/>
                </w:tcPr>
                <w:p w14:paraId="63BCD427">
                  <w:pPr>
                    <w:pStyle w:val="23"/>
                    <w:kinsoku/>
                    <w:spacing w:line="240" w:lineRule="atLeast"/>
                    <w:jc w:val="center"/>
                    <w:rPr>
                      <w:rFonts w:hint="default" w:ascii="Times New Roman" w:hAnsi="Times New Roman" w:eastAsia="宋体" w:cs="Times New Roman"/>
                      <w:b/>
                      <w:bCs/>
                      <w:color w:val="auto"/>
                      <w:spacing w:val="6"/>
                      <w:sz w:val="21"/>
                      <w:szCs w:val="21"/>
                      <w:lang w:eastAsia="zh-CN"/>
                    </w:rPr>
                  </w:pPr>
                  <w:r>
                    <w:rPr>
                      <w:rFonts w:hint="default" w:ascii="Times New Roman" w:hAnsi="Times New Roman" w:eastAsia="宋体" w:cs="Times New Roman"/>
                      <w:b/>
                      <w:bCs/>
                      <w:color w:val="auto"/>
                      <w:spacing w:val="6"/>
                      <w:sz w:val="21"/>
                      <w:szCs w:val="21"/>
                      <w:lang w:eastAsia="zh-CN"/>
                    </w:rPr>
                    <w:t>估算产生量（施工期）</w:t>
                  </w:r>
                </w:p>
              </w:tc>
              <w:tc>
                <w:tcPr>
                  <w:tcW w:w="3108" w:type="dxa"/>
                  <w:tcBorders>
                    <w:bottom w:val="single" w:color="auto" w:sz="4" w:space="0"/>
                    <w:right w:val="single" w:color="000000" w:sz="4" w:space="0"/>
                  </w:tcBorders>
                  <w:vAlign w:val="center"/>
                </w:tcPr>
                <w:p w14:paraId="5E23C537">
                  <w:pPr>
                    <w:pStyle w:val="23"/>
                    <w:kinsoku/>
                    <w:spacing w:before="81" w:line="218" w:lineRule="auto"/>
                    <w:jc w:val="center"/>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6"/>
                      <w:sz w:val="21"/>
                      <w:szCs w:val="21"/>
                      <w:lang w:eastAsia="zh-CN"/>
                    </w:rPr>
                    <w:t>采取的处理处置方式</w:t>
                  </w:r>
                </w:p>
              </w:tc>
            </w:tr>
            <w:tr w14:paraId="73FA2BA4">
              <w:trPr>
                <w:trHeight w:val="1070" w:hRule="atLeast"/>
                <w:jc w:val="center"/>
              </w:trPr>
              <w:tc>
                <w:tcPr>
                  <w:tcW w:w="360" w:type="dxa"/>
                  <w:vAlign w:val="center"/>
                </w:tcPr>
                <w:p w14:paraId="6491E63F">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c>
                <w:tcPr>
                  <w:tcW w:w="941" w:type="dxa"/>
                  <w:vAlign w:val="center"/>
                </w:tcPr>
                <w:p w14:paraId="4C3AF2CD">
                  <w:pPr>
                    <w:kinsoku/>
                    <w:spacing w:before="57"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落地油泥</w:t>
                  </w:r>
                </w:p>
              </w:tc>
              <w:tc>
                <w:tcPr>
                  <w:tcW w:w="502" w:type="dxa"/>
                  <w:vMerge w:val="restart"/>
                  <w:vAlign w:val="center"/>
                </w:tcPr>
                <w:p w14:paraId="0C817C3D">
                  <w:pPr>
                    <w:kinsoku/>
                    <w:spacing w:before="263"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p>
              </w:tc>
              <w:tc>
                <w:tcPr>
                  <w:tcW w:w="539" w:type="dxa"/>
                  <w:vAlign w:val="center"/>
                </w:tcPr>
                <w:p w14:paraId="5E87FADD">
                  <w:pPr>
                    <w:kinsoku/>
                    <w:spacing w:before="263"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毒性T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易燃性I</w:t>
                  </w:r>
                </w:p>
              </w:tc>
              <w:tc>
                <w:tcPr>
                  <w:tcW w:w="702" w:type="dxa"/>
                  <w:vAlign w:val="center"/>
                </w:tcPr>
                <w:p w14:paraId="21AFCDCC">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HW08</w:t>
                  </w:r>
                </w:p>
              </w:tc>
              <w:tc>
                <w:tcPr>
                  <w:tcW w:w="767" w:type="dxa"/>
                  <w:vAlign w:val="center"/>
                </w:tcPr>
                <w:p w14:paraId="7076D8F5">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071-001-08</w:t>
                  </w:r>
                </w:p>
              </w:tc>
              <w:tc>
                <w:tcPr>
                  <w:tcW w:w="1116" w:type="dxa"/>
                  <w:vAlign w:val="center"/>
                </w:tcPr>
                <w:p w14:paraId="1A6E24A5">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lang w:eastAsia="zh-CN"/>
                    </w:rPr>
                    <w:t>0.1</w:t>
                  </w:r>
                  <w:r>
                    <w:rPr>
                      <w:rFonts w:hint="default" w:ascii="Times New Roman" w:hAnsi="Times New Roman" w:eastAsia="宋体" w:cs="Times New Roman"/>
                      <w:color w:val="auto"/>
                      <w:spacing w:val="6"/>
                      <w:sz w:val="21"/>
                      <w:szCs w:val="21"/>
                    </w:rPr>
                    <w:t>t</w:t>
                  </w:r>
                </w:p>
              </w:tc>
              <w:tc>
                <w:tcPr>
                  <w:tcW w:w="3108" w:type="dxa"/>
                  <w:tcBorders>
                    <w:top w:val="single" w:color="auto" w:sz="4" w:space="0"/>
                    <w:bottom w:val="single" w:color="auto" w:sz="4" w:space="0"/>
                    <w:right w:val="single" w:color="000000" w:sz="4" w:space="0"/>
                  </w:tcBorders>
                  <w:vAlign w:val="center"/>
                </w:tcPr>
                <w:p w14:paraId="0E808850">
                  <w:pPr>
                    <w:kinsoku/>
                    <w:spacing w:before="263"/>
                    <w:jc w:val="both"/>
                    <w:rPr>
                      <w:rFonts w:hint="default" w:ascii="Times New Roman" w:hAnsi="Times New Roman" w:eastAsia="宋体" w:cs="Times New Roman"/>
                      <w:color w:val="auto"/>
                      <w:spacing w:val="1"/>
                      <w:lang w:eastAsia="zh-CN"/>
                    </w:rPr>
                  </w:pPr>
                  <w:r>
                    <w:rPr>
                      <w:rFonts w:hint="default" w:ascii="Times New Roman" w:hAnsi="Times New Roman" w:eastAsia="宋体" w:cs="Times New Roman"/>
                      <w:color w:val="auto"/>
                      <w:spacing w:val="1"/>
                      <w:lang w:eastAsia="zh-CN"/>
                    </w:rPr>
                    <w:t>落地油泥暂存于专用钢制桶内，最终交由有危险废物处置资质的单位处置。</w:t>
                  </w:r>
                </w:p>
              </w:tc>
            </w:tr>
            <w:tr w14:paraId="06DD7196">
              <w:trPr>
                <w:trHeight w:val="90" w:hRule="atLeast"/>
                <w:jc w:val="center"/>
              </w:trPr>
              <w:tc>
                <w:tcPr>
                  <w:tcW w:w="360" w:type="dxa"/>
                  <w:vAlign w:val="center"/>
                </w:tcPr>
                <w:p w14:paraId="5F6936D3">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w:t>
                  </w:r>
                </w:p>
              </w:tc>
              <w:tc>
                <w:tcPr>
                  <w:tcW w:w="941" w:type="dxa"/>
                  <w:vAlign w:val="center"/>
                </w:tcPr>
                <w:p w14:paraId="62692D6B">
                  <w:pPr>
                    <w:kinsoku/>
                    <w:spacing w:before="57"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废防渗材料</w:t>
                  </w:r>
                </w:p>
              </w:tc>
              <w:tc>
                <w:tcPr>
                  <w:tcW w:w="502" w:type="dxa"/>
                  <w:vMerge w:val="continue"/>
                  <w:vAlign w:val="center"/>
                </w:tcPr>
                <w:p w14:paraId="780049DE">
                  <w:pPr>
                    <w:kinsoku/>
                    <w:spacing w:before="263" w:line="195" w:lineRule="auto"/>
                    <w:jc w:val="center"/>
                    <w:rPr>
                      <w:rFonts w:hint="default" w:ascii="Times New Roman" w:hAnsi="Times New Roman" w:eastAsia="宋体" w:cs="Times New Roman"/>
                      <w:color w:val="auto"/>
                    </w:rPr>
                  </w:pPr>
                </w:p>
              </w:tc>
              <w:tc>
                <w:tcPr>
                  <w:tcW w:w="539" w:type="dxa"/>
                  <w:vAlign w:val="center"/>
                </w:tcPr>
                <w:p w14:paraId="3E1ECE59">
                  <w:pPr>
                    <w:kinsoku/>
                    <w:spacing w:before="263"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毒性T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易燃性I</w:t>
                  </w:r>
                </w:p>
              </w:tc>
              <w:tc>
                <w:tcPr>
                  <w:tcW w:w="702" w:type="dxa"/>
                  <w:vAlign w:val="center"/>
                </w:tcPr>
                <w:p w14:paraId="3EDEFA2F">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HW08</w:t>
                  </w:r>
                </w:p>
              </w:tc>
              <w:tc>
                <w:tcPr>
                  <w:tcW w:w="767" w:type="dxa"/>
                  <w:vAlign w:val="center"/>
                </w:tcPr>
                <w:p w14:paraId="0B30AC5A">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900-249-08</w:t>
                  </w:r>
                </w:p>
              </w:tc>
              <w:tc>
                <w:tcPr>
                  <w:tcW w:w="1116" w:type="dxa"/>
                  <w:vAlign w:val="center"/>
                </w:tcPr>
                <w:p w14:paraId="6550B2EA">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w:t>
                  </w:r>
                  <w:r>
                    <w:rPr>
                      <w:rFonts w:hint="default" w:ascii="Times New Roman" w:hAnsi="Times New Roman" w:eastAsia="宋体" w:cs="Times New Roman"/>
                      <w:color w:val="auto"/>
                      <w:spacing w:val="6"/>
                      <w:sz w:val="21"/>
                      <w:szCs w:val="21"/>
                      <w:lang w:eastAsia="zh-CN"/>
                    </w:rPr>
                    <w:t>04</w:t>
                  </w:r>
                  <w:r>
                    <w:rPr>
                      <w:rFonts w:hint="default" w:ascii="Times New Roman" w:hAnsi="Times New Roman" w:eastAsia="宋体" w:cs="Times New Roman"/>
                      <w:color w:val="auto"/>
                      <w:spacing w:val="6"/>
                      <w:sz w:val="21"/>
                      <w:szCs w:val="21"/>
                    </w:rPr>
                    <w:t>t</w:t>
                  </w:r>
                </w:p>
              </w:tc>
              <w:tc>
                <w:tcPr>
                  <w:tcW w:w="3108" w:type="dxa"/>
                  <w:tcBorders>
                    <w:top w:val="single" w:color="auto" w:sz="4" w:space="0"/>
                    <w:bottom w:val="single" w:color="auto" w:sz="4" w:space="0"/>
                    <w:right w:val="single" w:color="000000" w:sz="4" w:space="0"/>
                  </w:tcBorders>
                  <w:vAlign w:val="center"/>
                </w:tcPr>
                <w:p w14:paraId="63EC9A04">
                  <w:pPr>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施工结束后委托具有相应危险废物处置资质的单位进行处置。</w:t>
                  </w:r>
                </w:p>
              </w:tc>
            </w:tr>
            <w:tr w14:paraId="792C88B7">
              <w:trPr>
                <w:trHeight w:val="1069" w:hRule="atLeast"/>
                <w:jc w:val="center"/>
              </w:trPr>
              <w:tc>
                <w:tcPr>
                  <w:tcW w:w="360" w:type="dxa"/>
                  <w:vAlign w:val="center"/>
                </w:tcPr>
                <w:p w14:paraId="785B2AB5">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w:t>
                  </w:r>
                </w:p>
              </w:tc>
              <w:tc>
                <w:tcPr>
                  <w:tcW w:w="941" w:type="dxa"/>
                  <w:vAlign w:val="center"/>
                </w:tcPr>
                <w:p w14:paraId="5C8249D4">
                  <w:pPr>
                    <w:kinsoku/>
                    <w:spacing w:before="57"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机械设备废油</w:t>
                  </w:r>
                </w:p>
              </w:tc>
              <w:tc>
                <w:tcPr>
                  <w:tcW w:w="502" w:type="dxa"/>
                  <w:vMerge w:val="continue"/>
                  <w:vAlign w:val="center"/>
                </w:tcPr>
                <w:p w14:paraId="0D572F66">
                  <w:pPr>
                    <w:kinsoku/>
                    <w:spacing w:before="263" w:line="195" w:lineRule="auto"/>
                    <w:jc w:val="center"/>
                    <w:rPr>
                      <w:rFonts w:hint="default" w:ascii="Times New Roman" w:hAnsi="Times New Roman" w:eastAsia="宋体" w:cs="Times New Roman"/>
                      <w:color w:val="auto"/>
                    </w:rPr>
                  </w:pPr>
                </w:p>
              </w:tc>
              <w:tc>
                <w:tcPr>
                  <w:tcW w:w="539" w:type="dxa"/>
                  <w:vAlign w:val="center"/>
                </w:tcPr>
                <w:p w14:paraId="64C20650">
                  <w:pPr>
                    <w:kinsoku/>
                    <w:spacing w:before="263"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毒性T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易燃性I</w:t>
                  </w:r>
                </w:p>
              </w:tc>
              <w:tc>
                <w:tcPr>
                  <w:tcW w:w="702" w:type="dxa"/>
                  <w:vAlign w:val="center"/>
                </w:tcPr>
                <w:p w14:paraId="027915FD">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HW08</w:t>
                  </w:r>
                </w:p>
              </w:tc>
              <w:tc>
                <w:tcPr>
                  <w:tcW w:w="767" w:type="dxa"/>
                  <w:vAlign w:val="center"/>
                </w:tcPr>
                <w:p w14:paraId="7A4D461A">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900-214-08</w:t>
                  </w:r>
                </w:p>
              </w:tc>
              <w:tc>
                <w:tcPr>
                  <w:tcW w:w="1116" w:type="dxa"/>
                  <w:vAlign w:val="center"/>
                </w:tcPr>
                <w:p w14:paraId="01874053">
                  <w:pPr>
                    <w:pStyle w:val="23"/>
                    <w:kinsoku/>
                    <w:spacing w:before="65" w:line="228"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lang w:eastAsia="zh-CN"/>
                    </w:rPr>
                    <w:t>1</w:t>
                  </w:r>
                  <w:r>
                    <w:rPr>
                      <w:rFonts w:hint="default" w:ascii="Times New Roman" w:hAnsi="Times New Roman" w:eastAsia="宋体" w:cs="Times New Roman"/>
                      <w:color w:val="auto"/>
                      <w:spacing w:val="6"/>
                      <w:sz w:val="21"/>
                      <w:szCs w:val="21"/>
                    </w:rPr>
                    <w:t>t</w:t>
                  </w:r>
                </w:p>
              </w:tc>
              <w:tc>
                <w:tcPr>
                  <w:tcW w:w="3108" w:type="dxa"/>
                  <w:vMerge w:val="restart"/>
                  <w:tcBorders>
                    <w:top w:val="single" w:color="auto" w:sz="4" w:space="0"/>
                    <w:bottom w:val="single" w:color="auto" w:sz="4" w:space="0"/>
                    <w:right w:val="single" w:color="000000" w:sz="4" w:space="0"/>
                  </w:tcBorders>
                  <w:vAlign w:val="center"/>
                </w:tcPr>
                <w:p w14:paraId="3CBB5159">
                  <w:pPr>
                    <w:pStyle w:val="23"/>
                    <w:kinsoku/>
                    <w:spacing w:before="65" w:line="252" w:lineRule="auto"/>
                    <w:ind w:right="71"/>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8"/>
                      <w:sz w:val="21"/>
                      <w:szCs w:val="21"/>
                      <w:lang w:eastAsia="zh-CN"/>
                    </w:rPr>
                    <w:t>暂存至危废贮存点，委托危险废物处置资质</w:t>
                  </w:r>
                  <w:r>
                    <w:rPr>
                      <w:rFonts w:hint="default" w:ascii="Times New Roman" w:hAnsi="Times New Roman" w:eastAsia="宋体" w:cs="Times New Roman"/>
                      <w:color w:val="auto"/>
                      <w:spacing w:val="8"/>
                      <w:sz w:val="21"/>
                      <w:szCs w:val="21"/>
                      <w:lang w:val="en-US" w:eastAsia="zh-CN"/>
                    </w:rPr>
                    <w:t>的</w:t>
                  </w:r>
                  <w:r>
                    <w:rPr>
                      <w:rFonts w:hint="default" w:ascii="Times New Roman" w:hAnsi="Times New Roman" w:eastAsia="宋体" w:cs="Times New Roman"/>
                      <w:color w:val="auto"/>
                      <w:spacing w:val="8"/>
                      <w:sz w:val="21"/>
                      <w:szCs w:val="21"/>
                      <w:lang w:eastAsia="zh-CN"/>
                    </w:rPr>
                    <w:t>单位进行处置。</w:t>
                  </w:r>
                </w:p>
              </w:tc>
            </w:tr>
            <w:tr w14:paraId="3D295C1A">
              <w:trPr>
                <w:trHeight w:val="770" w:hRule="atLeast"/>
                <w:jc w:val="center"/>
              </w:trPr>
              <w:tc>
                <w:tcPr>
                  <w:tcW w:w="360" w:type="dxa"/>
                  <w:vAlign w:val="center"/>
                </w:tcPr>
                <w:p w14:paraId="3C85C16D">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4</w:t>
                  </w:r>
                </w:p>
              </w:tc>
              <w:tc>
                <w:tcPr>
                  <w:tcW w:w="941" w:type="dxa"/>
                  <w:vAlign w:val="center"/>
                </w:tcPr>
                <w:p w14:paraId="725A50A1">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废油桶</w:t>
                  </w:r>
                </w:p>
              </w:tc>
              <w:tc>
                <w:tcPr>
                  <w:tcW w:w="502" w:type="dxa"/>
                  <w:vMerge w:val="continue"/>
                  <w:vAlign w:val="center"/>
                </w:tcPr>
                <w:p w14:paraId="0DD42F1F">
                  <w:pPr>
                    <w:kinsoku/>
                    <w:spacing w:before="263" w:line="195" w:lineRule="auto"/>
                    <w:jc w:val="center"/>
                    <w:rPr>
                      <w:rFonts w:hint="default" w:ascii="Times New Roman" w:hAnsi="Times New Roman" w:eastAsia="宋体" w:cs="Times New Roman"/>
                      <w:color w:val="auto"/>
                      <w:lang w:eastAsia="zh-CN"/>
                    </w:rPr>
                  </w:pPr>
                </w:p>
              </w:tc>
              <w:tc>
                <w:tcPr>
                  <w:tcW w:w="539" w:type="dxa"/>
                  <w:vAlign w:val="center"/>
                </w:tcPr>
                <w:p w14:paraId="20206AD7">
                  <w:pPr>
                    <w:kinsoku/>
                    <w:spacing w:before="263"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毒性T</w:t>
                  </w:r>
                </w:p>
              </w:tc>
              <w:tc>
                <w:tcPr>
                  <w:tcW w:w="702" w:type="dxa"/>
                  <w:vAlign w:val="center"/>
                </w:tcPr>
                <w:p w14:paraId="16AF84E3">
                  <w:pPr>
                    <w:pStyle w:val="23"/>
                    <w:kinsoku/>
                    <w:spacing w:before="65" w:line="228" w:lineRule="auto"/>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HW08</w:t>
                  </w:r>
                </w:p>
              </w:tc>
              <w:tc>
                <w:tcPr>
                  <w:tcW w:w="767" w:type="dxa"/>
                  <w:vAlign w:val="center"/>
                </w:tcPr>
                <w:p w14:paraId="6689B694">
                  <w:pPr>
                    <w:pStyle w:val="23"/>
                    <w:kinsoku/>
                    <w:spacing w:before="65" w:line="228" w:lineRule="auto"/>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900-249-08</w:t>
                  </w:r>
                </w:p>
              </w:tc>
              <w:tc>
                <w:tcPr>
                  <w:tcW w:w="1116" w:type="dxa"/>
                  <w:vAlign w:val="center"/>
                </w:tcPr>
                <w:p w14:paraId="4C2E3BDC">
                  <w:pPr>
                    <w:pStyle w:val="23"/>
                    <w:kinsoku/>
                    <w:spacing w:before="65" w:line="228" w:lineRule="auto"/>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0.</w:t>
                  </w:r>
                  <w:r>
                    <w:rPr>
                      <w:rFonts w:hint="default" w:ascii="Times New Roman" w:hAnsi="Times New Roman" w:eastAsia="宋体" w:cs="Times New Roman"/>
                      <w:color w:val="auto"/>
                      <w:spacing w:val="6"/>
                      <w:sz w:val="21"/>
                      <w:szCs w:val="21"/>
                      <w:lang w:val="en-US" w:eastAsia="zh-CN"/>
                    </w:rPr>
                    <w:t>4</w:t>
                  </w:r>
                  <w:r>
                    <w:rPr>
                      <w:rFonts w:hint="default" w:ascii="Times New Roman" w:hAnsi="Times New Roman" w:eastAsia="宋体" w:cs="Times New Roman"/>
                      <w:color w:val="auto"/>
                      <w:spacing w:val="6"/>
                      <w:sz w:val="21"/>
                      <w:szCs w:val="21"/>
                      <w:lang w:eastAsia="zh-CN"/>
                    </w:rPr>
                    <w:t>t</w:t>
                  </w:r>
                </w:p>
              </w:tc>
              <w:tc>
                <w:tcPr>
                  <w:tcW w:w="3108" w:type="dxa"/>
                  <w:vMerge w:val="continue"/>
                  <w:tcBorders>
                    <w:top w:val="single" w:color="auto" w:sz="4" w:space="0"/>
                    <w:bottom w:val="single" w:color="auto" w:sz="4" w:space="0"/>
                    <w:right w:val="single" w:color="000000" w:sz="4" w:space="0"/>
                  </w:tcBorders>
                  <w:vAlign w:val="center"/>
                </w:tcPr>
                <w:p w14:paraId="24BB3693">
                  <w:pPr>
                    <w:kinsoku/>
                    <w:jc w:val="both"/>
                    <w:rPr>
                      <w:rFonts w:hint="default" w:ascii="Times New Roman" w:hAnsi="Times New Roman" w:eastAsia="宋体" w:cs="Times New Roman"/>
                      <w:color w:val="auto"/>
                      <w:lang w:eastAsia="zh-CN"/>
                    </w:rPr>
                  </w:pPr>
                </w:p>
              </w:tc>
            </w:tr>
            <w:tr w14:paraId="7A42562A">
              <w:trPr>
                <w:trHeight w:val="770" w:hRule="atLeast"/>
                <w:jc w:val="center"/>
              </w:trPr>
              <w:tc>
                <w:tcPr>
                  <w:tcW w:w="360" w:type="dxa"/>
                  <w:vAlign w:val="center"/>
                </w:tcPr>
                <w:p w14:paraId="7161E480">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5</w:t>
                  </w:r>
                </w:p>
              </w:tc>
              <w:tc>
                <w:tcPr>
                  <w:tcW w:w="941" w:type="dxa"/>
                  <w:vAlign w:val="center"/>
                </w:tcPr>
                <w:p w14:paraId="2F395891">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废弃</w:t>
                  </w:r>
                  <w:r>
                    <w:rPr>
                      <w:rFonts w:hint="default" w:ascii="Times New Roman" w:hAnsi="Times New Roman" w:eastAsia="宋体" w:cs="Times New Roman"/>
                      <w:color w:val="auto"/>
                      <w:lang w:eastAsia="zh-CN"/>
                    </w:rPr>
                    <w:t>油基泥浆</w:t>
                  </w:r>
                </w:p>
              </w:tc>
              <w:tc>
                <w:tcPr>
                  <w:tcW w:w="502" w:type="dxa"/>
                  <w:vMerge w:val="continue"/>
                  <w:vAlign w:val="center"/>
                </w:tcPr>
                <w:p w14:paraId="5020CD98">
                  <w:pPr>
                    <w:kinsoku/>
                    <w:spacing w:before="263" w:line="195" w:lineRule="auto"/>
                    <w:jc w:val="center"/>
                    <w:rPr>
                      <w:rFonts w:hint="default" w:ascii="Times New Roman" w:hAnsi="Times New Roman" w:eastAsia="宋体" w:cs="Times New Roman"/>
                      <w:color w:val="auto"/>
                      <w:lang w:eastAsia="zh-CN"/>
                    </w:rPr>
                  </w:pPr>
                </w:p>
              </w:tc>
              <w:tc>
                <w:tcPr>
                  <w:tcW w:w="539" w:type="dxa"/>
                  <w:vAlign w:val="center"/>
                </w:tcPr>
                <w:p w14:paraId="376F5E1D">
                  <w:pPr>
                    <w:kinsoku/>
                    <w:spacing w:before="263"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毒性T</w:t>
                  </w:r>
                </w:p>
              </w:tc>
              <w:tc>
                <w:tcPr>
                  <w:tcW w:w="702" w:type="dxa"/>
                  <w:vAlign w:val="center"/>
                </w:tcPr>
                <w:p w14:paraId="3B14FE9F">
                  <w:pPr>
                    <w:pStyle w:val="23"/>
                    <w:kinsoku/>
                    <w:spacing w:before="65" w:line="228" w:lineRule="auto"/>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HW08</w:t>
                  </w:r>
                </w:p>
              </w:tc>
              <w:tc>
                <w:tcPr>
                  <w:tcW w:w="767" w:type="dxa"/>
                  <w:vAlign w:val="center"/>
                </w:tcPr>
                <w:p w14:paraId="2D6717FE">
                  <w:pPr>
                    <w:pStyle w:val="23"/>
                    <w:kinsoku/>
                    <w:spacing w:before="65" w:line="228" w:lineRule="auto"/>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3"/>
                      <w:lang w:eastAsia="zh-CN"/>
                    </w:rPr>
                    <w:t>071-002-08</w:t>
                  </w:r>
                </w:p>
              </w:tc>
              <w:tc>
                <w:tcPr>
                  <w:tcW w:w="1116" w:type="dxa"/>
                  <w:vAlign w:val="center"/>
                </w:tcPr>
                <w:p w14:paraId="31607F6C">
                  <w:pPr>
                    <w:pStyle w:val="23"/>
                    <w:kinsoku/>
                    <w:spacing w:before="65" w:line="228" w:lineRule="auto"/>
                    <w:jc w:val="center"/>
                    <w:rPr>
                      <w:rFonts w:hint="default" w:ascii="Times New Roman" w:hAnsi="Times New Roman" w:eastAsia="宋体" w:cs="Times New Roman"/>
                      <w:color w:val="auto"/>
                      <w:spacing w:val="6"/>
                      <w:sz w:val="21"/>
                      <w:szCs w:val="21"/>
                      <w:lang w:eastAsia="zh-CN"/>
                    </w:rPr>
                  </w:pPr>
                  <w:r>
                    <w:rPr>
                      <w:rFonts w:hint="eastAsia" w:ascii="Times New Roman" w:hAnsi="Times New Roman" w:eastAsia="宋体" w:cs="Times New Roman"/>
                      <w:color w:val="auto"/>
                      <w:spacing w:val="6"/>
                      <w:sz w:val="21"/>
                      <w:szCs w:val="21"/>
                      <w:highlight w:val="none"/>
                      <w:lang w:val="en-US" w:eastAsia="zh-CN"/>
                    </w:rPr>
                    <w:t>28.79</w:t>
                  </w:r>
                  <w:r>
                    <w:rPr>
                      <w:rFonts w:hint="default" w:ascii="Times New Roman" w:hAnsi="Times New Roman" w:eastAsia="宋体" w:cs="Times New Roman"/>
                      <w:color w:val="auto"/>
                      <w:spacing w:val="4"/>
                      <w:highlight w:val="none"/>
                      <w:lang w:eastAsia="zh-CN"/>
                    </w:rPr>
                    <w:t>m</w:t>
                  </w:r>
                  <w:r>
                    <w:rPr>
                      <w:rFonts w:hint="default" w:ascii="Times New Roman" w:hAnsi="Times New Roman" w:eastAsia="宋体" w:cs="Times New Roman"/>
                      <w:color w:val="auto"/>
                      <w:spacing w:val="4"/>
                      <w:highlight w:val="none"/>
                      <w:vertAlign w:val="superscript"/>
                      <w:lang w:eastAsia="zh-CN"/>
                    </w:rPr>
                    <w:t>3</w:t>
                  </w:r>
                </w:p>
              </w:tc>
              <w:tc>
                <w:tcPr>
                  <w:tcW w:w="3108" w:type="dxa"/>
                  <w:vMerge w:val="restart"/>
                  <w:tcBorders>
                    <w:top w:val="single" w:color="auto" w:sz="4" w:space="0"/>
                    <w:right w:val="single" w:color="000000" w:sz="4" w:space="0"/>
                  </w:tcBorders>
                  <w:vAlign w:val="center"/>
                </w:tcPr>
                <w:p w14:paraId="46B005CB">
                  <w:pPr>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6"/>
                      <w:sz w:val="21"/>
                      <w:szCs w:val="21"/>
                      <w:highlight w:val="none"/>
                      <w:lang w:eastAsia="zh-CN"/>
                    </w:rPr>
                    <w:t>项目采用不落地系统，</w:t>
                  </w:r>
                  <w:r>
                    <w:rPr>
                      <w:rFonts w:hint="eastAsia" w:ascii="Times New Roman" w:hAnsi="Times New Roman" w:eastAsia="宋体" w:cs="Times New Roman"/>
                      <w:color w:val="auto"/>
                      <w:spacing w:val="6"/>
                      <w:sz w:val="21"/>
                      <w:szCs w:val="21"/>
                      <w:highlight w:val="none"/>
                      <w:lang w:val="en-US" w:eastAsia="zh-CN"/>
                    </w:rPr>
                    <w:t>产生的</w:t>
                  </w:r>
                  <w:r>
                    <w:rPr>
                      <w:rFonts w:hint="default" w:ascii="Times New Roman" w:hAnsi="Times New Roman" w:eastAsia="宋体" w:cs="Times New Roman"/>
                      <w:color w:val="auto"/>
                      <w:spacing w:val="6"/>
                      <w:sz w:val="21"/>
                      <w:szCs w:val="21"/>
                      <w:highlight w:val="none"/>
                      <w:lang w:val="en-US" w:eastAsia="zh-CN"/>
                    </w:rPr>
                    <w:t>废弃</w:t>
                  </w:r>
                  <w:r>
                    <w:rPr>
                      <w:rFonts w:hint="eastAsia" w:ascii="Times New Roman" w:hAnsi="Times New Roman" w:eastAsia="宋体" w:cs="Times New Roman"/>
                      <w:color w:val="auto"/>
                      <w:spacing w:val="6"/>
                      <w:sz w:val="21"/>
                      <w:szCs w:val="21"/>
                      <w:highlight w:val="none"/>
                      <w:lang w:val="en-US" w:eastAsia="zh-CN"/>
                    </w:rPr>
                    <w:t>油</w:t>
                  </w:r>
                  <w:r>
                    <w:rPr>
                      <w:rFonts w:hint="default" w:ascii="Times New Roman" w:hAnsi="Times New Roman" w:eastAsia="宋体" w:cs="Times New Roman"/>
                      <w:color w:val="auto"/>
                      <w:spacing w:val="6"/>
                      <w:sz w:val="21"/>
                      <w:szCs w:val="21"/>
                      <w:highlight w:val="none"/>
                      <w:lang w:val="en-US" w:eastAsia="zh-CN"/>
                    </w:rPr>
                    <w:t>基</w:t>
                  </w:r>
                  <w:r>
                    <w:rPr>
                      <w:rFonts w:hint="default" w:ascii="Times New Roman" w:hAnsi="Times New Roman" w:eastAsia="宋体" w:cs="Times New Roman"/>
                      <w:color w:val="auto"/>
                      <w:spacing w:val="6"/>
                      <w:sz w:val="21"/>
                      <w:szCs w:val="21"/>
                      <w:highlight w:val="none"/>
                      <w:lang w:eastAsia="zh-CN"/>
                    </w:rPr>
                    <w:t>钻井泥浆、岩屑属于危险废物，</w:t>
                  </w:r>
                  <w:r>
                    <w:rPr>
                      <w:rFonts w:hint="default" w:ascii="Times New Roman" w:hAnsi="Times New Roman" w:eastAsia="宋体" w:cs="Times New Roman"/>
                      <w:color w:val="auto"/>
                      <w:spacing w:val="6"/>
                      <w:sz w:val="21"/>
                      <w:szCs w:val="21"/>
                      <w:highlight w:val="none"/>
                      <w:lang w:val="en-US" w:eastAsia="zh-CN"/>
                    </w:rPr>
                    <w:t>规范</w:t>
                  </w:r>
                  <w:r>
                    <w:rPr>
                      <w:rFonts w:hint="default" w:ascii="Times New Roman" w:hAnsi="Times New Roman" w:eastAsia="宋体" w:cs="Times New Roman"/>
                      <w:color w:val="auto"/>
                      <w:spacing w:val="6"/>
                      <w:sz w:val="21"/>
                      <w:szCs w:val="21"/>
                      <w:highlight w:val="none"/>
                      <w:lang w:eastAsia="zh-CN"/>
                    </w:rPr>
                    <w:t>收集、防渗暂存，委托具有危险废物经营资质的单位</w:t>
                  </w:r>
                  <w:r>
                    <w:rPr>
                      <w:rFonts w:hint="eastAsia" w:ascii="Times New Roman" w:hAnsi="Times New Roman" w:eastAsia="宋体" w:cs="Times New Roman"/>
                      <w:color w:val="auto"/>
                      <w:spacing w:val="6"/>
                      <w:sz w:val="21"/>
                      <w:szCs w:val="21"/>
                      <w:highlight w:val="none"/>
                      <w:lang w:val="en-US" w:eastAsia="zh-CN"/>
                    </w:rPr>
                    <w:t>及时</w:t>
                  </w:r>
                  <w:r>
                    <w:rPr>
                      <w:rFonts w:hint="default" w:ascii="Times New Roman" w:hAnsi="Times New Roman" w:eastAsia="宋体" w:cs="Times New Roman"/>
                      <w:color w:val="auto"/>
                      <w:spacing w:val="6"/>
                      <w:sz w:val="21"/>
                      <w:szCs w:val="21"/>
                      <w:highlight w:val="none"/>
                      <w:lang w:eastAsia="zh-CN"/>
                    </w:rPr>
                    <w:t>规范处置</w:t>
                  </w:r>
                  <w:r>
                    <w:rPr>
                      <w:rFonts w:hint="eastAsia" w:ascii="Times New Roman" w:hAnsi="Times New Roman" w:eastAsia="宋体" w:cs="Times New Roman"/>
                      <w:color w:val="auto"/>
                      <w:spacing w:val="6"/>
                      <w:sz w:val="21"/>
                      <w:szCs w:val="21"/>
                      <w:highlight w:val="none"/>
                      <w:lang w:eastAsia="zh-CN"/>
                    </w:rPr>
                    <w:t>（</w:t>
                  </w:r>
                  <w:r>
                    <w:rPr>
                      <w:rFonts w:hint="eastAsia" w:ascii="Times New Roman" w:hAnsi="Times New Roman" w:eastAsia="宋体" w:cs="Times New Roman"/>
                      <w:color w:val="auto"/>
                      <w:spacing w:val="6"/>
                      <w:sz w:val="21"/>
                      <w:szCs w:val="21"/>
                      <w:highlight w:val="none"/>
                      <w:lang w:val="en-US" w:eastAsia="zh-CN"/>
                    </w:rPr>
                    <w:t>日产日清</w:t>
                  </w:r>
                  <w:r>
                    <w:rPr>
                      <w:rFonts w:hint="eastAsia"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lang w:eastAsia="zh-CN"/>
                    </w:rPr>
                    <w:t>。</w:t>
                  </w:r>
                </w:p>
              </w:tc>
            </w:tr>
            <w:tr w14:paraId="015D28B9">
              <w:trPr>
                <w:trHeight w:val="770" w:hRule="atLeast"/>
                <w:jc w:val="center"/>
              </w:trPr>
              <w:tc>
                <w:tcPr>
                  <w:tcW w:w="360" w:type="dxa"/>
                  <w:vAlign w:val="center"/>
                </w:tcPr>
                <w:p w14:paraId="137C4CA6">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6</w:t>
                  </w:r>
                </w:p>
              </w:tc>
              <w:tc>
                <w:tcPr>
                  <w:tcW w:w="941" w:type="dxa"/>
                  <w:vAlign w:val="center"/>
                </w:tcPr>
                <w:p w14:paraId="59FC3F61">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油基岩屑</w:t>
                  </w:r>
                </w:p>
              </w:tc>
              <w:tc>
                <w:tcPr>
                  <w:tcW w:w="502" w:type="dxa"/>
                  <w:vMerge w:val="continue"/>
                  <w:vAlign w:val="center"/>
                </w:tcPr>
                <w:p w14:paraId="7583DB6B">
                  <w:pPr>
                    <w:kinsoku/>
                    <w:spacing w:before="263" w:line="195" w:lineRule="auto"/>
                    <w:jc w:val="center"/>
                    <w:rPr>
                      <w:rFonts w:hint="default" w:ascii="Times New Roman" w:hAnsi="Times New Roman" w:eastAsia="宋体" w:cs="Times New Roman"/>
                      <w:color w:val="auto"/>
                      <w:lang w:eastAsia="zh-CN"/>
                    </w:rPr>
                  </w:pPr>
                </w:p>
              </w:tc>
              <w:tc>
                <w:tcPr>
                  <w:tcW w:w="539" w:type="dxa"/>
                  <w:vAlign w:val="center"/>
                </w:tcPr>
                <w:p w14:paraId="1BE846D8">
                  <w:pPr>
                    <w:kinsoku/>
                    <w:spacing w:before="263"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毒性T</w:t>
                  </w:r>
                </w:p>
              </w:tc>
              <w:tc>
                <w:tcPr>
                  <w:tcW w:w="702" w:type="dxa"/>
                  <w:vAlign w:val="center"/>
                </w:tcPr>
                <w:p w14:paraId="054F199D">
                  <w:pPr>
                    <w:pStyle w:val="23"/>
                    <w:kinsoku/>
                    <w:spacing w:before="65" w:line="228" w:lineRule="auto"/>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HW08</w:t>
                  </w:r>
                </w:p>
              </w:tc>
              <w:tc>
                <w:tcPr>
                  <w:tcW w:w="767" w:type="dxa"/>
                  <w:vAlign w:val="center"/>
                </w:tcPr>
                <w:p w14:paraId="10A1504F">
                  <w:pPr>
                    <w:pStyle w:val="23"/>
                    <w:kinsoku/>
                    <w:spacing w:before="65" w:line="228" w:lineRule="auto"/>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3"/>
                      <w:lang w:eastAsia="zh-CN"/>
                    </w:rPr>
                    <w:t>071-002-08</w:t>
                  </w:r>
                </w:p>
              </w:tc>
              <w:tc>
                <w:tcPr>
                  <w:tcW w:w="1116" w:type="dxa"/>
                  <w:vAlign w:val="center"/>
                </w:tcPr>
                <w:p w14:paraId="14AA1B6F">
                  <w:pPr>
                    <w:pStyle w:val="23"/>
                    <w:kinsoku/>
                    <w:spacing w:before="65" w:line="228" w:lineRule="auto"/>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highlight w:val="none"/>
                      <w:lang w:val="en-US" w:eastAsia="zh-CN"/>
                    </w:rPr>
                    <w:t>973.20</w:t>
                  </w:r>
                </w:p>
              </w:tc>
              <w:tc>
                <w:tcPr>
                  <w:tcW w:w="3108" w:type="dxa"/>
                  <w:vMerge w:val="continue"/>
                  <w:tcBorders>
                    <w:bottom w:val="single" w:color="auto" w:sz="4" w:space="0"/>
                    <w:right w:val="single" w:color="000000" w:sz="4" w:space="0"/>
                  </w:tcBorders>
                  <w:vAlign w:val="center"/>
                </w:tcPr>
                <w:p w14:paraId="22410A53">
                  <w:pPr>
                    <w:kinsoku/>
                    <w:jc w:val="center"/>
                    <w:rPr>
                      <w:rFonts w:hint="default" w:ascii="Times New Roman" w:hAnsi="Times New Roman" w:eastAsia="宋体" w:cs="Times New Roman"/>
                      <w:color w:val="auto"/>
                      <w:lang w:eastAsia="zh-CN"/>
                    </w:rPr>
                  </w:pPr>
                </w:p>
              </w:tc>
            </w:tr>
          </w:tbl>
          <w:p w14:paraId="76BF1BD9">
            <w:pPr>
              <w:pStyle w:val="8"/>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7.环境风险影响分析</w:t>
            </w:r>
          </w:p>
          <w:p w14:paraId="1C9C3BD6">
            <w:pPr>
              <w:pStyle w:val="8"/>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7.1评价依据</w:t>
            </w:r>
          </w:p>
          <w:p w14:paraId="30B038B7">
            <w:pPr>
              <w:pStyle w:val="8"/>
              <w:widowControl w:val="0"/>
              <w:kinsoku/>
              <w:spacing w:line="360" w:lineRule="auto"/>
              <w:ind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钻井期涉及的危险物质主要为柴油、机械设备废油及沾油废防渗材料；试油期涉及的危险物质主要为原油、柴油。根据《建设项目环境风险评价技术导则》（HJ169-2018）附录B可知，柴油、机械设备废油属于“油类物质”，废油桶和沾油废防渗材料为含油废物（各危险物质在线量分别以沾油废防渗材料和废油桶中油类含量计），临界量均为2500t。</w:t>
            </w:r>
          </w:p>
          <w:p w14:paraId="737C9241">
            <w:pPr>
              <w:pStyle w:val="8"/>
              <w:widowControl w:val="0"/>
              <w:kinsoku/>
              <w:spacing w:line="360" w:lineRule="auto"/>
              <w:ind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根据相关资料可知，</w:t>
            </w:r>
            <w:r>
              <w:rPr>
                <w:rFonts w:hint="default" w:ascii="Times New Roman" w:hAnsi="Times New Roman" w:eastAsia="宋体" w:cs="Times New Roman"/>
                <w:color w:val="auto"/>
                <w:spacing w:val="-2"/>
                <w:sz w:val="24"/>
                <w:szCs w:val="24"/>
                <w:lang w:val="en-US" w:eastAsia="zh-CN"/>
              </w:rPr>
              <w:t>本项目</w:t>
            </w:r>
            <w:r>
              <w:rPr>
                <w:rFonts w:hint="default" w:ascii="Times New Roman" w:hAnsi="Times New Roman" w:eastAsia="宋体" w:cs="Times New Roman"/>
                <w:color w:val="auto"/>
                <w:spacing w:val="-2"/>
                <w:sz w:val="24"/>
                <w:szCs w:val="24"/>
                <w:lang w:eastAsia="zh-CN"/>
              </w:rPr>
              <w:t>钻井</w:t>
            </w:r>
            <w:r>
              <w:rPr>
                <w:rFonts w:hint="default" w:ascii="Times New Roman" w:hAnsi="Times New Roman" w:eastAsia="宋体" w:cs="Times New Roman"/>
                <w:color w:val="auto"/>
                <w:spacing w:val="4"/>
                <w:sz w:val="24"/>
                <w:szCs w:val="24"/>
                <w:lang w:val="en-US" w:eastAsia="zh-CN"/>
              </w:rPr>
              <w:t>井场</w:t>
            </w:r>
            <w:r>
              <w:rPr>
                <w:rFonts w:hint="default" w:ascii="Times New Roman" w:hAnsi="Times New Roman" w:eastAsia="宋体" w:cs="Times New Roman"/>
                <w:color w:val="auto"/>
                <w:spacing w:val="-2"/>
                <w:sz w:val="24"/>
                <w:szCs w:val="24"/>
                <w:lang w:eastAsia="zh-CN"/>
              </w:rPr>
              <w:t>柴油储罐的最大储存量约20t；危险废物机械设备废油、废油桶及沾油废防渗材料中石油类最大暂存量约为1t。则钻井期油类物质的危险物质数量与临界量比值Q=0.008＜1。</w:t>
            </w:r>
          </w:p>
          <w:p w14:paraId="0D03B649">
            <w:pPr>
              <w:pStyle w:val="8"/>
              <w:widowControl w:val="0"/>
              <w:kinsoku/>
              <w:spacing w:line="360" w:lineRule="auto"/>
              <w:ind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试油期产生的伴生气气量不稳定，伴生气和伴生气中的硫化氢最大存在总量远低于其临界量（伴生气临界量10t，硫化氢临界量2.5t）；试油期柴油在钻井</w:t>
            </w:r>
            <w:r>
              <w:rPr>
                <w:rFonts w:hint="default" w:ascii="Times New Roman" w:hAnsi="Times New Roman" w:eastAsia="宋体" w:cs="Times New Roman"/>
                <w:color w:val="auto"/>
                <w:spacing w:val="4"/>
                <w:sz w:val="24"/>
                <w:szCs w:val="24"/>
                <w:lang w:val="en-US" w:eastAsia="zh-CN"/>
              </w:rPr>
              <w:t>井场</w:t>
            </w:r>
            <w:r>
              <w:rPr>
                <w:rFonts w:hint="default" w:ascii="Times New Roman" w:hAnsi="Times New Roman" w:eastAsia="宋体" w:cs="Times New Roman"/>
                <w:color w:val="auto"/>
                <w:spacing w:val="-2"/>
                <w:sz w:val="24"/>
                <w:szCs w:val="24"/>
                <w:lang w:eastAsia="zh-CN"/>
              </w:rPr>
              <w:t>的日常储量为20t，试油期钻井</w:t>
            </w:r>
            <w:r>
              <w:rPr>
                <w:rFonts w:hint="default" w:ascii="Times New Roman" w:hAnsi="Times New Roman" w:eastAsia="宋体" w:cs="Times New Roman"/>
                <w:color w:val="auto"/>
                <w:spacing w:val="4"/>
                <w:sz w:val="24"/>
                <w:szCs w:val="24"/>
                <w:lang w:val="en-US" w:eastAsia="zh-CN"/>
              </w:rPr>
              <w:t>井场</w:t>
            </w:r>
            <w:r>
              <w:rPr>
                <w:rFonts w:hint="default" w:ascii="Times New Roman" w:hAnsi="Times New Roman" w:eastAsia="宋体" w:cs="Times New Roman"/>
                <w:color w:val="auto"/>
                <w:spacing w:val="-2"/>
                <w:sz w:val="24"/>
                <w:szCs w:val="24"/>
                <w:lang w:eastAsia="zh-CN"/>
              </w:rPr>
              <w:t>设置原油储罐</w:t>
            </w:r>
            <w:r>
              <w:rPr>
                <w:rFonts w:hint="default" w:ascii="Times New Roman" w:hAnsi="Times New Roman" w:eastAsia="宋体"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lang w:eastAsia="zh-CN"/>
              </w:rPr>
              <w:t>个，油罐容积为</w:t>
            </w:r>
            <w:r>
              <w:rPr>
                <w:rFonts w:hint="default" w:ascii="Times New Roman" w:hAnsi="Times New Roman" w:eastAsia="宋体" w:cs="Times New Roman"/>
                <w:color w:val="auto"/>
                <w:spacing w:val="-2"/>
                <w:sz w:val="24"/>
                <w:szCs w:val="24"/>
                <w:lang w:val="en-US" w:eastAsia="zh-CN"/>
              </w:rPr>
              <w:t>80</w:t>
            </w:r>
            <w:r>
              <w:rPr>
                <w:rFonts w:hint="default" w:ascii="Times New Roman" w:hAnsi="Times New Roman" w:eastAsia="宋体" w:cs="Times New Roman"/>
                <w:color w:val="auto"/>
                <w:spacing w:val="-2"/>
                <w:sz w:val="24"/>
                <w:szCs w:val="24"/>
                <w:lang w:eastAsia="zh-CN"/>
              </w:rPr>
              <w:t>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pacing w:val="-2"/>
                <w:sz w:val="24"/>
                <w:szCs w:val="24"/>
                <w:lang w:eastAsia="zh-CN"/>
              </w:rPr>
              <w:t>，原油平均密度为0.87g/cm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pacing w:val="-2"/>
                <w:sz w:val="24"/>
                <w:szCs w:val="24"/>
                <w:lang w:eastAsia="zh-CN"/>
              </w:rPr>
              <w:t>，则采出液中原油最大储存量约</w:t>
            </w:r>
            <w:r>
              <w:rPr>
                <w:rFonts w:hint="default" w:ascii="Times New Roman" w:hAnsi="Times New Roman" w:eastAsia="宋体" w:cs="Times New Roman"/>
                <w:color w:val="auto"/>
                <w:spacing w:val="-2"/>
                <w:sz w:val="24"/>
                <w:szCs w:val="24"/>
                <w:lang w:val="en-US" w:eastAsia="zh-CN"/>
              </w:rPr>
              <w:t>139.2</w:t>
            </w:r>
            <w:r>
              <w:rPr>
                <w:rFonts w:hint="default" w:ascii="Times New Roman" w:hAnsi="Times New Roman" w:eastAsia="宋体" w:cs="Times New Roman"/>
                <w:color w:val="auto"/>
                <w:spacing w:val="-2"/>
                <w:sz w:val="24"/>
                <w:szCs w:val="24"/>
                <w:lang w:eastAsia="zh-CN"/>
              </w:rPr>
              <w:t>t，试油期油类物质的危险物质数量与临界量比值Q=0.0</w:t>
            </w:r>
            <w:r>
              <w:rPr>
                <w:rFonts w:hint="default" w:ascii="Times New Roman" w:hAnsi="Times New Roman" w:eastAsia="宋体" w:cs="Times New Roman"/>
                <w:color w:val="auto"/>
                <w:spacing w:val="-2"/>
                <w:sz w:val="24"/>
                <w:szCs w:val="24"/>
                <w:lang w:val="en-US" w:eastAsia="zh-CN"/>
              </w:rPr>
              <w:t>637</w:t>
            </w:r>
            <w:r>
              <w:rPr>
                <w:rFonts w:hint="default" w:ascii="Times New Roman" w:hAnsi="Times New Roman" w:eastAsia="宋体" w:cs="Times New Roman"/>
                <w:color w:val="auto"/>
                <w:spacing w:val="-2"/>
                <w:sz w:val="24"/>
                <w:szCs w:val="24"/>
                <w:lang w:eastAsia="zh-CN"/>
              </w:rPr>
              <w:t>＜1，风险潜势为Ⅰ。评价等级为简单分析。</w:t>
            </w:r>
          </w:p>
          <w:p w14:paraId="6274CCEF">
            <w:pPr>
              <w:pStyle w:val="8"/>
              <w:widowControl w:val="0"/>
              <w:kinsoku/>
              <w:spacing w:line="360" w:lineRule="auto"/>
              <w:ind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事故状态下，若发生井喷或者储罐泄漏事故，无法回收的原油和受污染的土壤形成落地油，落地油属于HW08类危险废物（废物代码：071-001-08），落地油产生量根据具体事故情形而定，落地油泥用专用罐收集，最终交由有危险废物处置资质的单位处置。</w:t>
            </w:r>
          </w:p>
          <w:p w14:paraId="35E6D26E">
            <w:pPr>
              <w:pStyle w:val="8"/>
              <w:widowControl w:val="0"/>
              <w:kinsoku/>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钻井井场和试油井场各危险物质与临界量的比值计算情况具体见表4-</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p>
          <w:p w14:paraId="7323851F">
            <w:pPr>
              <w:pStyle w:val="31"/>
              <w:widowControl w:val="0"/>
              <w:kinsoku/>
              <w:rPr>
                <w:rFonts w:hint="default" w:ascii="Times New Roman" w:hAnsi="Times New Roman" w:eastAsia="宋体" w:cs="Times New Roman"/>
                <w:b/>
                <w:bCs/>
                <w:color w:val="auto"/>
                <w:spacing w:val="5"/>
                <w:szCs w:val="21"/>
                <w:lang w:eastAsia="zh-CN"/>
              </w:rPr>
            </w:pPr>
            <w:r>
              <w:rPr>
                <w:rFonts w:hint="default" w:ascii="Times New Roman" w:hAnsi="Times New Roman" w:eastAsia="宋体" w:cs="Times New Roman"/>
                <w:b/>
                <w:bCs/>
                <w:color w:val="auto"/>
                <w:spacing w:val="5"/>
                <w:szCs w:val="21"/>
                <w:lang w:eastAsia="zh-CN"/>
              </w:rPr>
              <w:t>表4-</w:t>
            </w:r>
            <w:r>
              <w:rPr>
                <w:rFonts w:hint="default" w:ascii="Times New Roman" w:hAnsi="Times New Roman" w:eastAsia="宋体" w:cs="Times New Roman"/>
                <w:b/>
                <w:bCs/>
                <w:color w:val="auto"/>
                <w:spacing w:val="5"/>
                <w:szCs w:val="21"/>
                <w:lang w:val="en-US" w:eastAsia="zh-CN"/>
              </w:rPr>
              <w:t>6</w:t>
            </w:r>
            <w:r>
              <w:rPr>
                <w:rFonts w:hint="default" w:ascii="Times New Roman" w:hAnsi="Times New Roman" w:eastAsia="宋体" w:cs="Times New Roman"/>
                <w:b/>
                <w:bCs/>
                <w:color w:val="auto"/>
                <w:spacing w:val="5"/>
                <w:szCs w:val="21"/>
                <w:lang w:eastAsia="zh-CN"/>
              </w:rPr>
              <w:t xml:space="preserve"> 本项目井场各风险单元Q值一览表</w:t>
            </w:r>
          </w:p>
          <w:tbl>
            <w:tblPr>
              <w:tblStyle w:val="17"/>
              <w:tblW w:w="500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790"/>
              <w:gridCol w:w="2366"/>
              <w:gridCol w:w="1585"/>
              <w:gridCol w:w="1292"/>
              <w:gridCol w:w="968"/>
              <w:gridCol w:w="1089"/>
            </w:tblGrid>
            <w:tr w14:paraId="3B4539D1">
              <w:trPr>
                <w:jc w:val="center"/>
              </w:trPr>
              <w:tc>
                <w:tcPr>
                  <w:tcW w:w="488" w:type="pct"/>
                  <w:tcBorders>
                    <w:bottom w:val="single" w:color="auto" w:sz="4" w:space="0"/>
                    <w:right w:val="single" w:color="auto" w:sz="4" w:space="0"/>
                  </w:tcBorders>
                  <w:vAlign w:val="center"/>
                </w:tcPr>
                <w:p w14:paraId="34B6FB2F">
                  <w:pPr>
                    <w:pStyle w:val="8"/>
                    <w:kinsoku/>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风险单位</w:t>
                  </w:r>
                </w:p>
              </w:tc>
              <w:tc>
                <w:tcPr>
                  <w:tcW w:w="1461" w:type="pct"/>
                  <w:tcBorders>
                    <w:left w:val="single" w:color="auto" w:sz="4" w:space="0"/>
                    <w:bottom w:val="single" w:color="auto" w:sz="4" w:space="0"/>
                    <w:right w:val="single" w:color="auto" w:sz="4" w:space="0"/>
                  </w:tcBorders>
                  <w:vAlign w:val="center"/>
                </w:tcPr>
                <w:p w14:paraId="6ACF1CE7">
                  <w:pPr>
                    <w:pStyle w:val="8"/>
                    <w:kinsoku/>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危险物质名称</w:t>
                  </w:r>
                </w:p>
              </w:tc>
              <w:tc>
                <w:tcPr>
                  <w:tcW w:w="979" w:type="pct"/>
                  <w:tcBorders>
                    <w:left w:val="single" w:color="auto" w:sz="4" w:space="0"/>
                    <w:bottom w:val="single" w:color="auto" w:sz="4" w:space="0"/>
                    <w:right w:val="single" w:color="auto" w:sz="4" w:space="0"/>
                  </w:tcBorders>
                  <w:vAlign w:val="center"/>
                </w:tcPr>
                <w:p w14:paraId="2694BA2A">
                  <w:pPr>
                    <w:pStyle w:val="8"/>
                    <w:kinsoku/>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危险物质最大在线量（t）</w:t>
                  </w:r>
                </w:p>
              </w:tc>
              <w:tc>
                <w:tcPr>
                  <w:tcW w:w="798" w:type="pct"/>
                  <w:tcBorders>
                    <w:left w:val="single" w:color="auto" w:sz="4" w:space="0"/>
                    <w:bottom w:val="single" w:color="auto" w:sz="4" w:space="0"/>
                    <w:right w:val="single" w:color="auto" w:sz="4" w:space="0"/>
                  </w:tcBorders>
                  <w:vAlign w:val="center"/>
                </w:tcPr>
                <w:p w14:paraId="32B694A2">
                  <w:pPr>
                    <w:pStyle w:val="8"/>
                    <w:kinsoku/>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危险物质临界量（t）</w:t>
                  </w:r>
                </w:p>
              </w:tc>
              <w:tc>
                <w:tcPr>
                  <w:tcW w:w="598" w:type="pct"/>
                  <w:tcBorders>
                    <w:left w:val="single" w:color="auto" w:sz="4" w:space="0"/>
                    <w:bottom w:val="single" w:color="auto" w:sz="4" w:space="0"/>
                    <w:right w:val="single" w:color="auto" w:sz="4" w:space="0"/>
                  </w:tcBorders>
                  <w:vAlign w:val="center"/>
                </w:tcPr>
                <w:p w14:paraId="2170C73F">
                  <w:pPr>
                    <w:pStyle w:val="8"/>
                    <w:kinsoku/>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Q值</w:t>
                  </w:r>
                </w:p>
              </w:tc>
              <w:tc>
                <w:tcPr>
                  <w:tcW w:w="672" w:type="pct"/>
                  <w:tcBorders>
                    <w:left w:val="single" w:color="auto" w:sz="4" w:space="0"/>
                    <w:bottom w:val="single" w:color="auto" w:sz="4" w:space="0"/>
                  </w:tcBorders>
                  <w:vAlign w:val="center"/>
                </w:tcPr>
                <w:p w14:paraId="7E987ECB">
                  <w:pPr>
                    <w:pStyle w:val="8"/>
                    <w:kinsoku/>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风险潜势等级</w:t>
                  </w:r>
                </w:p>
              </w:tc>
            </w:tr>
            <w:tr w14:paraId="3EF53044">
              <w:trPr>
                <w:trHeight w:val="340" w:hRule="atLeast"/>
                <w:jc w:val="center"/>
              </w:trPr>
              <w:tc>
                <w:tcPr>
                  <w:tcW w:w="488" w:type="pct"/>
                  <w:vMerge w:val="restart"/>
                  <w:tcBorders>
                    <w:top w:val="single" w:color="auto" w:sz="4" w:space="0"/>
                    <w:right w:val="single" w:color="auto" w:sz="4" w:space="0"/>
                  </w:tcBorders>
                  <w:vAlign w:val="center"/>
                </w:tcPr>
                <w:p w14:paraId="69C7DB5E">
                  <w:pPr>
                    <w:kinsoku/>
                    <w:spacing w:before="57"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钻井井场</w:t>
                  </w:r>
                </w:p>
              </w:tc>
              <w:tc>
                <w:tcPr>
                  <w:tcW w:w="1461" w:type="pct"/>
                  <w:tcBorders>
                    <w:top w:val="single" w:color="auto" w:sz="4" w:space="0"/>
                    <w:left w:val="single" w:color="auto" w:sz="4" w:space="0"/>
                    <w:bottom w:val="single" w:color="auto" w:sz="4" w:space="0"/>
                    <w:right w:val="single" w:color="auto" w:sz="4" w:space="0"/>
                  </w:tcBorders>
                  <w:vAlign w:val="center"/>
                </w:tcPr>
                <w:p w14:paraId="33379A30">
                  <w:pPr>
                    <w:kinsoku/>
                    <w:spacing w:before="57"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7722F2A2">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20</w:t>
                  </w:r>
                </w:p>
              </w:tc>
              <w:tc>
                <w:tcPr>
                  <w:tcW w:w="798" w:type="pct"/>
                  <w:tcBorders>
                    <w:top w:val="single" w:color="auto" w:sz="4" w:space="0"/>
                    <w:left w:val="single" w:color="auto" w:sz="4" w:space="0"/>
                    <w:bottom w:val="single" w:color="auto" w:sz="4" w:space="0"/>
                    <w:right w:val="single" w:color="auto" w:sz="4" w:space="0"/>
                  </w:tcBorders>
                  <w:vAlign w:val="center"/>
                </w:tcPr>
                <w:p w14:paraId="12C330D5">
                  <w:pPr>
                    <w:kinsoku/>
                    <w:spacing w:before="57" w:line="195"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65351825">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0.00</w:t>
                  </w:r>
                  <w:r>
                    <w:rPr>
                      <w:rFonts w:hint="default" w:ascii="Times New Roman" w:hAnsi="Times New Roman" w:eastAsia="宋体" w:cs="Times New Roman"/>
                      <w:color w:val="auto"/>
                      <w:lang w:eastAsia="zh-CN"/>
                    </w:rPr>
                    <w:t>8</w:t>
                  </w:r>
                </w:p>
              </w:tc>
              <w:tc>
                <w:tcPr>
                  <w:tcW w:w="672" w:type="pct"/>
                  <w:vMerge w:val="restart"/>
                  <w:tcBorders>
                    <w:top w:val="single" w:color="auto" w:sz="4" w:space="0"/>
                    <w:left w:val="single" w:color="auto" w:sz="4" w:space="0"/>
                    <w:bottom w:val="single" w:color="auto" w:sz="4" w:space="0"/>
                  </w:tcBorders>
                  <w:vAlign w:val="center"/>
                </w:tcPr>
                <w:p w14:paraId="40EC2932">
                  <w:pPr>
                    <w:pStyle w:val="8"/>
                    <w:kinsoku/>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r>
            <w:tr w14:paraId="02F8A890">
              <w:trPr>
                <w:trHeight w:val="340" w:hRule="atLeast"/>
                <w:jc w:val="center"/>
              </w:trPr>
              <w:tc>
                <w:tcPr>
                  <w:tcW w:w="488" w:type="pct"/>
                  <w:vMerge w:val="continue"/>
                  <w:tcBorders>
                    <w:right w:val="single" w:color="auto" w:sz="4" w:space="0"/>
                  </w:tcBorders>
                  <w:vAlign w:val="center"/>
                </w:tcPr>
                <w:p w14:paraId="5F497705">
                  <w:pPr>
                    <w:kinsoku/>
                    <w:spacing w:before="57" w:line="195" w:lineRule="auto"/>
                    <w:jc w:val="center"/>
                    <w:rPr>
                      <w:rFonts w:hint="default" w:ascii="Times New Roman" w:hAnsi="Times New Roman" w:eastAsia="宋体" w:cs="Times New Roman"/>
                      <w:color w:val="auto"/>
                    </w:rPr>
                  </w:pPr>
                </w:p>
              </w:tc>
              <w:tc>
                <w:tcPr>
                  <w:tcW w:w="1461" w:type="pct"/>
                  <w:tcBorders>
                    <w:top w:val="single" w:color="auto" w:sz="4" w:space="0"/>
                    <w:left w:val="single" w:color="auto" w:sz="4" w:space="0"/>
                    <w:bottom w:val="single" w:color="auto" w:sz="4" w:space="0"/>
                    <w:right w:val="single" w:color="auto" w:sz="4" w:space="0"/>
                  </w:tcBorders>
                  <w:vAlign w:val="center"/>
                </w:tcPr>
                <w:p w14:paraId="2067DE40">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机械设备废油、废油桶及沾油废防渗材料</w:t>
                  </w:r>
                </w:p>
              </w:tc>
              <w:tc>
                <w:tcPr>
                  <w:tcW w:w="979" w:type="pct"/>
                  <w:tcBorders>
                    <w:top w:val="single" w:color="auto" w:sz="4" w:space="0"/>
                    <w:left w:val="single" w:color="auto" w:sz="4" w:space="0"/>
                    <w:bottom w:val="single" w:color="auto" w:sz="4" w:space="0"/>
                    <w:right w:val="single" w:color="auto" w:sz="4" w:space="0"/>
                  </w:tcBorders>
                  <w:vAlign w:val="center"/>
                </w:tcPr>
                <w:p w14:paraId="4BC5F226">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c>
                <w:tcPr>
                  <w:tcW w:w="798" w:type="pct"/>
                  <w:tcBorders>
                    <w:top w:val="single" w:color="auto" w:sz="4" w:space="0"/>
                    <w:left w:val="single" w:color="auto" w:sz="4" w:space="0"/>
                    <w:bottom w:val="single" w:color="auto" w:sz="4" w:space="0"/>
                    <w:right w:val="single" w:color="auto" w:sz="4" w:space="0"/>
                  </w:tcBorders>
                  <w:vAlign w:val="center"/>
                </w:tcPr>
                <w:p w14:paraId="03E77ECA">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62F7BCD5">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0.0004</w:t>
                  </w:r>
                </w:p>
              </w:tc>
              <w:tc>
                <w:tcPr>
                  <w:tcW w:w="672" w:type="pct"/>
                  <w:vMerge w:val="continue"/>
                  <w:tcBorders>
                    <w:top w:val="single" w:color="auto" w:sz="4" w:space="0"/>
                    <w:left w:val="single" w:color="auto" w:sz="4" w:space="0"/>
                    <w:bottom w:val="single" w:color="auto" w:sz="4" w:space="0"/>
                  </w:tcBorders>
                  <w:vAlign w:val="center"/>
                </w:tcPr>
                <w:p w14:paraId="55143316">
                  <w:pPr>
                    <w:pStyle w:val="8"/>
                    <w:kinsoku/>
                    <w:jc w:val="center"/>
                    <w:rPr>
                      <w:rFonts w:hint="default" w:ascii="Times New Roman" w:hAnsi="Times New Roman" w:eastAsia="宋体" w:cs="Times New Roman"/>
                      <w:color w:val="auto"/>
                      <w:sz w:val="21"/>
                      <w:szCs w:val="21"/>
                      <w:lang w:eastAsia="zh-CN"/>
                    </w:rPr>
                  </w:pPr>
                </w:p>
              </w:tc>
            </w:tr>
            <w:tr w14:paraId="1990DB8C">
              <w:trPr>
                <w:trHeight w:val="340" w:hRule="atLeast"/>
                <w:jc w:val="center"/>
              </w:trPr>
              <w:tc>
                <w:tcPr>
                  <w:tcW w:w="488" w:type="pct"/>
                  <w:tcBorders>
                    <w:top w:val="single" w:color="auto" w:sz="4" w:space="0"/>
                    <w:bottom w:val="single" w:color="auto" w:sz="4" w:space="0"/>
                    <w:right w:val="single" w:color="auto" w:sz="4" w:space="0"/>
                  </w:tcBorders>
                  <w:vAlign w:val="center"/>
                </w:tcPr>
                <w:p w14:paraId="1867606D">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小计</w:t>
                  </w:r>
                </w:p>
              </w:tc>
              <w:tc>
                <w:tcPr>
                  <w:tcW w:w="1461" w:type="pct"/>
                  <w:tcBorders>
                    <w:top w:val="single" w:color="auto" w:sz="4" w:space="0"/>
                    <w:left w:val="single" w:color="auto" w:sz="4" w:space="0"/>
                    <w:bottom w:val="single" w:color="auto" w:sz="4" w:space="0"/>
                    <w:right w:val="single" w:color="auto" w:sz="4" w:space="0"/>
                  </w:tcBorders>
                  <w:vAlign w:val="center"/>
                </w:tcPr>
                <w:p w14:paraId="50EAED59">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979" w:type="pct"/>
                  <w:tcBorders>
                    <w:top w:val="single" w:color="auto" w:sz="4" w:space="0"/>
                    <w:left w:val="single" w:color="auto" w:sz="4" w:space="0"/>
                    <w:bottom w:val="single" w:color="auto" w:sz="4" w:space="0"/>
                    <w:right w:val="single" w:color="auto" w:sz="4" w:space="0"/>
                  </w:tcBorders>
                  <w:vAlign w:val="center"/>
                </w:tcPr>
                <w:p w14:paraId="5FA03F34">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798" w:type="pct"/>
                  <w:tcBorders>
                    <w:top w:val="single" w:color="auto" w:sz="4" w:space="0"/>
                    <w:left w:val="single" w:color="auto" w:sz="4" w:space="0"/>
                    <w:bottom w:val="single" w:color="auto" w:sz="4" w:space="0"/>
                    <w:right w:val="single" w:color="auto" w:sz="4" w:space="0"/>
                  </w:tcBorders>
                  <w:vAlign w:val="center"/>
                </w:tcPr>
                <w:p w14:paraId="21A59FDC">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598" w:type="pct"/>
                  <w:tcBorders>
                    <w:top w:val="single" w:color="auto" w:sz="4" w:space="0"/>
                    <w:left w:val="single" w:color="auto" w:sz="4" w:space="0"/>
                    <w:bottom w:val="single" w:color="auto" w:sz="4" w:space="0"/>
                    <w:right w:val="single" w:color="auto" w:sz="4" w:space="0"/>
                  </w:tcBorders>
                  <w:vAlign w:val="center"/>
                </w:tcPr>
                <w:p w14:paraId="69F278F6">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0.0084</w:t>
                  </w:r>
                </w:p>
              </w:tc>
              <w:tc>
                <w:tcPr>
                  <w:tcW w:w="672" w:type="pct"/>
                  <w:vMerge w:val="continue"/>
                  <w:tcBorders>
                    <w:top w:val="single" w:color="auto" w:sz="4" w:space="0"/>
                    <w:left w:val="single" w:color="auto" w:sz="4" w:space="0"/>
                    <w:bottom w:val="single" w:color="auto" w:sz="4" w:space="0"/>
                  </w:tcBorders>
                  <w:vAlign w:val="center"/>
                </w:tcPr>
                <w:p w14:paraId="16175E7F">
                  <w:pPr>
                    <w:pStyle w:val="8"/>
                    <w:kinsoku/>
                    <w:jc w:val="center"/>
                    <w:rPr>
                      <w:rFonts w:hint="default" w:ascii="Times New Roman" w:hAnsi="Times New Roman" w:eastAsia="宋体" w:cs="Times New Roman"/>
                      <w:color w:val="auto"/>
                      <w:sz w:val="21"/>
                      <w:szCs w:val="21"/>
                      <w:lang w:eastAsia="zh-CN"/>
                    </w:rPr>
                  </w:pPr>
                </w:p>
              </w:tc>
            </w:tr>
            <w:tr w14:paraId="5BFF4B62">
              <w:trPr>
                <w:trHeight w:val="340" w:hRule="atLeast"/>
                <w:jc w:val="center"/>
              </w:trPr>
              <w:tc>
                <w:tcPr>
                  <w:tcW w:w="488" w:type="pct"/>
                  <w:vMerge w:val="restart"/>
                  <w:tcBorders>
                    <w:top w:val="single" w:color="auto" w:sz="4" w:space="0"/>
                    <w:bottom w:val="single" w:color="auto" w:sz="4" w:space="0"/>
                    <w:right w:val="single" w:color="auto" w:sz="4" w:space="0"/>
                  </w:tcBorders>
                  <w:vAlign w:val="center"/>
                </w:tcPr>
                <w:p w14:paraId="6543402E">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试油井场</w:t>
                  </w:r>
                </w:p>
              </w:tc>
              <w:tc>
                <w:tcPr>
                  <w:tcW w:w="1461" w:type="pct"/>
                  <w:tcBorders>
                    <w:top w:val="single" w:color="auto" w:sz="4" w:space="0"/>
                    <w:left w:val="single" w:color="auto" w:sz="4" w:space="0"/>
                    <w:bottom w:val="single" w:color="auto" w:sz="4" w:space="0"/>
                    <w:right w:val="single" w:color="auto" w:sz="4" w:space="0"/>
                  </w:tcBorders>
                  <w:vAlign w:val="center"/>
                </w:tcPr>
                <w:p w14:paraId="600218FF">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4B85EB3E">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20</w:t>
                  </w:r>
                </w:p>
              </w:tc>
              <w:tc>
                <w:tcPr>
                  <w:tcW w:w="798" w:type="pct"/>
                  <w:tcBorders>
                    <w:top w:val="single" w:color="auto" w:sz="4" w:space="0"/>
                    <w:left w:val="single" w:color="auto" w:sz="4" w:space="0"/>
                    <w:bottom w:val="single" w:color="auto" w:sz="4" w:space="0"/>
                    <w:right w:val="single" w:color="auto" w:sz="4" w:space="0"/>
                  </w:tcBorders>
                  <w:vAlign w:val="center"/>
                </w:tcPr>
                <w:p w14:paraId="6B9E85FC">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3B86F3EE">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0.008</w:t>
                  </w:r>
                </w:p>
              </w:tc>
              <w:tc>
                <w:tcPr>
                  <w:tcW w:w="672" w:type="pct"/>
                  <w:vMerge w:val="restart"/>
                  <w:tcBorders>
                    <w:top w:val="single" w:color="auto" w:sz="4" w:space="0"/>
                    <w:left w:val="single" w:color="auto" w:sz="4" w:space="0"/>
                    <w:bottom w:val="single" w:color="auto" w:sz="4" w:space="0"/>
                  </w:tcBorders>
                  <w:vAlign w:val="center"/>
                </w:tcPr>
                <w:p w14:paraId="4348D424">
                  <w:pPr>
                    <w:pStyle w:val="8"/>
                    <w:kinsoku/>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Ⅰ</w:t>
                  </w:r>
                </w:p>
              </w:tc>
            </w:tr>
            <w:tr w14:paraId="733432BB">
              <w:trPr>
                <w:trHeight w:val="340" w:hRule="atLeast"/>
                <w:jc w:val="center"/>
              </w:trPr>
              <w:tc>
                <w:tcPr>
                  <w:tcW w:w="488" w:type="pct"/>
                  <w:vMerge w:val="continue"/>
                  <w:tcBorders>
                    <w:top w:val="single" w:color="auto" w:sz="4" w:space="0"/>
                    <w:bottom w:val="single" w:color="auto" w:sz="4" w:space="0"/>
                    <w:right w:val="single" w:color="auto" w:sz="4" w:space="0"/>
                  </w:tcBorders>
                  <w:vAlign w:val="center"/>
                </w:tcPr>
                <w:p w14:paraId="6BFBD46D">
                  <w:pPr>
                    <w:kinsoku/>
                    <w:spacing w:before="57" w:line="195" w:lineRule="auto"/>
                    <w:jc w:val="center"/>
                    <w:rPr>
                      <w:rFonts w:hint="default" w:ascii="Times New Roman" w:hAnsi="Times New Roman" w:eastAsia="宋体" w:cs="Times New Roman"/>
                      <w:color w:val="auto"/>
                      <w:lang w:eastAsia="zh-CN"/>
                    </w:rPr>
                  </w:pPr>
                </w:p>
              </w:tc>
              <w:tc>
                <w:tcPr>
                  <w:tcW w:w="1461" w:type="pct"/>
                  <w:tcBorders>
                    <w:top w:val="single" w:color="auto" w:sz="4" w:space="0"/>
                    <w:left w:val="single" w:color="auto" w:sz="4" w:space="0"/>
                    <w:bottom w:val="single" w:color="auto" w:sz="4" w:space="0"/>
                    <w:right w:val="single" w:color="auto" w:sz="4" w:space="0"/>
                  </w:tcBorders>
                  <w:vAlign w:val="center"/>
                </w:tcPr>
                <w:p w14:paraId="37115408">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采出液中原油</w:t>
                  </w:r>
                </w:p>
              </w:tc>
              <w:tc>
                <w:tcPr>
                  <w:tcW w:w="979" w:type="pct"/>
                  <w:tcBorders>
                    <w:top w:val="single" w:color="auto" w:sz="4" w:space="0"/>
                    <w:left w:val="single" w:color="auto" w:sz="4" w:space="0"/>
                    <w:bottom w:val="single" w:color="auto" w:sz="4" w:space="0"/>
                    <w:right w:val="single" w:color="auto" w:sz="4" w:space="0"/>
                  </w:tcBorders>
                  <w:vAlign w:val="center"/>
                </w:tcPr>
                <w:p w14:paraId="2ED18941">
                  <w:pPr>
                    <w:kinsoku/>
                    <w:spacing w:before="57" w:line="195"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139.2</w:t>
                  </w:r>
                </w:p>
              </w:tc>
              <w:tc>
                <w:tcPr>
                  <w:tcW w:w="798" w:type="pct"/>
                  <w:tcBorders>
                    <w:top w:val="single" w:color="auto" w:sz="4" w:space="0"/>
                    <w:left w:val="single" w:color="auto" w:sz="4" w:space="0"/>
                    <w:bottom w:val="single" w:color="auto" w:sz="4" w:space="0"/>
                    <w:right w:val="single" w:color="auto" w:sz="4" w:space="0"/>
                  </w:tcBorders>
                  <w:vAlign w:val="center"/>
                </w:tcPr>
                <w:p w14:paraId="378B4DFE">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763BD8C5">
                  <w:pPr>
                    <w:kinsoku/>
                    <w:spacing w:before="57" w:line="195"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0.0</w:t>
                  </w:r>
                  <w:r>
                    <w:rPr>
                      <w:rFonts w:hint="default" w:ascii="Times New Roman" w:hAnsi="Times New Roman" w:eastAsia="宋体" w:cs="Times New Roman"/>
                      <w:color w:val="auto"/>
                      <w:lang w:val="en-US" w:eastAsia="zh-CN"/>
                    </w:rPr>
                    <w:t>557</w:t>
                  </w:r>
                </w:p>
              </w:tc>
              <w:tc>
                <w:tcPr>
                  <w:tcW w:w="672" w:type="pct"/>
                  <w:vMerge w:val="continue"/>
                  <w:tcBorders>
                    <w:top w:val="single" w:color="auto" w:sz="4" w:space="0"/>
                    <w:left w:val="single" w:color="auto" w:sz="4" w:space="0"/>
                    <w:bottom w:val="single" w:color="auto" w:sz="4" w:space="0"/>
                  </w:tcBorders>
                  <w:vAlign w:val="center"/>
                </w:tcPr>
                <w:p w14:paraId="70F7F30D">
                  <w:pPr>
                    <w:pStyle w:val="8"/>
                    <w:kinsoku/>
                    <w:ind w:firstLine="420"/>
                    <w:rPr>
                      <w:rFonts w:hint="default" w:ascii="Times New Roman" w:hAnsi="Times New Roman" w:eastAsia="宋体" w:cs="Times New Roman"/>
                      <w:color w:val="auto"/>
                      <w:sz w:val="21"/>
                      <w:szCs w:val="21"/>
                      <w:lang w:eastAsia="zh-CN"/>
                    </w:rPr>
                  </w:pPr>
                </w:p>
              </w:tc>
            </w:tr>
            <w:tr w14:paraId="6279A52E">
              <w:trPr>
                <w:trHeight w:val="340" w:hRule="atLeast"/>
                <w:jc w:val="center"/>
              </w:trPr>
              <w:tc>
                <w:tcPr>
                  <w:tcW w:w="488" w:type="pct"/>
                  <w:tcBorders>
                    <w:top w:val="single" w:color="auto" w:sz="4" w:space="0"/>
                    <w:right w:val="single" w:color="auto" w:sz="4" w:space="0"/>
                  </w:tcBorders>
                  <w:vAlign w:val="center"/>
                </w:tcPr>
                <w:p w14:paraId="348B1743">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小计</w:t>
                  </w:r>
                </w:p>
              </w:tc>
              <w:tc>
                <w:tcPr>
                  <w:tcW w:w="1461" w:type="pct"/>
                  <w:tcBorders>
                    <w:top w:val="single" w:color="auto" w:sz="4" w:space="0"/>
                    <w:left w:val="single" w:color="auto" w:sz="4" w:space="0"/>
                    <w:right w:val="single" w:color="auto" w:sz="4" w:space="0"/>
                  </w:tcBorders>
                  <w:vAlign w:val="center"/>
                </w:tcPr>
                <w:p w14:paraId="57082B66">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979" w:type="pct"/>
                  <w:tcBorders>
                    <w:top w:val="single" w:color="auto" w:sz="4" w:space="0"/>
                    <w:left w:val="single" w:color="auto" w:sz="4" w:space="0"/>
                    <w:right w:val="single" w:color="auto" w:sz="4" w:space="0"/>
                  </w:tcBorders>
                  <w:vAlign w:val="center"/>
                </w:tcPr>
                <w:p w14:paraId="6F75BB86">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798" w:type="pct"/>
                  <w:tcBorders>
                    <w:top w:val="single" w:color="auto" w:sz="4" w:space="0"/>
                    <w:left w:val="single" w:color="auto" w:sz="4" w:space="0"/>
                    <w:right w:val="single" w:color="auto" w:sz="4" w:space="0"/>
                  </w:tcBorders>
                  <w:vAlign w:val="center"/>
                </w:tcPr>
                <w:p w14:paraId="12A7EADC">
                  <w:pPr>
                    <w:kinsoku/>
                    <w:spacing w:before="57" w:line="195"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598" w:type="pct"/>
                  <w:tcBorders>
                    <w:top w:val="single" w:color="auto" w:sz="4" w:space="0"/>
                    <w:left w:val="single" w:color="auto" w:sz="4" w:space="0"/>
                    <w:right w:val="single" w:color="auto" w:sz="4" w:space="0"/>
                  </w:tcBorders>
                  <w:vAlign w:val="center"/>
                </w:tcPr>
                <w:p w14:paraId="4EE9B20B">
                  <w:pPr>
                    <w:kinsoku/>
                    <w:spacing w:before="57" w:line="195"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0.0064</w:t>
                  </w:r>
                </w:p>
              </w:tc>
              <w:tc>
                <w:tcPr>
                  <w:tcW w:w="672" w:type="pct"/>
                  <w:vMerge w:val="continue"/>
                  <w:tcBorders>
                    <w:top w:val="single" w:color="auto" w:sz="4" w:space="0"/>
                    <w:left w:val="single" w:color="auto" w:sz="4" w:space="0"/>
                  </w:tcBorders>
                  <w:vAlign w:val="center"/>
                </w:tcPr>
                <w:p w14:paraId="76602BB5">
                  <w:pPr>
                    <w:pStyle w:val="8"/>
                    <w:kinsoku/>
                    <w:ind w:firstLine="420"/>
                    <w:rPr>
                      <w:rFonts w:hint="default" w:ascii="Times New Roman" w:hAnsi="Times New Roman" w:eastAsia="宋体" w:cs="Times New Roman"/>
                      <w:color w:val="auto"/>
                      <w:sz w:val="21"/>
                      <w:szCs w:val="21"/>
                      <w:lang w:eastAsia="zh-CN"/>
                    </w:rPr>
                  </w:pPr>
                </w:p>
              </w:tc>
            </w:tr>
          </w:tbl>
          <w:p w14:paraId="6FC2BB3C">
            <w:pPr>
              <w:pStyle w:val="8"/>
              <w:widowControl w:val="0"/>
              <w:kinsoku/>
              <w:spacing w:line="360"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综上所述，井场钻井期、试油期Q值均小于1，评价工作等级为简单分析。</w:t>
            </w:r>
          </w:p>
          <w:p w14:paraId="1C95F1B9">
            <w:pPr>
              <w:pStyle w:val="8"/>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7.2环境敏感目标概况</w:t>
            </w:r>
          </w:p>
          <w:p w14:paraId="3F6702AD">
            <w:pPr>
              <w:pStyle w:val="8"/>
              <w:widowControl w:val="0"/>
              <w:kinsoku/>
              <w:spacing w:line="360"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根据《建设项目环境风险评价技术导则》（HJ169-2018）的规定，项目开展简单分析，不设环境风险评价范围。</w:t>
            </w:r>
          </w:p>
          <w:p w14:paraId="6DDE70B9">
            <w:pPr>
              <w:pStyle w:val="8"/>
              <w:widowControl w:val="0"/>
              <w:kinsoku/>
              <w:spacing w:line="360" w:lineRule="auto"/>
              <w:ind w:firstLine="482"/>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经调查，项目所在区域干旱少雨，项目区周围3km范围内有村庄，无重要生物群落、无地表水体。本次拟部署的井场中，钻井周边均分布有农田，井场边界外扩1km范围内存在耕地，属于土壤环境敏感目标。</w:t>
            </w:r>
          </w:p>
          <w:p w14:paraId="09976D29">
            <w:pPr>
              <w:pStyle w:val="8"/>
              <w:widowControl w:val="0"/>
              <w:kinsoku/>
              <w:spacing w:line="360" w:lineRule="auto"/>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7.3环境风险识别</w:t>
            </w:r>
          </w:p>
          <w:p w14:paraId="11436C6E">
            <w:pPr>
              <w:pStyle w:val="8"/>
              <w:widowControl w:val="0"/>
              <w:kinsoku/>
              <w:spacing w:line="360" w:lineRule="auto"/>
              <w:ind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①危险物质识别</w:t>
            </w:r>
          </w:p>
          <w:p w14:paraId="62A363B8">
            <w:pPr>
              <w:pStyle w:val="8"/>
              <w:widowControl w:val="0"/>
              <w:kinsoku/>
              <w:spacing w:line="360" w:lineRule="auto"/>
              <w:ind w:firstLine="480"/>
              <w:jc w:val="both"/>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color w:val="auto"/>
                <w:spacing w:val="-2"/>
                <w:sz w:val="24"/>
                <w:szCs w:val="24"/>
                <w:lang w:eastAsia="zh-CN"/>
              </w:rPr>
              <w:t>施工期间涉及的环境危险物质主要为柴油、原油、伴生气（主要成分为天然气）</w:t>
            </w:r>
            <w:bookmarkStart w:id="20" w:name="OLE_LINK52"/>
            <w:r>
              <w:rPr>
                <w:rFonts w:hint="default" w:ascii="Times New Roman" w:hAnsi="Times New Roman" w:eastAsia="宋体" w:cs="Times New Roman"/>
                <w:color w:val="auto"/>
                <w:spacing w:val="-2"/>
                <w:sz w:val="24"/>
                <w:szCs w:val="24"/>
                <w:lang w:eastAsia="zh-CN"/>
              </w:rPr>
              <w:t>和伴生气中可能存在的少量硫化氢</w:t>
            </w:r>
            <w:bookmarkEnd w:id="20"/>
            <w:r>
              <w:rPr>
                <w:rFonts w:hint="default" w:ascii="Times New Roman" w:hAnsi="Times New Roman" w:eastAsia="宋体" w:cs="Times New Roman"/>
                <w:color w:val="auto"/>
                <w:spacing w:val="-2"/>
                <w:sz w:val="24"/>
                <w:szCs w:val="24"/>
                <w:lang w:eastAsia="zh-CN"/>
              </w:rPr>
              <w:t>等，其主要物化、毒理性质、危险等级划分及影响途径见表4-</w:t>
            </w:r>
            <w:r>
              <w:rPr>
                <w:rFonts w:hint="default" w:ascii="Times New Roman" w:hAnsi="Times New Roman" w:eastAsia="宋体" w:cs="Times New Roman"/>
                <w:color w:val="auto"/>
                <w:spacing w:val="-2"/>
                <w:sz w:val="24"/>
                <w:szCs w:val="24"/>
                <w:lang w:val="en-US" w:eastAsia="zh-CN"/>
              </w:rPr>
              <w:t>7</w:t>
            </w:r>
            <w:r>
              <w:rPr>
                <w:rFonts w:hint="default" w:ascii="Times New Roman" w:hAnsi="Times New Roman" w:eastAsia="宋体" w:cs="Times New Roman"/>
                <w:color w:val="auto"/>
                <w:spacing w:val="-2"/>
                <w:sz w:val="24"/>
                <w:szCs w:val="24"/>
                <w:lang w:eastAsia="zh-CN"/>
              </w:rPr>
              <w:t>。</w:t>
            </w:r>
          </w:p>
          <w:p w14:paraId="313566AE">
            <w:pPr>
              <w:pStyle w:val="8"/>
              <w:widowControl w:val="0"/>
              <w:kinsoku/>
              <w:jc w:val="center"/>
              <w:rPr>
                <w:rFonts w:hint="default" w:ascii="Times New Roman" w:hAnsi="Times New Roman" w:eastAsia="宋体" w:cs="Times New Roman"/>
                <w:b/>
                <w:bCs/>
                <w:color w:val="auto"/>
                <w:spacing w:val="5"/>
                <w:sz w:val="21"/>
                <w:szCs w:val="21"/>
                <w:lang w:eastAsia="zh-CN"/>
              </w:rPr>
            </w:pPr>
            <w:r>
              <w:rPr>
                <w:rFonts w:hint="default" w:ascii="Times New Roman" w:hAnsi="Times New Roman" w:eastAsia="宋体" w:cs="Times New Roman"/>
                <w:b/>
                <w:bCs/>
                <w:color w:val="auto"/>
                <w:spacing w:val="5"/>
                <w:sz w:val="21"/>
                <w:szCs w:val="21"/>
                <w:lang w:eastAsia="zh-CN"/>
              </w:rPr>
              <w:t>表4-</w:t>
            </w:r>
            <w:r>
              <w:rPr>
                <w:rFonts w:hint="default" w:ascii="Times New Roman" w:hAnsi="Times New Roman" w:eastAsia="宋体" w:cs="Times New Roman"/>
                <w:b/>
                <w:bCs/>
                <w:color w:val="auto"/>
                <w:spacing w:val="5"/>
                <w:sz w:val="21"/>
                <w:szCs w:val="21"/>
                <w:lang w:val="en-US" w:eastAsia="zh-CN"/>
              </w:rPr>
              <w:t>7</w:t>
            </w:r>
            <w:r>
              <w:rPr>
                <w:rFonts w:hint="default" w:ascii="Times New Roman" w:hAnsi="Times New Roman" w:eastAsia="宋体" w:cs="Times New Roman"/>
                <w:b/>
                <w:bCs/>
                <w:color w:val="auto"/>
                <w:spacing w:val="5"/>
                <w:sz w:val="21"/>
                <w:szCs w:val="21"/>
                <w:lang w:eastAsia="zh-CN"/>
              </w:rPr>
              <w:t xml:space="preserve"> </w:t>
            </w:r>
            <w:r>
              <w:rPr>
                <w:rFonts w:hint="default" w:ascii="Times New Roman" w:hAnsi="Times New Roman" w:eastAsia="宋体" w:cs="Times New Roman"/>
                <w:b/>
                <w:bCs/>
                <w:color w:val="auto"/>
                <w:spacing w:val="5"/>
                <w:sz w:val="21"/>
                <w:szCs w:val="21"/>
                <w:lang w:val="zh-CN" w:eastAsia="zh-CN"/>
              </w:rPr>
              <w:t>原油、柴油、伴生气和硫化氢理化性质及危险级别分类</w:t>
            </w:r>
            <w:r>
              <w:rPr>
                <w:rFonts w:hint="default" w:ascii="Times New Roman" w:hAnsi="Times New Roman" w:eastAsia="宋体" w:cs="Times New Roman"/>
                <w:b/>
                <w:bCs/>
                <w:color w:val="auto"/>
                <w:spacing w:val="5"/>
                <w:sz w:val="21"/>
                <w:szCs w:val="21"/>
                <w:lang w:eastAsia="zh-CN"/>
              </w:rPr>
              <w:t>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485"/>
              <w:gridCol w:w="869"/>
              <w:gridCol w:w="3095"/>
              <w:gridCol w:w="1744"/>
              <w:gridCol w:w="698"/>
              <w:gridCol w:w="724"/>
            </w:tblGrid>
            <w:tr w14:paraId="14150566">
              <w:trPr>
                <w:trHeight w:val="340" w:hRule="atLeast"/>
                <w:jc w:val="center"/>
              </w:trPr>
              <w:tc>
                <w:tcPr>
                  <w:tcW w:w="299" w:type="pct"/>
                  <w:tcBorders>
                    <w:top w:val="single" w:color="auto" w:sz="4" w:space="0"/>
                    <w:left w:val="single" w:color="auto" w:sz="0" w:space="0"/>
                  </w:tcBorders>
                  <w:vAlign w:val="center"/>
                </w:tcPr>
                <w:p w14:paraId="68B0FD12">
                  <w:pPr>
                    <w:widowControl w:val="0"/>
                    <w:kinsoku/>
                    <w:spacing w:line="28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299" w:type="pct"/>
                  <w:tcBorders>
                    <w:top w:val="single" w:color="auto" w:sz="4" w:space="0"/>
                  </w:tcBorders>
                  <w:vAlign w:val="center"/>
                </w:tcPr>
                <w:p w14:paraId="68E98FE7">
                  <w:pPr>
                    <w:widowControl w:val="0"/>
                    <w:kinsoku/>
                    <w:spacing w:line="28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536" w:type="pct"/>
                  <w:tcBorders>
                    <w:top w:val="single" w:color="auto" w:sz="4" w:space="0"/>
                  </w:tcBorders>
                  <w:vAlign w:val="center"/>
                </w:tcPr>
                <w:p w14:paraId="63426E20">
                  <w:pPr>
                    <w:widowControl w:val="0"/>
                    <w:kinsoku/>
                    <w:spacing w:line="28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组分</w:t>
                  </w:r>
                </w:p>
              </w:tc>
              <w:tc>
                <w:tcPr>
                  <w:tcW w:w="1910" w:type="pct"/>
                  <w:tcBorders>
                    <w:top w:val="single" w:color="auto" w:sz="4" w:space="0"/>
                  </w:tcBorders>
                  <w:vAlign w:val="center"/>
                </w:tcPr>
                <w:p w14:paraId="0687C055">
                  <w:pPr>
                    <w:widowControl w:val="0"/>
                    <w:kinsoku/>
                    <w:spacing w:line="28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危险性</w:t>
                  </w:r>
                </w:p>
              </w:tc>
              <w:tc>
                <w:tcPr>
                  <w:tcW w:w="1076" w:type="pct"/>
                  <w:tcBorders>
                    <w:top w:val="single" w:color="auto" w:sz="4" w:space="0"/>
                  </w:tcBorders>
                  <w:vAlign w:val="center"/>
                </w:tcPr>
                <w:p w14:paraId="20EA3647">
                  <w:pPr>
                    <w:widowControl w:val="0"/>
                    <w:kinsoku/>
                    <w:spacing w:line="28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燃烧爆炸特性参数</w:t>
                  </w:r>
                </w:p>
              </w:tc>
              <w:tc>
                <w:tcPr>
                  <w:tcW w:w="431" w:type="pct"/>
                  <w:tcBorders>
                    <w:top w:val="single" w:color="auto" w:sz="4" w:space="0"/>
                  </w:tcBorders>
                  <w:vAlign w:val="center"/>
                </w:tcPr>
                <w:p w14:paraId="5430FA83">
                  <w:pPr>
                    <w:widowControl w:val="0"/>
                    <w:kinsoku/>
                    <w:spacing w:line="28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危险级别</w:t>
                  </w:r>
                </w:p>
              </w:tc>
              <w:tc>
                <w:tcPr>
                  <w:tcW w:w="447" w:type="pct"/>
                  <w:tcBorders>
                    <w:top w:val="single" w:color="auto" w:sz="4" w:space="0"/>
                    <w:right w:val="single" w:color="auto" w:sz="4" w:space="0"/>
                  </w:tcBorders>
                  <w:vAlign w:val="center"/>
                </w:tcPr>
                <w:p w14:paraId="760760AF">
                  <w:pPr>
                    <w:widowControl w:val="0"/>
                    <w:kinsoku/>
                    <w:spacing w:line="28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影响途径</w:t>
                  </w:r>
                </w:p>
              </w:tc>
            </w:tr>
            <w:tr w14:paraId="549A667D">
              <w:trPr>
                <w:trHeight w:val="340" w:hRule="atLeast"/>
                <w:jc w:val="center"/>
              </w:trPr>
              <w:tc>
                <w:tcPr>
                  <w:tcW w:w="299" w:type="pct"/>
                  <w:tcBorders>
                    <w:left w:val="single" w:color="auto" w:sz="4" w:space="0"/>
                  </w:tcBorders>
                  <w:vAlign w:val="center"/>
                </w:tcPr>
                <w:p w14:paraId="057CDC38">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99" w:type="pct"/>
                  <w:vAlign w:val="center"/>
                </w:tcPr>
                <w:p w14:paraId="221912BB">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原油</w:t>
                  </w:r>
                </w:p>
              </w:tc>
              <w:tc>
                <w:tcPr>
                  <w:tcW w:w="536" w:type="pct"/>
                  <w:vAlign w:val="center"/>
                </w:tcPr>
                <w:p w14:paraId="36F0673A">
                  <w:pPr>
                    <w:widowControl w:val="0"/>
                    <w:kinsoku/>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各种烃类和非烃类化合物所组成的复杂混合物</w:t>
                  </w:r>
                </w:p>
              </w:tc>
              <w:tc>
                <w:tcPr>
                  <w:tcW w:w="1910" w:type="pct"/>
                  <w:vAlign w:val="center"/>
                </w:tcPr>
                <w:p w14:paraId="3FB4E700">
                  <w:pPr>
                    <w:widowControl w:val="0"/>
                    <w:kinsoku/>
                    <w:spacing w:line="28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原油本身无明显毒性。遇热分解出有毒烟雾，人体大量吸入可引起危害：有刺激和麻痹作用，急性中毒者有上呼吸道刺激症状。</w:t>
                  </w:r>
                </w:p>
              </w:tc>
              <w:tc>
                <w:tcPr>
                  <w:tcW w:w="1076" w:type="pct"/>
                  <w:vAlign w:val="center"/>
                </w:tcPr>
                <w:p w14:paraId="1A0EB70E">
                  <w:pPr>
                    <w:widowControl w:val="0"/>
                    <w:kinsoku/>
                    <w:spacing w:line="28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热值：41870KJ/kg；沸点：300～325℃；闪点：23.5℃；爆炸极限：1.1%～6.4%（v）；自燃点：380～530℃。</w:t>
                  </w:r>
                </w:p>
              </w:tc>
              <w:tc>
                <w:tcPr>
                  <w:tcW w:w="431" w:type="pct"/>
                  <w:vAlign w:val="center"/>
                </w:tcPr>
                <w:p w14:paraId="41915593">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高闪点液体</w:t>
                  </w:r>
                </w:p>
              </w:tc>
              <w:tc>
                <w:tcPr>
                  <w:tcW w:w="447" w:type="pct"/>
                  <w:tcBorders>
                    <w:right w:val="single" w:color="auto" w:sz="4" w:space="0"/>
                  </w:tcBorders>
                  <w:vAlign w:val="center"/>
                </w:tcPr>
                <w:p w14:paraId="7F8CB8CC">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大气、地下水、土壤</w:t>
                  </w:r>
                </w:p>
              </w:tc>
            </w:tr>
            <w:tr w14:paraId="266FC2F1">
              <w:trPr>
                <w:trHeight w:val="340" w:hRule="atLeast"/>
                <w:jc w:val="center"/>
              </w:trPr>
              <w:tc>
                <w:tcPr>
                  <w:tcW w:w="299" w:type="pct"/>
                  <w:tcBorders>
                    <w:left w:val="single" w:color="auto" w:sz="4" w:space="0"/>
                  </w:tcBorders>
                  <w:vAlign w:val="center"/>
                </w:tcPr>
                <w:p w14:paraId="425AB755">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299" w:type="pct"/>
                  <w:vAlign w:val="center"/>
                </w:tcPr>
                <w:p w14:paraId="2D37FD44">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伴生气</w:t>
                  </w:r>
                </w:p>
              </w:tc>
              <w:tc>
                <w:tcPr>
                  <w:tcW w:w="536" w:type="pct"/>
                  <w:vAlign w:val="center"/>
                </w:tcPr>
                <w:p w14:paraId="57FBD4D2">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主要成分包括甲烷、乙烷等</w:t>
                  </w:r>
                </w:p>
              </w:tc>
              <w:tc>
                <w:tcPr>
                  <w:tcW w:w="1910" w:type="pct"/>
                  <w:vAlign w:val="center"/>
                </w:tcPr>
                <w:p w14:paraId="73206230">
                  <w:pPr>
                    <w:widowControl w:val="0"/>
                    <w:kinsoku/>
                    <w:spacing w:line="28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伴生气主要成分为天然气。天然气中含有的甲烷，是一种无毒气体，当空气中大量弥漫这种气体时会使人因氧气不足而呼吸困难，进而失去知觉、昏迷甚至残废。</w:t>
                  </w:r>
                </w:p>
              </w:tc>
              <w:tc>
                <w:tcPr>
                  <w:tcW w:w="1076" w:type="pct"/>
                  <w:vAlign w:val="center"/>
                </w:tcPr>
                <w:p w14:paraId="3C63CCD7">
                  <w:pPr>
                    <w:widowControl w:val="0"/>
                    <w:kinsoku/>
                    <w:spacing w:line="28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热值：50009KJ/kg；爆炸极限：5%～14%（v）；自燃点：482～632℃。</w:t>
                  </w:r>
                </w:p>
              </w:tc>
              <w:tc>
                <w:tcPr>
                  <w:tcW w:w="431" w:type="pct"/>
                  <w:vAlign w:val="center"/>
                </w:tcPr>
                <w:p w14:paraId="5BB62241">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易燃气体</w:t>
                  </w:r>
                </w:p>
              </w:tc>
              <w:tc>
                <w:tcPr>
                  <w:tcW w:w="447" w:type="pct"/>
                  <w:tcBorders>
                    <w:right w:val="single" w:color="auto" w:sz="4" w:space="0"/>
                  </w:tcBorders>
                  <w:vAlign w:val="center"/>
                </w:tcPr>
                <w:p w14:paraId="754D02C2">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大气</w:t>
                  </w:r>
                </w:p>
              </w:tc>
            </w:tr>
            <w:tr w14:paraId="156E4910">
              <w:trPr>
                <w:trHeight w:val="340" w:hRule="atLeast"/>
                <w:jc w:val="center"/>
              </w:trPr>
              <w:tc>
                <w:tcPr>
                  <w:tcW w:w="299" w:type="pct"/>
                  <w:tcBorders>
                    <w:left w:val="single" w:color="auto" w:sz="4" w:space="0"/>
                  </w:tcBorders>
                  <w:vAlign w:val="center"/>
                </w:tcPr>
                <w:p w14:paraId="289651C6">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299" w:type="pct"/>
                  <w:vAlign w:val="center"/>
                </w:tcPr>
                <w:p w14:paraId="29CBD194">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柴油</w:t>
                  </w:r>
                </w:p>
              </w:tc>
              <w:tc>
                <w:tcPr>
                  <w:tcW w:w="536" w:type="pct"/>
                  <w:vAlign w:val="center"/>
                </w:tcPr>
                <w:p w14:paraId="0B33DA88">
                  <w:pPr>
                    <w:widowControl w:val="0"/>
                    <w:kinsoku/>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复杂烃类(碳原子数约10～22)混合物</w:t>
                  </w:r>
                </w:p>
              </w:tc>
              <w:tc>
                <w:tcPr>
                  <w:tcW w:w="1910" w:type="pct"/>
                  <w:vAlign w:val="center"/>
                </w:tcPr>
                <w:p w14:paraId="5F535CFC">
                  <w:pPr>
                    <w:widowControl w:val="0"/>
                    <w:kinsoku/>
                    <w:spacing w:line="28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柴油的毒性类似于煤油，但由于添加剂(如硫化酯类)的影响，毒性比煤油略大，主要有麻醉和刺激作用。柴油的雾滴吸入后可致吸入性肺炎，皮肤接触柴油可致接触性皮炎。</w:t>
                  </w:r>
                </w:p>
              </w:tc>
              <w:tc>
                <w:tcPr>
                  <w:tcW w:w="1076" w:type="pct"/>
                  <w:vAlign w:val="center"/>
                </w:tcPr>
                <w:p w14:paraId="1C2317A0">
                  <w:pPr>
                    <w:widowControl w:val="0"/>
                    <w:kinsoku/>
                    <w:spacing w:line="28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热值：3.3×10</w:t>
                  </w:r>
                  <w:r>
                    <w:rPr>
                      <w:rFonts w:hint="default" w:ascii="Times New Roman" w:hAnsi="Times New Roman" w:eastAsia="宋体" w:cs="Times New Roman"/>
                      <w:color w:val="auto"/>
                      <w:vertAlign w:val="superscript"/>
                      <w:lang w:eastAsia="zh-CN"/>
                    </w:rPr>
                    <w:t>4</w:t>
                  </w:r>
                  <w:r>
                    <w:rPr>
                      <w:rFonts w:hint="default" w:ascii="Times New Roman" w:hAnsi="Times New Roman" w:eastAsia="宋体" w:cs="Times New Roman"/>
                      <w:color w:val="auto"/>
                      <w:lang w:eastAsia="zh-CN"/>
                    </w:rPr>
                    <w:t>KJ/L；沸点范围：180～370℃和350～410℃；两类闪点：38℃。</w:t>
                  </w:r>
                </w:p>
              </w:tc>
              <w:tc>
                <w:tcPr>
                  <w:tcW w:w="431" w:type="pct"/>
                  <w:vAlign w:val="center"/>
                </w:tcPr>
                <w:p w14:paraId="094E1412">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高闪点液体</w:t>
                  </w:r>
                </w:p>
              </w:tc>
              <w:tc>
                <w:tcPr>
                  <w:tcW w:w="447" w:type="pct"/>
                  <w:tcBorders>
                    <w:right w:val="single" w:color="auto" w:sz="4" w:space="0"/>
                  </w:tcBorders>
                  <w:vAlign w:val="center"/>
                </w:tcPr>
                <w:p w14:paraId="136499D5">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大气、地下水、土壤</w:t>
                  </w:r>
                </w:p>
              </w:tc>
            </w:tr>
            <w:tr w14:paraId="11F7A82D">
              <w:trPr>
                <w:trHeight w:val="340" w:hRule="atLeast"/>
                <w:jc w:val="center"/>
              </w:trPr>
              <w:tc>
                <w:tcPr>
                  <w:tcW w:w="299" w:type="pct"/>
                  <w:tcBorders>
                    <w:left w:val="single" w:color="auto" w:sz="4" w:space="0"/>
                  </w:tcBorders>
                  <w:vAlign w:val="center"/>
                </w:tcPr>
                <w:p w14:paraId="42F5A5A2">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299" w:type="pct"/>
                  <w:vAlign w:val="center"/>
                </w:tcPr>
                <w:p w14:paraId="64E001E1">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硫化氢</w:t>
                  </w:r>
                </w:p>
              </w:tc>
              <w:tc>
                <w:tcPr>
                  <w:tcW w:w="536" w:type="pct"/>
                  <w:vAlign w:val="center"/>
                </w:tcPr>
                <w:p w14:paraId="00B50044">
                  <w:pPr>
                    <w:widowControl w:val="0"/>
                    <w:kinsoku/>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硫化氢气体</w:t>
                  </w:r>
                </w:p>
              </w:tc>
              <w:tc>
                <w:tcPr>
                  <w:tcW w:w="1910" w:type="pct"/>
                  <w:vAlign w:val="center"/>
                </w:tcPr>
                <w:p w14:paraId="3AD7D6EB">
                  <w:pPr>
                    <w:widowControl w:val="0"/>
                    <w:kinsoku/>
                    <w:spacing w:line="28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本品是强烈的神经毒物，对粘膜有强烈刺激作用。</w:t>
                  </w:r>
                </w:p>
                <w:p w14:paraId="055CC147">
                  <w:pPr>
                    <w:widowControl w:val="0"/>
                    <w:kinsoku/>
                    <w:spacing w:line="28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急性中毒：短期内吸入高浓度硫化氢后出现流泪、眼痛、眼内异物感、畏光、视物模糊、流涕、喉部灼热感、咳、胸闷、头痛、头晕、乏力、意识模糊等。部分患者可有心肌损害。重者可出现脑水肿、肺水肿。极高浓度(1000mg/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以上)时可在数秒钟内突然昏迷，呼吸和心跳骤停，发生闪电型死亡。高浓度接触眼结膜发生水肿和角膜溃疡。长期低浓度接触，引起神经衰弱综合征和植物神经功能紊乱。</w:t>
                  </w:r>
                </w:p>
              </w:tc>
              <w:tc>
                <w:tcPr>
                  <w:tcW w:w="1076" w:type="pct"/>
                  <w:vAlign w:val="center"/>
                </w:tcPr>
                <w:p w14:paraId="526F7FCF">
                  <w:pPr>
                    <w:widowControl w:val="0"/>
                    <w:kinsoku/>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易燃，与空气混合能形成爆炸性混合物，遇明火、高热能引起燃烧</w:t>
                  </w:r>
                  <w:r>
                    <w:rPr>
                      <w:rFonts w:hint="default" w:ascii="Times New Roman" w:hAnsi="Times New Roman" w:eastAsia="宋体" w:cs="Times New Roman"/>
                      <w:color w:val="auto"/>
                      <w:lang w:val="en-US" w:eastAsia="zh-CN"/>
                    </w:rPr>
                    <w:t>爆</w:t>
                  </w:r>
                  <w:r>
                    <w:rPr>
                      <w:rFonts w:hint="default" w:ascii="Times New Roman" w:hAnsi="Times New Roman" w:eastAsia="宋体" w:cs="Times New Roman"/>
                      <w:color w:val="auto"/>
                      <w:lang w:eastAsia="zh-CN"/>
                    </w:rPr>
                    <w:t>炸。与浓硝酸、发烟硝酸或其它强氧化剂剧烈反应，发生爆炸。气体比空气重，能在较低处扩散到相当远的地方，遇火源会着火回燃。</w:t>
                  </w:r>
                </w:p>
              </w:tc>
              <w:tc>
                <w:tcPr>
                  <w:tcW w:w="431" w:type="pct"/>
                  <w:vAlign w:val="center"/>
                </w:tcPr>
                <w:p w14:paraId="1A86F8D3">
                  <w:pPr>
                    <w:widowControl w:val="0"/>
                    <w:kinsoku/>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易燃，具强刺激性。</w:t>
                  </w:r>
                </w:p>
              </w:tc>
              <w:tc>
                <w:tcPr>
                  <w:tcW w:w="447" w:type="pct"/>
                  <w:tcBorders>
                    <w:right w:val="single" w:color="auto" w:sz="4" w:space="0"/>
                  </w:tcBorders>
                  <w:vAlign w:val="center"/>
                </w:tcPr>
                <w:p w14:paraId="47047B36">
                  <w:pPr>
                    <w:widowControl w:val="0"/>
                    <w:kinsoku/>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大气</w:t>
                  </w:r>
                </w:p>
              </w:tc>
            </w:tr>
          </w:tbl>
          <w:p w14:paraId="64FB8CDA">
            <w:pPr>
              <w:widowControl w:val="0"/>
              <w:kinsoku/>
              <w:spacing w:line="49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②生产设施风险识别</w:t>
            </w:r>
          </w:p>
          <w:p w14:paraId="2157847A">
            <w:pPr>
              <w:widowControl w:val="0"/>
              <w:kinsoku/>
              <w:spacing w:line="49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a.井喷事故风险</w:t>
            </w:r>
          </w:p>
          <w:p w14:paraId="35820AC5">
            <w:pPr>
              <w:widowControl w:val="0"/>
              <w:kinsoku/>
              <w:spacing w:line="49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bidi="ar"/>
              </w:rPr>
              <w:t>若井底压力小于地层压力，地层流体将进入井筒并推动钻井液外溢。此时，如果对地下油、气压力平衡控制不当，不能及时控制溢流，会造成油、气、水或其他混合物迅速喷到地面，即发生井喷。井喷会引发油气泄漏及火灾爆炸，对大气环境、地下水环境、土壤环境及生态环境造成危害，致使人员伤亡、财产损失。</w:t>
            </w:r>
          </w:p>
          <w:p w14:paraId="58E40839">
            <w:pPr>
              <w:widowControl w:val="0"/>
              <w:kinsoku/>
              <w:spacing w:line="49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b.储罐泄漏风险</w:t>
            </w:r>
          </w:p>
          <w:p w14:paraId="3F1C58AF">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钻试期井场设有柴油储罐、废水储罐和采出液储罐等，若储罐因质量、操作运行和管理等方面存在缺陷和失误，可能会发生泄漏，对周围地下水、土壤、大气等环境造成污染。</w:t>
            </w:r>
          </w:p>
          <w:p w14:paraId="3D831395">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c.井漏事故风险</w:t>
            </w:r>
          </w:p>
          <w:p w14:paraId="68930515">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钻井施工表层套管下入深度不够或固井质量不好可能引发井漏事故。</w:t>
            </w:r>
          </w:p>
          <w:p w14:paraId="6B36DB2E">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d.采出液、废水及柴油拉运过程中的环境风险</w:t>
            </w:r>
          </w:p>
          <w:p w14:paraId="32836AC6">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试油期废水及其他采出液由罐车拉运至</w:t>
            </w:r>
            <w:r>
              <w:rPr>
                <w:rFonts w:hint="eastAsia" w:ascii="Times New Roman" w:hAnsi="Times New Roman" w:eastAsia="宋体" w:cs="Times New Roman"/>
                <w:color w:val="auto"/>
                <w:sz w:val="24"/>
                <w:szCs w:val="24"/>
                <w:lang w:val="en-US" w:eastAsia="zh-CN"/>
              </w:rPr>
              <w:t>吉28脱水站</w:t>
            </w:r>
            <w:r>
              <w:rPr>
                <w:rFonts w:hint="default" w:ascii="Times New Roman" w:hAnsi="Times New Roman" w:eastAsia="宋体" w:cs="Times New Roman"/>
                <w:color w:val="auto"/>
                <w:sz w:val="24"/>
                <w:szCs w:val="24"/>
                <w:lang w:eastAsia="zh-CN"/>
              </w:rPr>
              <w:t>处理，运输过程中若因车辆本身的设计、制造、操作、管理等各环节存在缺陷，则可能发生泄漏事故的风险。事故发生时罐车内液体溢出，对周围环境造成直接污染，泄漏的油气如遇到明火还可能发生火灾、爆炸事故。</w:t>
            </w:r>
          </w:p>
          <w:p w14:paraId="150B9444">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e.危险废物运输过程的环境风险</w:t>
            </w:r>
          </w:p>
          <w:p w14:paraId="52CBC5BD">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‌泄漏污染‌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突发泄漏可导致土壤石油烃浓度超标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污染物通过雨水冲刷进入水体，威胁地下水安全</w:t>
            </w:r>
          </w:p>
          <w:p w14:paraId="33F6B9D2">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‌大气污染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‌挥发性有机物（如苯系物）在运输中逸散，扩散半径可达500米‌。</w:t>
            </w:r>
          </w:p>
          <w:p w14:paraId="45EEC024">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‌生态链破坏‌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多环芳烃（PAHs）通过生物富集进入食物链，长期影响区域生态系统。</w:t>
            </w:r>
          </w:p>
          <w:p w14:paraId="76A3F988">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③环境风险类型</w:t>
            </w:r>
          </w:p>
          <w:p w14:paraId="0BA8BAD0">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环境风险类型主要为泄漏、火灾、爆炸等引发的伴生/次生污染物排放。</w:t>
            </w:r>
          </w:p>
          <w:p w14:paraId="63138052">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④危险物质向环境转移的可能途径和影响方式</w:t>
            </w:r>
          </w:p>
          <w:p w14:paraId="7E2EC3EB">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柴油储罐、采出液储罐、废水储罐、废油桶等发生破损造成柴油/采出液/废水/废油泄漏以及井喷事故造成采出液泄漏，柴油/采出液/废水/废油泄漏后污染土壤，污染物有可能通过包气带渗漏进入地下含水层，污染地下水；泄漏的柴油/采出液/废油若遇明火，发生火灾、爆炸，污染大气环境。</w:t>
            </w:r>
          </w:p>
          <w:p w14:paraId="631F116B">
            <w:pPr>
              <w:widowControl w:val="0"/>
              <w:kinsoku/>
              <w:spacing w:line="48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7.4环境风险分析</w:t>
            </w:r>
          </w:p>
          <w:p w14:paraId="39EC2A3C">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①井喷事故环境影响分析</w:t>
            </w:r>
          </w:p>
          <w:p w14:paraId="341D1D02">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lang w:eastAsia="zh-CN"/>
              </w:rPr>
              <w:t>a.井场主要发生的风险事故为钻井时发生井喷事故。</w:t>
            </w:r>
            <w:r>
              <w:rPr>
                <w:rFonts w:hint="default" w:ascii="Times New Roman" w:hAnsi="Times New Roman" w:eastAsia="宋体" w:cs="Times New Roman"/>
                <w:bCs/>
                <w:color w:val="auto"/>
                <w:sz w:val="24"/>
                <w:szCs w:val="24"/>
                <w:lang w:eastAsia="zh-CN"/>
              </w:rPr>
              <w:t>井场左右两侧各设置1条放喷管线。钻井过程中钻遇油气层，少量的油气排出，在井口液气分离器分离后，伴生气随着排气管线充分燃烧后放空。</w:t>
            </w:r>
          </w:p>
          <w:p w14:paraId="5BEEAE11">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lang w:eastAsia="zh-CN"/>
              </w:rPr>
              <w:t>一旦发生井喷突发事件，立即启动应急预案。</w:t>
            </w:r>
            <w:r>
              <w:rPr>
                <w:rFonts w:hint="default" w:ascii="Times New Roman" w:hAnsi="Times New Roman" w:eastAsia="宋体" w:cs="Times New Roman"/>
                <w:color w:val="auto"/>
                <w:sz w:val="24"/>
                <w:szCs w:val="24"/>
                <w:lang w:eastAsia="zh-CN"/>
              </w:rPr>
              <w:t xml:space="preserve">待事故结束后，对放喷液进行集中收集处理，将泄漏的采出液最大限度地回收，对少量确实无法回收的油以及受污染的土壤形成的落地油，采用铲除油泥层等有效方法，落地油泥用专用罐收集，最终交由有危险废物处置资质的单位处置，以降低残油对生态环境的污染程度。 </w:t>
            </w:r>
          </w:p>
          <w:p w14:paraId="6E98A1EE">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lang w:eastAsia="zh-CN"/>
              </w:rPr>
              <w:t>井喷事故不可控的情况，可能导致大量的油气喷出井口、散落于井场周围，</w:t>
            </w:r>
            <w:r>
              <w:rPr>
                <w:rFonts w:hint="default" w:ascii="Times New Roman" w:hAnsi="Times New Roman" w:eastAsia="宋体" w:cs="Times New Roman"/>
                <w:bCs/>
                <w:color w:val="auto"/>
                <w:sz w:val="24"/>
                <w:szCs w:val="24"/>
                <w:lang w:eastAsia="zh-CN"/>
              </w:rPr>
              <w:t>据类比资料显示，井喷范围内土壤表层可见有蜡状的原油喷散物，井喷的影响范围一般为以井眼为圆心、半径200m的区域，由于项目区人口稀少，所以井喷对人员的伤害有限，对土壤环境、大气环境和地下水可能产生影响。</w:t>
            </w:r>
          </w:p>
          <w:p w14:paraId="70892CE8">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b.对大气环境影响分析</w:t>
            </w:r>
          </w:p>
          <w:p w14:paraId="598CAD73">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lang w:eastAsia="zh-CN"/>
              </w:rPr>
              <w:t>发生井喷失控事故后，伴生气、伴生气中硫化氢和原油挥发产生的非甲烷总烃进入环境空气，可能会对周围环境空气产生影响。若遇明火可能发生火灾、爆炸，随之产生的伴生、次生污染物会对环境空气产生一定的影响，</w:t>
            </w:r>
            <w:r>
              <w:rPr>
                <w:rFonts w:hint="default" w:ascii="Times New Roman" w:hAnsi="Times New Roman" w:eastAsia="宋体" w:cs="Times New Roman"/>
                <w:color w:val="auto"/>
                <w:sz w:val="24"/>
                <w:szCs w:val="24"/>
                <w:lang w:eastAsia="zh-CN"/>
              </w:rPr>
              <w:t>并对环境和施工人员产生一定危害，主要危害包括：遇明火可能发生火灾或爆炸事故，造成人员伤亡；烃类气体以及火灾或爆炸事故次生污染物CO对人体的毒性危害，对周围的大气环境及施工人员造成影响。伴生气中的甲烷和硫化氢进入大气后，可能会造成中毒事件。</w:t>
            </w:r>
          </w:p>
          <w:p w14:paraId="04E707A5">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由于地域空旷，扩散条件较好，发生事故后，及时采取相应的措施，不会对周围环境空气产生明显影响。</w:t>
            </w:r>
          </w:p>
          <w:p w14:paraId="2E1D09E0">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c.对地下水环境影响分析</w:t>
            </w:r>
          </w:p>
          <w:p w14:paraId="2B10B469">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根据类比调查，从事故井区土壤剖面分析，井喷失控事故后石油类污染物主要被拦截在包气带土壤剖面1m以内，同时因为气候干旱少雨，不存在大量降水的淋滤作用，因此对地下水体的影响概率不大。及时清理井喷事故中落地原油，对可回收原油进行回收，落地油收集后交由具有相应危废处置资质的单位进行回收处置，及时采取上述有效措施治理污染后，井喷不会造成地下水污染。</w:t>
            </w:r>
          </w:p>
          <w:p w14:paraId="3AE5F869">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d.对土壤环境影响分析</w:t>
            </w:r>
          </w:p>
          <w:p w14:paraId="2377ACF0">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井喷失控事故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可回收采出液进行回收，不能回收的原油和受污染的土壤形成落地油，落地油集中收集后由有相应危废处置资质的单位进行回收处置，将井喷事故对周边植被的影响降至最低。</w:t>
            </w:r>
          </w:p>
          <w:p w14:paraId="41323008">
            <w:pPr>
              <w:widowControl w:val="0"/>
              <w:kinsoku/>
              <w:spacing w:line="480" w:lineRule="exact"/>
              <w:ind w:firstLine="480"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e.对植被影响分析</w:t>
            </w:r>
          </w:p>
          <w:p w14:paraId="3D696944">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井喷事故发生后，喷出的油类物质可能对周围自然植被产生一定的影响，井场周围半径200m范围内自然植被将全部由于石油类污染而使其呼吸受阻，不能进行正常光合作用而死亡；原油进入土壤后与土壤结合，渗入土壤孔隙，使土壤透气性和呼吸作用减弱，改变了土壤质地和结构，影响到土壤的生物功能，进而造成生长其上的植物和土壤动物的死亡，这种影响会导致污染地段多年无法生长植物或长势减弱，甚至使这一区域变为裸地。由于这一影响使土壤结构受石油类污染而发生变化，因此，被污染区域的植被不易恢复。若井喷时发生火灾，结果将使燃烧范围内的植被全部死亡。必须采取严格有效的风险防范措施，防止、降低井喷事故风险发生。事故发生后应及时清理现场，及时清理沾染油污的植被，对落地油进行回收，受污染的土壤集中收集后由有相应危废处置资质的单位进行回收处置，将井喷事故对周边植被的影响降至最低。</w:t>
            </w:r>
          </w:p>
          <w:p w14:paraId="0FF81EB0">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②储罐泄漏环境影响分析</w:t>
            </w:r>
          </w:p>
          <w:p w14:paraId="3CBDF644">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a.对大气环境影响分析</w:t>
            </w:r>
          </w:p>
          <w:p w14:paraId="5E9D6E9C">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储罐发生泄漏后，伴生气、伴生气中硫化氢和原油挥发产生的非甲烷总烃进入环境空气可能会对周围环境空气产生影响。若遇明火，可发生火灾、爆炸，且火灾、爆炸产生的伴生、次生污染物也会对环境空气产生一定影响。由于泄漏量少，加上项目区地域空旷、扩散条件较好，发生事故后若能及时采取相应措施，则不会对周围环境空气产生明显影响。</w:t>
            </w:r>
          </w:p>
          <w:p w14:paraId="58A943B1">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b.对土壤环境影响分析</w:t>
            </w:r>
          </w:p>
          <w:p w14:paraId="7096C227">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62A33EBD">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期间柴油储罐、采出液储罐、废水储罐、岩屑储罐等储罐区域均铺设防渗膜，储罐发生泄漏后应及时回收原油、收集受污染的土壤，然后委托有相应危废处置资质的单位进行回收处置。因此，在采取上述措施后不会对周围土壤环境产生明显影响。</w:t>
            </w:r>
          </w:p>
          <w:p w14:paraId="2BAABA25">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c.对植被的影响</w:t>
            </w:r>
          </w:p>
          <w:p w14:paraId="4FB3DCFB">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14:paraId="42316439">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d.对地下水环境的影响</w:t>
            </w:r>
          </w:p>
          <w:p w14:paraId="7BDEACC7">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柴油储罐、采出液储罐和废水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289758D6">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③井漏环境影响分析</w:t>
            </w:r>
          </w:p>
          <w:p w14:paraId="5137DE09">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井漏事故对地下水的污染途径主要是钻井液漏失于地下水含水层中，造成地下含水层水质污染。钻井液漏失于地下含水层其径流型污染的范围不大，主要发生在局部且持续时间较短；使用清洁无害的钻井液，严格控制使用有毒有害钻井液；同时严格要求套管下入深度、确保固井质量等措施，可有效控制钻井液在含水层中的漏失。因此，井漏事故对地下水环境的影响在可接受范围内。</w:t>
            </w:r>
          </w:p>
          <w:p w14:paraId="674DE65E">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④采出液、废水及柴油拉运过程中泄漏风险分析</w:t>
            </w:r>
          </w:p>
          <w:p w14:paraId="328BA1F4">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罐车拉运过程中的风险主要为罐车上的储罐发生泄漏、火灾、爆炸等事故对周围环境的影响，其影响与储罐泄漏影响相同，具体影响见储罐泄漏影响分析。</w:t>
            </w:r>
          </w:p>
          <w:p w14:paraId="31D0E682">
            <w:pPr>
              <w:widowControl w:val="0"/>
              <w:kinsoku/>
              <w:spacing w:line="480" w:lineRule="exact"/>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7.5环境风险评价结论</w:t>
            </w:r>
          </w:p>
          <w:p w14:paraId="3627CD0A">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本项目设计中严格执行各种安全标准、规范，采取完善的安全措施，可有效地防止火灾、爆炸、泄漏、井喷等事故的发生。本项目的环境风险在可接受范围之内。</w:t>
            </w:r>
          </w:p>
          <w:p w14:paraId="2FF1BADF">
            <w:pPr>
              <w:widowControl w:val="0"/>
              <w:kinsoku/>
              <w:spacing w:line="48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8.其它产出物影响分析</w:t>
            </w:r>
          </w:p>
          <w:p w14:paraId="679AC65D">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进入地面储罐，拉运至</w:t>
            </w:r>
            <w:r>
              <w:rPr>
                <w:rFonts w:hint="eastAsia" w:ascii="Times New Roman" w:hAnsi="Times New Roman" w:eastAsia="宋体" w:cs="Times New Roman"/>
                <w:color w:val="auto"/>
                <w:sz w:val="24"/>
                <w:szCs w:val="24"/>
                <w:lang w:val="en-US" w:eastAsia="zh-CN"/>
              </w:rPr>
              <w:t>吉28</w:t>
            </w:r>
            <w:r>
              <w:rPr>
                <w:rFonts w:hint="default" w:ascii="Times New Roman" w:hAnsi="Times New Roman" w:eastAsia="宋体" w:cs="Times New Roman"/>
                <w:color w:val="auto"/>
                <w:sz w:val="24"/>
                <w:szCs w:val="24"/>
                <w:lang w:eastAsia="zh-CN"/>
              </w:rPr>
              <w:t>脱水站原油处理系统处理。</w:t>
            </w:r>
          </w:p>
          <w:p w14:paraId="37B8D752">
            <w:pPr>
              <w:widowControl w:val="0"/>
              <w:numPr>
                <w:ilvl w:val="0"/>
                <w:numId w:val="8"/>
              </w:numPr>
              <w:kinsoku/>
              <w:spacing w:line="48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封井期环境影响分析及其治理措施</w:t>
            </w:r>
          </w:p>
          <w:p w14:paraId="505D5F70">
            <w:pPr>
              <w:pStyle w:val="23"/>
              <w:widowControl w:val="0"/>
              <w:kinsoku/>
              <w:spacing w:line="360" w:lineRule="auto"/>
              <w:ind w:left="113" w:right="108" w:firstLine="482"/>
              <w:jc w:val="both"/>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color w:val="auto"/>
                <w:spacing w:val="1"/>
                <w:sz w:val="24"/>
                <w:szCs w:val="24"/>
                <w:highlight w:val="none"/>
                <w:lang w:eastAsia="zh-CN"/>
              </w:rPr>
              <w:t>本项目单井钻井期90天；试油期为</w:t>
            </w:r>
            <w:r>
              <w:rPr>
                <w:rFonts w:hint="eastAsia" w:ascii="Times New Roman" w:hAnsi="Times New Roman" w:cs="Times New Roman"/>
                <w:color w:val="auto"/>
                <w:spacing w:val="1"/>
                <w:sz w:val="24"/>
                <w:szCs w:val="24"/>
                <w:highlight w:val="none"/>
                <w:lang w:val="en-US" w:eastAsia="zh-CN"/>
              </w:rPr>
              <w:t>180</w:t>
            </w:r>
            <w:r>
              <w:rPr>
                <w:rFonts w:hint="default" w:ascii="Times New Roman" w:hAnsi="Times New Roman" w:eastAsia="宋体" w:cs="Times New Roman"/>
                <w:color w:val="auto"/>
                <w:spacing w:val="1"/>
                <w:sz w:val="24"/>
                <w:szCs w:val="24"/>
                <w:highlight w:val="none"/>
                <w:lang w:eastAsia="zh-CN"/>
              </w:rPr>
              <w:t>天，测试完井后及时封井。</w:t>
            </w:r>
          </w:p>
          <w:p w14:paraId="58E4D3A8">
            <w:pPr>
              <w:pStyle w:val="23"/>
              <w:widowControl w:val="0"/>
              <w:kinsoku/>
              <w:spacing w:line="360" w:lineRule="auto"/>
              <w:ind w:left="113" w:right="108" w:firstLine="482"/>
              <w:jc w:val="both"/>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lang w:val="en-US" w:eastAsia="zh-CN"/>
              </w:rPr>
              <w:t>1</w:t>
            </w:r>
            <w:r>
              <w:rPr>
                <w:rFonts w:hint="default" w:ascii="Times New Roman" w:hAnsi="Times New Roman" w:eastAsia="宋体" w:cs="Times New Roman"/>
                <w:color w:val="auto"/>
                <w:spacing w:val="1"/>
                <w:sz w:val="24"/>
                <w:szCs w:val="24"/>
                <w:highlight w:val="none"/>
                <w:lang w:eastAsia="zh-CN"/>
              </w:rPr>
              <w:t>）临时封井措施 对具有开采价值的井口采取临时封井，保留采油树，相关法兰管口全部密封。井口区域下挖约长1m×宽1m×高1.2m的采油树池，四壁及底部进行砖混加固，树池四周地表建设围挡并张贴相关标识；封井后除井口相关设施占地区域外，其余临时占地全部进行覆土回填及植被恢复。封井后移交公司统一管理，并安排专职人员对勘探</w:t>
            </w:r>
            <w:r>
              <w:rPr>
                <w:rFonts w:hint="eastAsia" w:ascii="Times New Roman" w:hAnsi="Times New Roman" w:cs="Times New Roman"/>
                <w:color w:val="auto"/>
                <w:spacing w:val="1"/>
                <w:sz w:val="24"/>
                <w:szCs w:val="24"/>
                <w:highlight w:val="none"/>
                <w:lang w:val="en-US" w:eastAsia="zh-CN"/>
              </w:rPr>
              <w:t>评</w:t>
            </w:r>
            <w:r>
              <w:rPr>
                <w:rFonts w:hint="default" w:ascii="Times New Roman" w:hAnsi="Times New Roman" w:eastAsia="宋体" w:cs="Times New Roman"/>
                <w:color w:val="auto"/>
                <w:spacing w:val="1"/>
                <w:sz w:val="24"/>
                <w:szCs w:val="24"/>
                <w:highlight w:val="none"/>
                <w:lang w:eastAsia="zh-CN"/>
              </w:rPr>
              <w:t>井进行定期巡视。</w:t>
            </w:r>
          </w:p>
          <w:p w14:paraId="449A698F">
            <w:pPr>
              <w:pStyle w:val="23"/>
              <w:widowControl w:val="0"/>
              <w:kinsoku/>
              <w:spacing w:line="360" w:lineRule="auto"/>
              <w:ind w:left="113" w:right="108" w:firstLine="482"/>
              <w:jc w:val="both"/>
              <w:rPr>
                <w:rFonts w:hint="default" w:ascii="Times New Roman" w:hAnsi="Times New Roman" w:eastAsia="宋体" w:cs="Times New Roman"/>
                <w:color w:val="auto"/>
              </w:rPr>
            </w:pP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lang w:eastAsia="zh-CN"/>
              </w:rPr>
              <w:t>）永久封井措施 对不具备开采价值的井口进行永久封井，严格按照《吐哈油田报废井封井实施细则（试行）》执行。鉴于项目周边涉及农田，须按照敏感级报废油水井标准进行封井处理，具体措施如下： ① 挤封已射孔井段：对射孔井段进行挤封，挤封后余留水泥塞面不得低于射孔井段顶界50m； ② 打水泥塞（表套管脚）：在表层套管管脚位置注水泥塞进行封堵，水泥塞厚度为100m； ③ 打水泥塞（井口段）：在井口段附近（井深6m-15m）以下，注不小于50m厚的水泥塞进行封堵； ④ 封堵套管环空：卸去套管法兰处放压堵头，注入水泥浆封堵套管环空； ⑤ 封堵井口及地面建设：用水泥封堵井口，并在地面打混凝土墩，尺寸宜为长1m×宽1m×高0.8m；混凝土墩上表面标注井号（字体深度大于15mm，长宽60mm×40mm）。 永久封井作业完成后，对井场进行覆土及植被恢复。</w:t>
            </w:r>
          </w:p>
          <w:p w14:paraId="4C26D140">
            <w:pPr>
              <w:pStyle w:val="23"/>
              <w:widowControl w:val="0"/>
              <w:kinsoku/>
              <w:spacing w:line="360" w:lineRule="auto"/>
              <w:ind w:left="113" w:right="108" w:firstLine="482"/>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
                <w:sz w:val="24"/>
                <w:szCs w:val="24"/>
                <w:highlight w:val="none"/>
                <w:lang w:eastAsia="zh-CN"/>
              </w:rPr>
              <w:t>封井后，其余设施将拆除、搬迁。钻井液材料将全部进行回</w:t>
            </w:r>
            <w:r>
              <w:rPr>
                <w:rFonts w:hint="default" w:ascii="Times New Roman" w:hAnsi="Times New Roman" w:eastAsia="宋体" w:cs="Times New Roman"/>
                <w:color w:val="auto"/>
                <w:sz w:val="24"/>
                <w:szCs w:val="24"/>
                <w:highlight w:val="none"/>
                <w:lang w:eastAsia="zh-CN"/>
              </w:rPr>
              <w:t>收。当气井</w:t>
            </w:r>
            <w:r>
              <w:rPr>
                <w:rFonts w:hint="default" w:ascii="Times New Roman" w:hAnsi="Times New Roman" w:eastAsia="宋体" w:cs="Times New Roman"/>
                <w:color w:val="auto"/>
                <w:spacing w:val="1"/>
                <w:sz w:val="24"/>
                <w:szCs w:val="24"/>
                <w:highlight w:val="none"/>
                <w:lang w:eastAsia="zh-CN"/>
              </w:rPr>
              <w:t>勘探接近尾声时，各种机械设备将停止使用，进驻其中的工</w:t>
            </w:r>
            <w:r>
              <w:rPr>
                <w:rFonts w:hint="default" w:ascii="Times New Roman" w:hAnsi="Times New Roman" w:eastAsia="宋体" w:cs="Times New Roman"/>
                <w:color w:val="auto"/>
                <w:sz w:val="24"/>
                <w:szCs w:val="24"/>
                <w:highlight w:val="none"/>
                <w:lang w:eastAsia="zh-CN"/>
              </w:rPr>
              <w:t>作人员将陆续撤</w:t>
            </w:r>
            <w:r>
              <w:rPr>
                <w:rFonts w:hint="default" w:ascii="Times New Roman" w:hAnsi="Times New Roman" w:eastAsia="宋体" w:cs="Times New Roman"/>
                <w:color w:val="auto"/>
                <w:spacing w:val="1"/>
                <w:sz w:val="24"/>
                <w:szCs w:val="24"/>
                <w:highlight w:val="none"/>
                <w:lang w:eastAsia="zh-CN"/>
              </w:rPr>
              <w:t>离井场区域，由此带来的大气污染物、生产废水、生活污水</w:t>
            </w:r>
            <w:r>
              <w:rPr>
                <w:rFonts w:hint="default" w:ascii="Times New Roman" w:hAnsi="Times New Roman" w:eastAsia="宋体" w:cs="Times New Roman"/>
                <w:color w:val="auto"/>
                <w:sz w:val="24"/>
                <w:szCs w:val="24"/>
                <w:highlight w:val="none"/>
                <w:lang w:eastAsia="zh-CN"/>
              </w:rPr>
              <w:t>、噪声及固体废</w:t>
            </w:r>
            <w:r>
              <w:rPr>
                <w:rFonts w:hint="default" w:ascii="Times New Roman" w:hAnsi="Times New Roman" w:eastAsia="宋体" w:cs="Times New Roman"/>
                <w:color w:val="auto"/>
                <w:spacing w:val="-1"/>
                <w:sz w:val="24"/>
                <w:szCs w:val="24"/>
                <w:highlight w:val="none"/>
                <w:lang w:eastAsia="zh-CN"/>
              </w:rPr>
              <w:t>物等对环境的影响将会消失。</w:t>
            </w:r>
          </w:p>
          <w:p w14:paraId="08365780">
            <w:pPr>
              <w:pStyle w:val="23"/>
              <w:widowControl w:val="0"/>
              <w:kinsoku/>
              <w:spacing w:line="360" w:lineRule="auto"/>
              <w:ind w:left="108" w:right="45" w:firstLine="482"/>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
                <w:sz w:val="24"/>
                <w:szCs w:val="24"/>
                <w:highlight w:val="none"/>
                <w:lang w:eastAsia="zh-CN"/>
              </w:rPr>
              <w:t>封井期井</w:t>
            </w:r>
            <w:r>
              <w:rPr>
                <w:rFonts w:hint="default" w:ascii="Times New Roman" w:hAnsi="Times New Roman" w:eastAsia="宋体" w:cs="Times New Roman"/>
                <w:color w:val="auto"/>
                <w:sz w:val="24"/>
                <w:szCs w:val="24"/>
                <w:highlight w:val="none"/>
                <w:lang w:eastAsia="zh-CN"/>
              </w:rPr>
              <w:t>场进行一</w:t>
            </w:r>
            <w:r>
              <w:rPr>
                <w:rFonts w:hint="default" w:ascii="Times New Roman" w:hAnsi="Times New Roman" w:eastAsia="宋体" w:cs="Times New Roman"/>
                <w:color w:val="auto"/>
                <w:spacing w:val="-4"/>
                <w:sz w:val="24"/>
                <w:szCs w:val="24"/>
                <w:highlight w:val="none"/>
                <w:lang w:eastAsia="zh-CN"/>
              </w:rPr>
              <w:t>系列清理工作，包括地面设施拆除、水泥灌注封</w:t>
            </w:r>
            <w:r>
              <w:rPr>
                <w:rFonts w:hint="default" w:ascii="Times New Roman" w:hAnsi="Times New Roman" w:eastAsia="宋体" w:cs="Times New Roman"/>
                <w:color w:val="auto"/>
                <w:spacing w:val="-5"/>
                <w:sz w:val="24"/>
                <w:szCs w:val="24"/>
                <w:highlight w:val="none"/>
                <w:lang w:eastAsia="zh-CN"/>
              </w:rPr>
              <w:t>井、井场清理等。在这期间，</w:t>
            </w:r>
            <w:r>
              <w:rPr>
                <w:rFonts w:hint="default" w:ascii="Times New Roman" w:hAnsi="Times New Roman" w:eastAsia="宋体" w:cs="Times New Roman"/>
                <w:color w:val="auto"/>
                <w:spacing w:val="1"/>
                <w:sz w:val="24"/>
                <w:szCs w:val="24"/>
                <w:highlight w:val="none"/>
                <w:lang w:eastAsia="zh-CN"/>
              </w:rPr>
              <w:t>将会产生少量扬尘和固体废物，本项目办公用房、材料房区、录井</w:t>
            </w:r>
            <w:r>
              <w:rPr>
                <w:rFonts w:hint="default" w:ascii="Times New Roman" w:hAnsi="Times New Roman" w:eastAsia="宋体" w:cs="Times New Roman"/>
                <w:color w:val="auto"/>
                <w:sz w:val="24"/>
                <w:szCs w:val="24"/>
                <w:highlight w:val="none"/>
                <w:lang w:eastAsia="zh-CN"/>
              </w:rPr>
              <w:t>房主要为</w:t>
            </w:r>
            <w:r>
              <w:rPr>
                <w:rFonts w:hint="default" w:ascii="Times New Roman" w:hAnsi="Times New Roman" w:eastAsia="宋体" w:cs="Times New Roman"/>
                <w:color w:val="auto"/>
                <w:spacing w:val="1"/>
                <w:sz w:val="24"/>
                <w:szCs w:val="24"/>
                <w:highlight w:val="none"/>
                <w:lang w:eastAsia="zh-CN"/>
              </w:rPr>
              <w:t>集装箱房，各类罐区、泥浆岩屑不落地处理区均为成套设施，根据建设单位提供的资料，本项目建筑垃圾产生量最大为200m</w:t>
            </w:r>
            <w:r>
              <w:rPr>
                <w:rFonts w:hint="default" w:ascii="Times New Roman" w:hAnsi="Times New Roman" w:eastAsia="宋体" w:cs="Times New Roman"/>
                <w:color w:val="auto"/>
                <w:spacing w:val="1"/>
                <w:sz w:val="24"/>
                <w:szCs w:val="24"/>
                <w:highlight w:val="none"/>
                <w:vertAlign w:val="superscript"/>
                <w:lang w:eastAsia="zh-CN"/>
              </w:rPr>
              <w:t>3</w:t>
            </w:r>
            <w:r>
              <w:rPr>
                <w:rFonts w:hint="default" w:ascii="Times New Roman" w:hAnsi="Times New Roman" w:eastAsia="宋体" w:cs="Times New Roman"/>
                <w:color w:val="auto"/>
                <w:spacing w:val="-1"/>
                <w:sz w:val="24"/>
                <w:szCs w:val="24"/>
                <w:highlight w:val="none"/>
                <w:lang w:eastAsia="zh-CN"/>
              </w:rPr>
              <w:t>。</w:t>
            </w:r>
          </w:p>
          <w:p w14:paraId="27C77569">
            <w:pPr>
              <w:widowControl w:val="0"/>
              <w:kinsoku/>
              <w:spacing w:line="360" w:lineRule="auto"/>
              <w:ind w:firstLine="484" w:firstLineChars="20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pacing w:val="1"/>
                <w:sz w:val="24"/>
                <w:szCs w:val="24"/>
                <w:lang w:eastAsia="zh-CN"/>
              </w:rPr>
              <w:t>在这期间，将会产生少量扬尘和固体废物。在封井施工操作</w:t>
            </w:r>
            <w:r>
              <w:rPr>
                <w:rFonts w:hint="default" w:ascii="Times New Roman" w:hAnsi="Times New Roman" w:eastAsia="宋体" w:cs="Times New Roman"/>
                <w:color w:val="auto"/>
                <w:sz w:val="24"/>
                <w:szCs w:val="24"/>
                <w:lang w:eastAsia="zh-CN"/>
              </w:rPr>
              <w:t>中应注意采</w:t>
            </w:r>
            <w:r>
              <w:rPr>
                <w:rFonts w:hint="default" w:ascii="Times New Roman" w:hAnsi="Times New Roman" w:eastAsia="宋体" w:cs="Times New Roman"/>
                <w:color w:val="auto"/>
                <w:spacing w:val="1"/>
                <w:sz w:val="24"/>
                <w:szCs w:val="24"/>
                <w:lang w:eastAsia="zh-CN"/>
              </w:rPr>
              <w:t>取降尘措施，文明施工，防止散装物料的洒落与飘散，同时</w:t>
            </w:r>
            <w:r>
              <w:rPr>
                <w:rFonts w:hint="default" w:ascii="Times New Roman" w:hAnsi="Times New Roman" w:eastAsia="宋体" w:cs="Times New Roman"/>
                <w:color w:val="auto"/>
                <w:sz w:val="24"/>
                <w:szCs w:val="24"/>
                <w:lang w:eastAsia="zh-CN"/>
              </w:rPr>
              <w:t>在清理井场时控</w:t>
            </w:r>
            <w:r>
              <w:rPr>
                <w:rFonts w:hint="default" w:ascii="Times New Roman" w:hAnsi="Times New Roman" w:eastAsia="宋体" w:cs="Times New Roman"/>
                <w:color w:val="auto"/>
                <w:spacing w:val="1"/>
                <w:sz w:val="24"/>
                <w:szCs w:val="24"/>
                <w:lang w:eastAsia="zh-CN"/>
              </w:rPr>
              <w:t>制扬尘的产生，尽可能降低对周边大气环境的影响。另外，</w:t>
            </w:r>
            <w:r>
              <w:rPr>
                <w:rFonts w:hint="default" w:ascii="Times New Roman" w:hAnsi="Times New Roman" w:eastAsia="宋体" w:cs="Times New Roman"/>
                <w:color w:val="auto"/>
                <w:sz w:val="24"/>
                <w:szCs w:val="24"/>
                <w:lang w:eastAsia="zh-CN"/>
              </w:rPr>
              <w:t>井场清理等工作</w:t>
            </w:r>
            <w:r>
              <w:rPr>
                <w:rFonts w:hint="default" w:ascii="Times New Roman" w:hAnsi="Times New Roman" w:eastAsia="宋体" w:cs="Times New Roman"/>
                <w:color w:val="auto"/>
                <w:spacing w:val="1"/>
                <w:sz w:val="24"/>
                <w:szCs w:val="24"/>
                <w:lang w:eastAsia="zh-CN"/>
              </w:rPr>
              <w:t>还会产生部分废弃管线、废弃建筑残渣等固体废物，对这些</w:t>
            </w:r>
            <w:r>
              <w:rPr>
                <w:rFonts w:hint="default" w:ascii="Times New Roman" w:hAnsi="Times New Roman" w:eastAsia="宋体" w:cs="Times New Roman"/>
                <w:color w:val="auto"/>
                <w:sz w:val="24"/>
                <w:szCs w:val="24"/>
                <w:lang w:eastAsia="zh-CN"/>
              </w:rPr>
              <w:t>废弃管线、残渣</w:t>
            </w:r>
            <w:r>
              <w:rPr>
                <w:rFonts w:hint="default" w:ascii="Times New Roman" w:hAnsi="Times New Roman" w:eastAsia="宋体" w:cs="Times New Roman"/>
                <w:color w:val="auto"/>
                <w:spacing w:val="1"/>
                <w:sz w:val="24"/>
                <w:szCs w:val="24"/>
                <w:lang w:eastAsia="zh-CN"/>
              </w:rPr>
              <w:t>等进行集中清理收集，管线外运经清洗后可回收再利用，废</w:t>
            </w:r>
            <w:r>
              <w:rPr>
                <w:rFonts w:hint="default" w:ascii="Times New Roman" w:hAnsi="Times New Roman" w:eastAsia="宋体" w:cs="Times New Roman"/>
                <w:color w:val="auto"/>
                <w:sz w:val="24"/>
                <w:szCs w:val="24"/>
                <w:lang w:eastAsia="zh-CN"/>
              </w:rPr>
              <w:t>弃建筑残渣外运</w:t>
            </w:r>
            <w:r>
              <w:rPr>
                <w:rFonts w:hint="default" w:ascii="Times New Roman" w:hAnsi="Times New Roman" w:eastAsia="宋体" w:cs="Times New Roman"/>
                <w:color w:val="auto"/>
                <w:spacing w:val="1"/>
                <w:sz w:val="24"/>
                <w:szCs w:val="24"/>
                <w:lang w:eastAsia="zh-CN"/>
              </w:rPr>
              <w:t>至指定处理场填埋处理。固体废物的妥善处理，可以有效控</w:t>
            </w:r>
            <w:r>
              <w:rPr>
                <w:rFonts w:hint="default" w:ascii="Times New Roman" w:hAnsi="Times New Roman" w:eastAsia="宋体" w:cs="Times New Roman"/>
                <w:color w:val="auto"/>
                <w:sz w:val="24"/>
                <w:szCs w:val="24"/>
                <w:lang w:eastAsia="zh-CN"/>
              </w:rPr>
              <w:t>制对区域环境的</w:t>
            </w:r>
            <w:r>
              <w:rPr>
                <w:rFonts w:hint="default" w:ascii="Times New Roman" w:hAnsi="Times New Roman" w:eastAsia="宋体" w:cs="Times New Roman"/>
                <w:color w:val="auto"/>
                <w:spacing w:val="-3"/>
                <w:sz w:val="24"/>
                <w:szCs w:val="24"/>
                <w:lang w:eastAsia="zh-CN"/>
              </w:rPr>
              <w:t>影响。</w:t>
            </w:r>
          </w:p>
        </w:tc>
      </w:tr>
      <w:tr w14:paraId="0C68BAC6">
        <w:trPr>
          <w:jc w:val="center"/>
        </w:trPr>
        <w:tc>
          <w:tcPr>
            <w:tcW w:w="578" w:type="dxa"/>
            <w:vAlign w:val="center"/>
          </w:tcPr>
          <w:p w14:paraId="77787834">
            <w:pPr>
              <w:pStyle w:val="23"/>
              <w:widowControl w:val="0"/>
              <w:kinsoku/>
              <w:spacing w:before="65" w:line="228"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3"/>
                <w:sz w:val="24"/>
                <w:szCs w:val="24"/>
                <w:lang w:eastAsia="zh-CN"/>
              </w:rPr>
              <w:t>运营期</w:t>
            </w:r>
          </w:p>
          <w:p w14:paraId="63A85800">
            <w:pPr>
              <w:pStyle w:val="23"/>
              <w:widowControl w:val="0"/>
              <w:kinsoku/>
              <w:spacing w:before="23" w:line="23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2"/>
                <w:sz w:val="24"/>
                <w:szCs w:val="24"/>
                <w:lang w:eastAsia="zh-CN"/>
              </w:rPr>
              <w:t>生态环</w:t>
            </w:r>
            <w:r>
              <w:rPr>
                <w:rFonts w:hint="default" w:ascii="Times New Roman" w:hAnsi="Times New Roman" w:eastAsia="宋体" w:cs="Times New Roman"/>
                <w:color w:val="auto"/>
                <w:spacing w:val="13"/>
                <w:sz w:val="24"/>
                <w:szCs w:val="24"/>
                <w:lang w:eastAsia="zh-CN"/>
              </w:rPr>
              <w:t>境影响</w:t>
            </w:r>
            <w:r>
              <w:rPr>
                <w:rFonts w:hint="default" w:ascii="Times New Roman" w:hAnsi="Times New Roman" w:eastAsia="宋体" w:cs="Times New Roman"/>
                <w:color w:val="auto"/>
                <w:spacing w:val="9"/>
                <w:sz w:val="24"/>
                <w:szCs w:val="24"/>
                <w:lang w:eastAsia="zh-CN"/>
              </w:rPr>
              <w:t>分析</w:t>
            </w:r>
          </w:p>
        </w:tc>
        <w:tc>
          <w:tcPr>
            <w:tcW w:w="8290" w:type="dxa"/>
            <w:vAlign w:val="center"/>
          </w:tcPr>
          <w:p w14:paraId="4C44F49B">
            <w:pPr>
              <w:pStyle w:val="23"/>
              <w:widowControl w:val="0"/>
              <w:kinsoku/>
              <w:spacing w:before="78" w:line="360" w:lineRule="auto"/>
              <w:ind w:firstLine="476"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lang w:eastAsia="zh-CN"/>
              </w:rPr>
              <w:t>本项目无营运期，试油结束后视试油结果决定是否转为生产井，若可转为生产井，则应当在产能开发建设前开展其环境影响评价工作。如发现该井不具开发价值或目的层不含油，则进行封井，拆除井口装置，截去地下1m内管头，最后清理场地，清除各种固体废弃物，恢复至相对自然的地貌。封井后，人员撤离，区域内没有了人为的扰动，井场范围内的自然植被会逐渐得以恢复，有助于区域生态环境的改善。</w:t>
            </w:r>
          </w:p>
        </w:tc>
      </w:tr>
      <w:tr w14:paraId="77597DE8">
        <w:trPr>
          <w:jc w:val="center"/>
        </w:trPr>
        <w:tc>
          <w:tcPr>
            <w:tcW w:w="578" w:type="dxa"/>
            <w:vAlign w:val="center"/>
          </w:tcPr>
          <w:p w14:paraId="28D1F6F4">
            <w:pPr>
              <w:pStyle w:val="23"/>
              <w:widowControl w:val="0"/>
              <w:kinsoku/>
              <w:spacing w:before="65" w:line="228"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3"/>
                <w:sz w:val="24"/>
                <w:szCs w:val="24"/>
                <w:lang w:eastAsia="zh-CN"/>
              </w:rPr>
              <w:t>选址选线环境合理性分析</w:t>
            </w:r>
          </w:p>
        </w:tc>
        <w:tc>
          <w:tcPr>
            <w:tcW w:w="8290" w:type="dxa"/>
          </w:tcPr>
          <w:p w14:paraId="19FBAAE3">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根据现场踏勘及井场平面布置，本项目2口探</w:t>
            </w:r>
            <w:r>
              <w:rPr>
                <w:rFonts w:hint="eastAsia" w:ascii="Times New Roman" w:hAnsi="Times New Roman" w:eastAsia="宋体" w:cs="Times New Roman"/>
                <w:color w:val="auto"/>
                <w:sz w:val="24"/>
                <w:szCs w:val="24"/>
                <w:lang w:val="en-US" w:eastAsia="zh-CN"/>
              </w:rPr>
              <w:t>评</w:t>
            </w:r>
            <w:r>
              <w:rPr>
                <w:rFonts w:hint="default" w:ascii="Times New Roman" w:hAnsi="Times New Roman" w:eastAsia="宋体" w:cs="Times New Roman"/>
                <w:color w:val="auto"/>
                <w:sz w:val="24"/>
                <w:szCs w:val="24"/>
                <w:lang w:eastAsia="zh-CN"/>
              </w:rPr>
              <w:t>井钻试工程项目井场选址位于准噶尔盆地</w:t>
            </w:r>
            <w:r>
              <w:rPr>
                <w:rFonts w:hint="eastAsia" w:ascii="Times New Roman" w:hAnsi="Times New Roman" w:eastAsia="宋体" w:cs="Times New Roman"/>
                <w:color w:val="auto"/>
                <w:sz w:val="24"/>
                <w:szCs w:val="24"/>
                <w:lang w:val="en-US" w:eastAsia="zh-CN"/>
              </w:rPr>
              <w:t>吉康油田</w:t>
            </w:r>
            <w:r>
              <w:rPr>
                <w:rFonts w:hint="default" w:ascii="Times New Roman" w:hAnsi="Times New Roman" w:eastAsia="宋体" w:cs="Times New Roman"/>
                <w:color w:val="auto"/>
                <w:sz w:val="24"/>
                <w:szCs w:val="24"/>
                <w:lang w:eastAsia="zh-CN"/>
              </w:rPr>
              <w:t>，井口距离75m范围内无高压线及其它永久性设施，100m范围内无民宅，200m范围内无铁路、高速公路，500m范围内无学校、医院和大型油库等人口密集型、高危性场所。项目选址符合《钻前工程及井场布置技术要求》（SY/T5466-2013）中的相关规定。</w:t>
            </w:r>
          </w:p>
          <w:p w14:paraId="66D77B70">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各井井场周边未发现永久性建（构）筑物，周边无地表水体、集中饮用水源、文物保护单位等环境敏感目标。井场东侧</w:t>
            </w:r>
            <w:r>
              <w:rPr>
                <w:rFonts w:hint="eastAsia" w:ascii="Times New Roman" w:hAnsi="Times New Roman" w:eastAsia="宋体" w:cs="Times New Roman"/>
                <w:color w:val="auto"/>
                <w:sz w:val="24"/>
                <w:szCs w:val="24"/>
                <w:lang w:val="en-US" w:eastAsia="zh-CN"/>
              </w:rPr>
              <w:t>600米有</w:t>
            </w:r>
            <w:r>
              <w:rPr>
                <w:rFonts w:hint="default" w:ascii="Times New Roman" w:hAnsi="Times New Roman" w:eastAsia="宋体" w:cs="Times New Roman"/>
                <w:color w:val="auto"/>
                <w:sz w:val="24"/>
                <w:szCs w:val="24"/>
                <w:lang w:eastAsia="zh-CN"/>
              </w:rPr>
              <w:t>公路通达，交通便利。井场选址均与最近道路保持合理安全距离，并位于空旷区域，有利于事故状态下的应急疏散与扩散。</w:t>
            </w:r>
          </w:p>
          <w:p w14:paraId="73A761A2">
            <w:pPr>
              <w:pStyle w:val="23"/>
              <w:widowControl w:val="0"/>
              <w:kinsoku/>
              <w:spacing w:line="353"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周边无其他自然保护区、风景名胜区、饮用水水源保护区、基本草原、沙化土地封禁保护区等，且无以居住、医疗卫生、文化教育、科研、行政办公等为主要功能的区域及文物保护单位，不存在环境制约因素。项目占地已尽量减少占用植被地带，且所在区域人类活动频繁，区域内野生动物数量较少，环境影响程度低，钻试工程结束后，临时占地均可得到释放和恢复，建设期间产生的废气、废水和噪声消失。</w:t>
            </w:r>
            <w:r>
              <w:rPr>
                <w:rFonts w:hint="default" w:ascii="Times New Roman" w:hAnsi="Times New Roman" w:eastAsia="宋体" w:cs="Times New Roman"/>
                <w:color w:val="auto"/>
                <w:sz w:val="24"/>
                <w:szCs w:val="24"/>
              </w:rPr>
              <w:t>综上所述，项目选址合理。</w:t>
            </w:r>
          </w:p>
        </w:tc>
      </w:tr>
    </w:tbl>
    <w:p w14:paraId="3F402970">
      <w:pPr>
        <w:kinsoku/>
        <w:spacing w:line="219" w:lineRule="auto"/>
        <w:rPr>
          <w:rFonts w:ascii="Times New Roman" w:hAnsi="Times New Roman" w:eastAsia="宋体" w:cs="Times New Roman"/>
          <w:color w:val="auto"/>
          <w:sz w:val="24"/>
          <w:szCs w:val="24"/>
        </w:rPr>
        <w:sectPr>
          <w:footerReference r:id="rId5" w:type="default"/>
          <w:pgSz w:w="11906" w:h="16840"/>
          <w:pgMar w:top="1440" w:right="1803" w:bottom="1440" w:left="1803" w:header="850" w:footer="992" w:gutter="0"/>
          <w:pgNumType w:start="1"/>
          <w:cols w:space="720" w:num="1"/>
        </w:sectPr>
      </w:pPr>
    </w:p>
    <w:p w14:paraId="1B8286C8">
      <w:pPr>
        <w:pStyle w:val="3"/>
        <w:kinsoku/>
        <w:rPr>
          <w:rFonts w:ascii="Times New Roman" w:hAnsi="Times New Roman" w:cs="Times New Roman" w:eastAsiaTheme="minorEastAsia"/>
          <w:color w:val="auto"/>
          <w:sz w:val="30"/>
          <w:szCs w:val="30"/>
          <w:lang w:eastAsia="zh-CN"/>
        </w:rPr>
      </w:pPr>
      <w:bookmarkStart w:id="21" w:name="_Hlk136794953"/>
      <w:r>
        <w:rPr>
          <w:rFonts w:ascii="Times New Roman" w:hAnsi="Times New Roman" w:cs="Times New Roman" w:eastAsiaTheme="minorEastAsia"/>
          <w:color w:val="auto"/>
          <w:sz w:val="30"/>
          <w:szCs w:val="30"/>
          <w:lang w:eastAsia="zh-CN"/>
        </w:rPr>
        <w:t>五、主要生态环境保护措施</w:t>
      </w:r>
    </w:p>
    <w:bookmarkEnd w:id="21"/>
    <w:tbl>
      <w:tblPr>
        <w:tblStyle w:val="18"/>
        <w:tblW w:w="52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402"/>
      </w:tblGrid>
      <w:tr w14:paraId="65A435E1">
        <w:trPr>
          <w:jc w:val="center"/>
        </w:trPr>
        <w:tc>
          <w:tcPr>
            <w:tcW w:w="271" w:type="pct"/>
            <w:vAlign w:val="center"/>
          </w:tcPr>
          <w:p w14:paraId="79795901">
            <w:pPr>
              <w:widowControl w:val="0"/>
              <w:kinsoku/>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bCs/>
                <w:color w:val="auto"/>
                <w:sz w:val="24"/>
                <w:szCs w:val="24"/>
                <w:lang w:eastAsia="zh-CN"/>
              </w:rPr>
              <w:t>施工期生态环境保护措施</w:t>
            </w:r>
          </w:p>
        </w:tc>
        <w:tc>
          <w:tcPr>
            <w:tcW w:w="4728" w:type="pct"/>
          </w:tcPr>
          <w:p w14:paraId="3F587DF7">
            <w:pPr>
              <w:pStyle w:val="27"/>
              <w:widowControl w:val="0"/>
              <w:numPr>
                <w:ilvl w:val="0"/>
                <w:numId w:val="9"/>
              </w:numPr>
              <w:kinsoku/>
              <w:ind w:firstLine="0" w:firstLineChars="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生态环境保护措施</w:t>
            </w:r>
          </w:p>
          <w:p w14:paraId="40E53749">
            <w:pPr>
              <w:pStyle w:val="27"/>
              <w:widowControl w:val="0"/>
              <w:kinsoku/>
              <w:jc w:val="both"/>
              <w:rPr>
                <w:rFonts w:hint="default" w:ascii="Times New Roman" w:hAnsi="Times New Roman" w:eastAsia="宋体" w:cs="Times New Roman"/>
                <w:color w:val="auto"/>
                <w:sz w:val="24"/>
                <w:szCs w:val="24"/>
                <w:lang w:eastAsia="zh-CN"/>
              </w:rPr>
            </w:pPr>
            <w:bookmarkStart w:id="22" w:name="_Hlk189400813"/>
            <w:r>
              <w:rPr>
                <w:rFonts w:hint="default" w:ascii="Times New Roman" w:hAnsi="Times New Roman" w:eastAsia="宋体" w:cs="Times New Roman"/>
                <w:color w:val="auto"/>
                <w:sz w:val="24"/>
                <w:szCs w:val="24"/>
                <w:lang w:eastAsia="zh-CN"/>
              </w:rPr>
              <w:t>建设单位及施工单位应严格执行本次评价提出的生态环境保护措施，并确保各项保护措施与钻试工程同时设计、同时施工、同时使用。项目占地合理规划，尽量避让植被较多的区域；严格控制施工作业带宽度，减少临时占地面积；在工程施工过程中和施工结束后，及时对施工场地进行平整，以便后期自然恢复；工程结束后，做好施工场地的恢复工作。</w:t>
            </w:r>
          </w:p>
          <w:p w14:paraId="3486BB18">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bookmarkStart w:id="23" w:name="_Hlk140837423"/>
            <w:r>
              <w:rPr>
                <w:rFonts w:hint="default" w:ascii="Times New Roman" w:hAnsi="Times New Roman" w:eastAsia="宋体" w:cs="Times New Roman"/>
                <w:b/>
                <w:bCs/>
                <w:color w:val="auto"/>
                <w:sz w:val="24"/>
                <w:szCs w:val="24"/>
                <w:lang w:eastAsia="zh-CN"/>
              </w:rPr>
              <w:t>1.1植被保护措施</w:t>
            </w:r>
          </w:p>
          <w:p w14:paraId="2FC45DD0">
            <w:pPr>
              <w:widowControl/>
              <w:kinsoku/>
              <w:topLinePunct/>
              <w:spacing w:line="360" w:lineRule="auto"/>
              <w:ind w:firstLine="480" w:firstLineChars="200"/>
              <w:jc w:val="both"/>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eastAsia="zh-CN"/>
              </w:rPr>
              <w:t>①项目生活营地等临时占地</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eastAsia="zh-CN"/>
              </w:rPr>
              <w:t>尽量</w:t>
            </w:r>
            <w:r>
              <w:rPr>
                <w:rFonts w:hint="default" w:ascii="Times New Roman" w:hAnsi="Times New Roman" w:eastAsia="宋体" w:cs="Times New Roman"/>
                <w:color w:val="auto"/>
                <w:sz w:val="24"/>
                <w:szCs w:val="24"/>
                <w:lang w:val="zh-CN" w:eastAsia="zh-CN"/>
              </w:rPr>
              <w:t>避开植被较丰富的区域，避免破坏植物。</w:t>
            </w:r>
          </w:p>
          <w:p w14:paraId="1B4FC317">
            <w:pPr>
              <w:widowControl/>
              <w:kinsoku/>
              <w:topLinePunct/>
              <w:spacing w:line="360" w:lineRule="auto"/>
              <w:ind w:firstLine="480" w:firstLineChars="200"/>
              <w:jc w:val="both"/>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②施工过程中严格规定各类工作人员的活动范围，使之限于在各工区和生活区范围内活动，最大限度减少对荒漠植物生存环境的践踏破坏。</w:t>
            </w:r>
          </w:p>
          <w:p w14:paraId="5DFC0A9E">
            <w:pPr>
              <w:widowControl/>
              <w:kinsoku/>
              <w:topLinePunct/>
              <w:spacing w:line="360" w:lineRule="auto"/>
              <w:ind w:firstLine="480" w:firstLineChars="200"/>
              <w:jc w:val="both"/>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eastAsia="zh-CN"/>
              </w:rPr>
              <w:t>③</w:t>
            </w:r>
            <w:r>
              <w:rPr>
                <w:rFonts w:hint="default" w:ascii="Times New Roman" w:hAnsi="Times New Roman" w:eastAsia="宋体" w:cs="Times New Roman"/>
                <w:color w:val="auto"/>
                <w:sz w:val="24"/>
                <w:szCs w:val="24"/>
                <w:lang w:val="zh-CN"/>
              </w:rPr>
              <w:t>确保各环保设施正常运行，避免各种污染物对土壤环境的影响从而进一步影响其上部生长的植被。</w:t>
            </w:r>
          </w:p>
          <w:p w14:paraId="29303142">
            <w:pPr>
              <w:widowControl/>
              <w:kinsoku/>
              <w:topLinePunct/>
              <w:spacing w:line="360" w:lineRule="auto"/>
              <w:ind w:firstLine="480" w:firstLineChars="200"/>
              <w:jc w:val="both"/>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eastAsia="zh-CN"/>
              </w:rPr>
              <w:t>④</w:t>
            </w:r>
            <w:r>
              <w:rPr>
                <w:rFonts w:hint="default" w:ascii="Times New Roman" w:hAnsi="Times New Roman" w:eastAsia="宋体" w:cs="Times New Roman"/>
                <w:color w:val="auto"/>
                <w:sz w:val="24"/>
                <w:szCs w:val="24"/>
                <w:lang w:val="zh-CN"/>
              </w:rPr>
              <w:t>井场施工在开挖地表、平整土地时，临时堆土必须进行拦挡，施工完毕，应尽快整理施工现场。</w:t>
            </w:r>
          </w:p>
          <w:p w14:paraId="38DE6CFF">
            <w:pPr>
              <w:widowControl/>
              <w:kinsoku/>
              <w:topLinePunct/>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w:t>
            </w:r>
            <w:r>
              <w:rPr>
                <w:rFonts w:hint="default" w:ascii="Times New Roman" w:hAnsi="Times New Roman" w:eastAsia="宋体" w:cs="Times New Roman"/>
                <w:color w:val="auto"/>
                <w:sz w:val="24"/>
                <w:szCs w:val="24"/>
                <w:lang w:val="zh-CN" w:eastAsia="zh-CN"/>
              </w:rPr>
              <w:t>强化风险意识，将本项目纳入《中国石油天然气股份有限公司吐哈油田分公司准东采油管理区突发环境事件应急预案》管理体系，落实切实可行的风险防范措施，最大限度降低风险概率，避免可能发生的油品泄漏事故对荒漠野生植物生存环境造成威胁。</w:t>
            </w:r>
          </w:p>
          <w:p w14:paraId="48083912">
            <w:pPr>
              <w:widowControl/>
              <w:kinsoku/>
              <w:topLinePunct/>
              <w:spacing w:line="360" w:lineRule="auto"/>
              <w:ind w:firstLine="480" w:firstLineChars="20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eastAsia="zh-CN"/>
              </w:rPr>
              <w:t>⑥</w:t>
            </w:r>
            <w:r>
              <w:rPr>
                <w:rFonts w:hint="default" w:ascii="Times New Roman" w:hAnsi="Times New Roman" w:eastAsia="宋体" w:cs="Times New Roman"/>
                <w:color w:val="auto"/>
                <w:sz w:val="24"/>
                <w:szCs w:val="24"/>
                <w:lang w:val="zh-CN" w:eastAsia="zh-CN"/>
              </w:rPr>
              <w:t>加强对施工人员和职工的教育，强化保护野生植物的观念，不得随意踩踏野生植物。</w:t>
            </w:r>
          </w:p>
          <w:bookmarkEnd w:id="22"/>
          <w:bookmarkEnd w:id="23"/>
          <w:p w14:paraId="7E82377C">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1.2对野生动物的生态环保措施要求</w:t>
            </w:r>
          </w:p>
          <w:p w14:paraId="649788FB">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位于准噶尔盆地区域，地表植被以稀疏乔木、灌木和草本植物为主，野生动物资源有限，种类主要为适应干旱气候的小型鸟类（如麻雀）、啮齿类（如鼠类）、爬行动物（如荒漠沙蜥、快步麻蜥）和其他小型兽类。各井场周边人类活动较少，区域生态原貌保存较好，具备一定的野生动物栖息条件。因此，在项目施工过程中应特别注意对野生动物活动环境的保护，最大限度减缓人为施工干扰，落实以下生态保护措施：</w:t>
            </w:r>
          </w:p>
          <w:p w14:paraId="246EE59E">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①施工期避让原则</w:t>
            </w:r>
          </w:p>
          <w:p w14:paraId="4D6BAF78">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施工单位在组织钻前准备和进场作业时，应尽量避开野生动物繁殖、迁徙及活动频繁时段（如春秋季节）和区域，避免因施工噪声、照明、车辆进出等干扰野生动物的正常生活节律。</w:t>
            </w:r>
          </w:p>
          <w:p w14:paraId="37377CF7">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②噪声与光照控制</w:t>
            </w:r>
          </w:p>
          <w:p w14:paraId="66C1D88F">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施工期应优先采用低噪声设备，钻井设备夜间作业时应采用定向照明，避免强光直射周边自然区域，防止对野生动物视觉和作息造成干扰。</w:t>
            </w:r>
          </w:p>
          <w:p w14:paraId="451BBD6C">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③禁止捕猎及使用毒性化学物品</w:t>
            </w:r>
          </w:p>
          <w:p w14:paraId="543EC422">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严禁施工人员猎捕、驱赶野生动物，严禁私自携带犬类及其他宠物进场，严禁使用鼠药、杀虫剂等对野生动物构成直接毒害风险的药物。</w:t>
            </w:r>
          </w:p>
          <w:p w14:paraId="06F72C6A">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④运输及道路管理</w:t>
            </w:r>
          </w:p>
          <w:p w14:paraId="536F8CBD">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施工车辆运输应限速通行，夜间行车使用近光灯，防止惊扰动物或发生撞击事件。施工便道布设应避开动物活动通道，必要时设置临时警示标识。</w:t>
            </w:r>
          </w:p>
          <w:p w14:paraId="79770B45">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⑤加强环保教育与日常巡查</w:t>
            </w:r>
          </w:p>
          <w:p w14:paraId="66F84362">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施工单位应开展野生动物保护专题</w:t>
            </w:r>
            <w:r>
              <w:rPr>
                <w:rFonts w:hint="eastAsia" w:ascii="Times New Roman" w:hAnsi="Times New Roman" w:eastAsia="宋体" w:cs="Times New Roman"/>
                <w:color w:val="auto"/>
                <w:sz w:val="24"/>
                <w:szCs w:val="24"/>
                <w:lang w:val="en-US" w:eastAsia="zh-CN"/>
              </w:rPr>
              <w:t>学习</w:t>
            </w:r>
            <w:r>
              <w:rPr>
                <w:rFonts w:hint="default" w:ascii="Times New Roman" w:hAnsi="Times New Roman" w:eastAsia="宋体" w:cs="Times New Roman"/>
                <w:color w:val="auto"/>
                <w:sz w:val="24"/>
                <w:szCs w:val="24"/>
                <w:lang w:eastAsia="zh-CN"/>
              </w:rPr>
              <w:t>，提高施工人员生态保护意识。项目管理单位应设立生态保护巡查岗，定期检查是否存在破坏野生动物生境行为，并建立违规问责机制。</w:t>
            </w:r>
          </w:p>
          <w:p w14:paraId="5D3E0767">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⑥生态恢复同步考虑</w:t>
            </w:r>
          </w:p>
          <w:p w14:paraId="2FAEDD79">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工程完工后，在实施土地恢复与植被恢复时，应优先恢复本地优势灌草植物种类，为小型野生动物提供可利用的觅食与隐蔽环境，促进区域生态功能的恢复。</w:t>
            </w:r>
          </w:p>
          <w:p w14:paraId="627349BD">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7BE0CF3E">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1.3临时占地保护措施要求</w:t>
            </w:r>
          </w:p>
          <w:p w14:paraId="7A7B79D4">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①无道路区域作业车辆“一”字形行驶。</w:t>
            </w:r>
          </w:p>
          <w:p w14:paraId="6DFDA10A">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②加强对临时占地地表土的保护，临时性占地进行合理规划，严格控制占地面积，尽量选择在植被稀少的区域。</w:t>
            </w:r>
          </w:p>
          <w:p w14:paraId="3617F38C">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③本项目临时占地期满后，占地单位需对临时占地进行清理，拆除临时建筑物，清除废弃材料，结合地形恢复场地并平整土地，做到工完料净场地清。</w:t>
            </w:r>
          </w:p>
          <w:p w14:paraId="4FE6FF86">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施工过程中严格规定车辆和各类工作人员的活动范围，所有车辆采用“一”字形作业法，严格控制和管理车辆及重型机械的运行范围，使之限于在施工区范围内活动，最大限度减少对植物生存环境的踩踏破坏，避免破坏植物。</w:t>
            </w:r>
          </w:p>
          <w:p w14:paraId="6BE5A453">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⑤做好施工场地的恢复工作，并按相关规定对植被损失进行生态经济补偿。</w:t>
            </w:r>
          </w:p>
          <w:p w14:paraId="63DDEC87">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⑥井场选址及井场布置严格按照《钻前工程及井场布置技术要求》（SY/T5466-2013）中要求执行。</w:t>
            </w:r>
          </w:p>
          <w:p w14:paraId="53C7D1EE">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1.4施工作业范围管控要求</w:t>
            </w:r>
          </w:p>
          <w:p w14:paraId="33CD7DF7">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①对油田内的道路合理规划，巡检道路严格控制施工作业带（开挖）面积，并尽量沿道路纵向平行布设，以减少地表破坏，减少土方的暴露面积。</w:t>
            </w:r>
          </w:p>
          <w:p w14:paraId="6D6632C9">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②尽量利用原有公路，沿已有车辙行驶，严格执行先修路，后开钻的原则进行勘探。杜绝车辆乱碾乱轧的情况发生。不随意开设便道。</w:t>
            </w:r>
          </w:p>
          <w:p w14:paraId="04B742DB">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③施工机械不得在道路以外行驶和作业，保持地表不被扰动。</w:t>
            </w:r>
          </w:p>
          <w:p w14:paraId="058C8C86">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④施工结束后，临时用地一律平整土地，清除用地范围内的一切固体废弃物。</w:t>
            </w:r>
          </w:p>
          <w:p w14:paraId="7BF7B6A9">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⑤道路施工的临时用地禁止设置在农田内。</w:t>
            </w:r>
          </w:p>
          <w:p w14:paraId="69276442">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⑥施工期间应划定施工活动范围，在施工作业带边界拉彩条旗以示明车辆行驶边界，严格控制和管理运输车辆及重型机械的运行线路和范围，不得离开运输道路及随意行驶，由专人负责，以防破坏土壤和植被，加剧土地荒漠化。</w:t>
            </w:r>
          </w:p>
          <w:p w14:paraId="273E235A">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⑦井场施工在开挖地表、平整土地时，临时堆土必须进行拦挡，施工完毕，应尽快整理施工现场。</w:t>
            </w:r>
          </w:p>
          <w:p w14:paraId="15DEF257">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1.5农田生态保护措施</w:t>
            </w:r>
          </w:p>
          <w:p w14:paraId="2503A163">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①控制作业范围，施工机械（主要为挖掘机）需在控制范围内作业，严禁 自行扩大施工用地范围</w:t>
            </w:r>
            <w:r>
              <w:rPr>
                <w:rFonts w:hint="eastAsia" w:ascii="Times New Roman" w:hAnsi="Times New Roman" w:eastAsia="宋体" w:cs="Times New Roman"/>
                <w:color w:val="auto"/>
                <w:sz w:val="24"/>
                <w:szCs w:val="24"/>
                <w:lang w:eastAsia="zh-CN"/>
              </w:rPr>
              <w:t>。</w:t>
            </w:r>
          </w:p>
          <w:p w14:paraId="17532C22">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②耕地区施工应避开农作物生长和收获期，减少农业生产的损失。要保护 农田林网，使农田生态系统的功能相对稳定。</w:t>
            </w:r>
          </w:p>
          <w:p w14:paraId="6CD0CDAB">
            <w:pPr>
              <w:pStyle w:val="27"/>
              <w:widowControl w:val="0"/>
              <w:kinsoku/>
              <w:spacing w:line="360" w:lineRule="auto"/>
              <w:jc w:val="both"/>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eastAsia="zh-CN"/>
              </w:rPr>
              <w:t>③</w:t>
            </w:r>
            <w:r>
              <w:rPr>
                <w:rFonts w:hint="default" w:ascii="Times New Roman" w:hAnsi="Times New Roman" w:eastAsia="宋体" w:cs="Times New Roman"/>
                <w:color w:val="auto"/>
                <w:sz w:val="24"/>
                <w:szCs w:val="24"/>
                <w:lang w:val="zh-CN" w:eastAsia="zh-CN"/>
              </w:rPr>
              <w:t>在耕地中施工时，可将表层25cm的土壤集中堆放，施工结束后地表土壤作为生态恢复用土，分层开挖、分层堆放，以保持耕地肥力和作物正常生长。</w:t>
            </w:r>
          </w:p>
          <w:p w14:paraId="216F179A">
            <w:pPr>
              <w:pStyle w:val="27"/>
              <w:widowControl w:val="0"/>
              <w:kinsoku/>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④施工结束后做好耕地的恢复工作。清理施工作业区域内产生的废弃物。 应按国务院颁发的《土地复垦条例》、国土资源部颁发的《土地复垦条例实施办 法》的规定进行复垦。凡受到施工车辆、机械破坏的地方，都要及时修整，恢复原貌，植被（自然的、人工的）破坏应在施工结束后的当年或来年予以恢复。</w:t>
            </w:r>
          </w:p>
          <w:p w14:paraId="3DE939CD">
            <w:pPr>
              <w:widowControl w:val="0"/>
              <w:kinsoku/>
              <w:spacing w:line="360" w:lineRule="auto"/>
              <w:ind w:firstLine="480" w:firstLineChars="200"/>
              <w:jc w:val="both"/>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eastAsia="zh-CN"/>
              </w:rPr>
              <w:t>⑤</w:t>
            </w:r>
            <w:r>
              <w:rPr>
                <w:rFonts w:hint="default" w:ascii="Times New Roman" w:hAnsi="Times New Roman" w:eastAsia="宋体" w:cs="Times New Roman"/>
                <w:color w:val="auto"/>
                <w:sz w:val="24"/>
                <w:szCs w:val="24"/>
                <w:lang w:val="zh-CN" w:eastAsia="zh-CN"/>
              </w:rPr>
              <w:t>严禁施工车辆在耕地区到处乱碾乱压，应严格限制在已有的道路和作业区行驶，防止对周围土壤和作物产生破坏。</w:t>
            </w:r>
          </w:p>
          <w:p w14:paraId="375B328F">
            <w:pPr>
              <w:widowControl w:val="0"/>
              <w:kinsoku/>
              <w:spacing w:line="360" w:lineRule="auto"/>
              <w:ind w:firstLine="480" w:firstLineChars="200"/>
              <w:jc w:val="both"/>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eastAsia="zh-CN"/>
              </w:rPr>
              <w:t>⑥</w:t>
            </w:r>
            <w:r>
              <w:rPr>
                <w:rFonts w:hint="default" w:ascii="Times New Roman" w:hAnsi="Times New Roman" w:eastAsia="宋体" w:cs="Times New Roman"/>
                <w:color w:val="auto"/>
                <w:sz w:val="24"/>
                <w:szCs w:val="24"/>
                <w:lang w:val="zh-CN" w:eastAsia="zh-CN"/>
              </w:rPr>
              <w:t>废弃的施工原料均运至规定的地点进行存放，禁止向施工区域附近的耕地内倾倒。</w:t>
            </w:r>
          </w:p>
          <w:p w14:paraId="40AF5D8F">
            <w:pPr>
              <w:pStyle w:val="27"/>
              <w:widowControl w:val="0"/>
              <w:kinsoku/>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eastAsia="zh-CN"/>
              </w:rPr>
              <w:t>⑦</w:t>
            </w:r>
            <w:r>
              <w:rPr>
                <w:rFonts w:hint="default" w:ascii="Times New Roman" w:hAnsi="Times New Roman" w:eastAsia="宋体" w:cs="Times New Roman"/>
                <w:color w:val="auto"/>
                <w:sz w:val="24"/>
                <w:szCs w:val="24"/>
                <w:lang w:val="zh-CN" w:eastAsia="zh-CN"/>
              </w:rPr>
              <w:t>加强对施工人员的教育、监督和管理，积极倡导文明施工。</w:t>
            </w:r>
          </w:p>
          <w:p w14:paraId="22A506FA">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1.6生态恢复方案</w:t>
            </w:r>
          </w:p>
          <w:p w14:paraId="300957FF">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根据《关于加强沙区建设项目环境影响评价工作的通知》、《陆上石油天然气开采业绿色矿山建设规范》（DZ/T 0317-2018）的有关要求进行生态恢复。施工前需对占地范围内表土进行剥离，剥离后用砂石料对井场和探临道路进行铺垫，剥离表土单独堆放，用于完井后临时占地的恢复。施工结束后，施工单位应负责及时清理现场，做到井场整洁、无杂物，完井后施工机械、设备及时撤离，对生活营地和探临道路等占地进行清理平整，废水和固体废物全部妥善处置，禁止现场遗留；尽量利用井场及探临道路施工时产生的表层土对临时占地进行覆盖，植被主要靠自然恢复。施工为分段施工，建议“边施工、边修复”。具体措施如下：</w:t>
            </w:r>
          </w:p>
          <w:p w14:paraId="7181ADCC">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①井场生态恢复措施</w:t>
            </w:r>
          </w:p>
          <w:p w14:paraId="16F554FC">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陆上石油天然气开采业绿色矿山建设规范》（DZ/T0317-2018）所有施工范围需进行生态环境保护与恢复治理。工程施工结束后，应对井场临时占地内的土地进行平整，恢复原有地貌。充分利用前期已收集的表土覆盖于井场表层，覆盖厚度根据植被类型和场地用途确定。减少植被破坏，减缓水土流失，抵制沙漠化发展将起到一定的积极作用。</w:t>
            </w:r>
          </w:p>
          <w:p w14:paraId="4F2FE1A1">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②水土流失防治措施</w:t>
            </w:r>
          </w:p>
          <w:p w14:paraId="7AEFB740">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的施工范围进行施工作业，不得随意开辟施工便道。施工车辆不得随意驶离便道。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14:paraId="59560351">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③闭井期生态修复措施</w:t>
            </w:r>
          </w:p>
          <w:p w14:paraId="53CA1803">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矿山生态环境保护与恢复治理技术规范（试行）》(HJ651-2013)、《陆上石油天然气开采业绿色矿山建设规范》（DZ/T0317-2018）和《废弃井封井回填技术指南（试行）》中的相关要求，勘探活动结束后，应根据景观相似原则，对勘探活动造成的土壤、植被和地表景观破坏进行恢复。</w:t>
            </w:r>
          </w:p>
          <w:p w14:paraId="58EDF8C6">
            <w:pPr>
              <w:pStyle w:val="27"/>
              <w:keepNext w:val="0"/>
              <w:keepLines w:val="0"/>
              <w:pageBreakBefore w:val="0"/>
              <w:widowControl w:val="0"/>
              <w:numPr>
                <w:ilvl w:val="0"/>
                <w:numId w:val="0"/>
              </w:numPr>
              <w:kinsoku/>
              <w:wordWrap/>
              <w:overflowPunct/>
              <w:topLinePunct w:val="0"/>
              <w:autoSpaceDE w:val="0"/>
              <w:autoSpaceDN w:val="0"/>
              <w:bidi w:val="0"/>
              <w:adjustRightInd w:val="0"/>
              <w:snapToGrid w:val="0"/>
              <w:ind w:firstLine="480" w:firstLineChars="200"/>
              <w:jc w:val="both"/>
              <w:textAlignment w:val="baseline"/>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ascii="宋体" w:hAnsi="宋体" w:eastAsia="宋体" w:cs="宋体"/>
                <w:color w:val="auto"/>
                <w:sz w:val="24"/>
                <w:szCs w:val="24"/>
              </w:rPr>
              <w:t>严格按照封井技术要求完成井筒封堵、井口封闭和地面设施拆除，防止形成地下水串层通道和地表安全隐患。</w:t>
            </w:r>
          </w:p>
          <w:p w14:paraId="73A93DA3">
            <w:pPr>
              <w:pStyle w:val="27"/>
              <w:keepNext w:val="0"/>
              <w:keepLines w:val="0"/>
              <w:pageBreakBefore w:val="0"/>
              <w:widowControl w:val="0"/>
              <w:numPr>
                <w:ilvl w:val="0"/>
                <w:numId w:val="0"/>
              </w:numPr>
              <w:kinsoku/>
              <w:wordWrap/>
              <w:overflowPunct/>
              <w:topLinePunct w:val="0"/>
              <w:autoSpaceDE w:val="0"/>
              <w:autoSpaceDN w:val="0"/>
              <w:bidi w:val="0"/>
              <w:adjustRightInd w:val="0"/>
              <w:snapToGrid w:val="0"/>
              <w:ind w:firstLine="480" w:firstLineChars="200"/>
              <w:jc w:val="both"/>
              <w:textAlignment w:val="baseline"/>
              <w:rPr>
                <w:rFonts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ascii="宋体" w:hAnsi="宋体" w:eastAsia="宋体" w:cs="宋体"/>
                <w:color w:val="auto"/>
                <w:sz w:val="24"/>
                <w:szCs w:val="24"/>
              </w:rPr>
              <w:t>拆除无继续利用价值的井场临时设施、地面管线、废弃材料和各类杂物，做到工完、料净、场地清。</w:t>
            </w:r>
          </w:p>
          <w:p w14:paraId="7FF367FE">
            <w:pPr>
              <w:pStyle w:val="27"/>
              <w:keepNext w:val="0"/>
              <w:keepLines w:val="0"/>
              <w:pageBreakBefore w:val="0"/>
              <w:widowControl w:val="0"/>
              <w:numPr>
                <w:ilvl w:val="0"/>
                <w:numId w:val="0"/>
              </w:numPr>
              <w:kinsoku/>
              <w:wordWrap/>
              <w:overflowPunct/>
              <w:topLinePunct w:val="0"/>
              <w:autoSpaceDE w:val="0"/>
              <w:autoSpaceDN w:val="0"/>
              <w:bidi w:val="0"/>
              <w:adjustRightInd w:val="0"/>
              <w:snapToGrid w:val="0"/>
              <w:ind w:firstLine="480" w:firstLineChars="200"/>
              <w:jc w:val="both"/>
              <w:textAlignment w:val="baseline"/>
              <w:rPr>
                <w:rFonts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ascii="宋体" w:hAnsi="宋体" w:eastAsia="宋体" w:cs="宋体"/>
                <w:color w:val="auto"/>
                <w:sz w:val="24"/>
                <w:szCs w:val="24"/>
              </w:rPr>
              <w:t>对井场扰动区域进行地貌整治，消除局部高差和硬化压实，恢复原有地形地貌；对临时道路、生活营地和沟渠扰动区同步开展整治恢复。</w:t>
            </w:r>
          </w:p>
          <w:p w14:paraId="00C299ED">
            <w:pPr>
              <w:pStyle w:val="27"/>
              <w:keepNext w:val="0"/>
              <w:keepLines w:val="0"/>
              <w:pageBreakBefore w:val="0"/>
              <w:widowControl w:val="0"/>
              <w:numPr>
                <w:ilvl w:val="0"/>
                <w:numId w:val="0"/>
              </w:numPr>
              <w:kinsoku/>
              <w:wordWrap/>
              <w:overflowPunct/>
              <w:topLinePunct w:val="0"/>
              <w:autoSpaceDE w:val="0"/>
              <w:autoSpaceDN w:val="0"/>
              <w:bidi w:val="0"/>
              <w:adjustRightInd w:val="0"/>
              <w:snapToGrid w:val="0"/>
              <w:ind w:firstLine="480" w:firstLineChars="200"/>
              <w:jc w:val="both"/>
              <w:textAlignment w:val="baseline"/>
              <w:rPr>
                <w:rFonts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ascii="宋体" w:hAnsi="宋体" w:eastAsia="宋体" w:cs="宋体"/>
                <w:color w:val="auto"/>
                <w:sz w:val="24"/>
                <w:szCs w:val="24"/>
              </w:rPr>
              <w:t>将前期剥离并堆存的表土回覆于扰动区域表层，恢复土壤覆盖层，为植被自然恢复创造条件。</w:t>
            </w:r>
          </w:p>
          <w:p w14:paraId="213EE138">
            <w:pPr>
              <w:pStyle w:val="27"/>
              <w:keepNext w:val="0"/>
              <w:keepLines w:val="0"/>
              <w:pageBreakBefore w:val="0"/>
              <w:widowControl w:val="0"/>
              <w:numPr>
                <w:ilvl w:val="0"/>
                <w:numId w:val="0"/>
              </w:numPr>
              <w:kinsoku/>
              <w:wordWrap/>
              <w:overflowPunct/>
              <w:topLinePunct w:val="0"/>
              <w:autoSpaceDE w:val="0"/>
              <w:autoSpaceDN w:val="0"/>
              <w:bidi w:val="0"/>
              <w:adjustRightInd w:val="0"/>
              <w:snapToGrid w:val="0"/>
              <w:ind w:firstLine="480" w:firstLineChars="200"/>
              <w:jc w:val="both"/>
              <w:textAlignment w:val="baseline"/>
              <w:rPr>
                <w:rFonts w:ascii="宋体" w:hAnsi="宋体" w:eastAsia="宋体" w:cs="宋体"/>
                <w:color w:val="auto"/>
                <w:sz w:val="24"/>
                <w:szCs w:val="24"/>
              </w:rPr>
            </w:pPr>
            <w:r>
              <w:rPr>
                <w:rFonts w:hint="eastAsia" w:eastAsia="宋体" w:cs="宋体"/>
                <w:color w:val="auto"/>
                <w:sz w:val="24"/>
                <w:szCs w:val="24"/>
                <w:lang w:val="en-US" w:eastAsia="zh-CN"/>
              </w:rPr>
              <w:t>5</w:t>
            </w:r>
            <w:r>
              <w:rPr>
                <w:rFonts w:hint="eastAsia" w:eastAsia="宋体" w:cs="宋体"/>
                <w:color w:val="auto"/>
                <w:sz w:val="24"/>
                <w:szCs w:val="24"/>
                <w:lang w:eastAsia="zh-CN"/>
              </w:rPr>
              <w:t>）</w:t>
            </w:r>
            <w:r>
              <w:rPr>
                <w:rFonts w:ascii="宋体" w:hAnsi="宋体" w:eastAsia="宋体" w:cs="宋体"/>
                <w:color w:val="auto"/>
                <w:sz w:val="24"/>
                <w:szCs w:val="24"/>
              </w:rPr>
              <w:t>项目区属荒漠灌草生态系统，恢复以自然恢复为主，必要时可辅以本地适生灌草植被恢复措施，严禁引入外来物种。</w:t>
            </w:r>
          </w:p>
          <w:p w14:paraId="736E36FF">
            <w:pPr>
              <w:pStyle w:val="27"/>
              <w:keepNext w:val="0"/>
              <w:keepLines w:val="0"/>
              <w:pageBreakBefore w:val="0"/>
              <w:widowControl w:val="0"/>
              <w:numPr>
                <w:ilvl w:val="0"/>
                <w:numId w:val="0"/>
              </w:numPr>
              <w:kinsoku/>
              <w:wordWrap/>
              <w:overflowPunct/>
              <w:topLinePunct w:val="0"/>
              <w:autoSpaceDE w:val="0"/>
              <w:autoSpaceDN w:val="0"/>
              <w:bidi w:val="0"/>
              <w:adjustRightInd w:val="0"/>
              <w:snapToGrid w:val="0"/>
              <w:ind w:firstLine="480" w:firstLineChars="200"/>
              <w:jc w:val="both"/>
              <w:textAlignment w:val="baseline"/>
              <w:rPr>
                <w:rFonts w:ascii="宋体" w:hAnsi="宋体" w:eastAsia="宋体" w:cs="宋体"/>
                <w:color w:val="auto"/>
                <w:sz w:val="24"/>
                <w:szCs w:val="24"/>
              </w:rPr>
            </w:pPr>
            <w:r>
              <w:rPr>
                <w:rFonts w:hint="eastAsia" w:eastAsia="宋体" w:cs="宋体"/>
                <w:color w:val="auto"/>
                <w:sz w:val="24"/>
                <w:szCs w:val="24"/>
                <w:lang w:val="en-US" w:eastAsia="zh-CN"/>
              </w:rPr>
              <w:t>6</w:t>
            </w:r>
            <w:r>
              <w:rPr>
                <w:rFonts w:hint="eastAsia" w:eastAsia="宋体" w:cs="宋体"/>
                <w:color w:val="auto"/>
                <w:sz w:val="24"/>
                <w:szCs w:val="24"/>
                <w:lang w:eastAsia="zh-CN"/>
              </w:rPr>
              <w:t>）</w:t>
            </w:r>
            <w:r>
              <w:rPr>
                <w:rFonts w:ascii="宋体" w:hAnsi="宋体" w:eastAsia="宋体" w:cs="宋体"/>
                <w:color w:val="auto"/>
                <w:sz w:val="24"/>
                <w:szCs w:val="24"/>
              </w:rPr>
              <w:t>对封闭井恢复区域开展跟踪检查，重点检查井口封闭状态、地表是否塌陷、是否存在污染残留、沟渠是否畅通、风蚀沙化是否加剧、植被恢复是否正常；发现恢复不到位区域及时补充整治。</w:t>
            </w:r>
          </w:p>
          <w:p w14:paraId="44D49924">
            <w:pPr>
              <w:pStyle w:val="27"/>
              <w:keepNext w:val="0"/>
              <w:keepLines w:val="0"/>
              <w:pageBreakBefore w:val="0"/>
              <w:widowControl w:val="0"/>
              <w:kinsoku/>
              <w:wordWrap/>
              <w:overflowPunct/>
              <w:topLinePunct w:val="0"/>
              <w:autoSpaceDE w:val="0"/>
              <w:autoSpaceDN w:val="0"/>
              <w:bidi w:val="0"/>
              <w:adjustRightInd w:val="0"/>
              <w:snapToGrid w:val="0"/>
              <w:ind w:left="0" w:leftChars="0" w:firstLine="480" w:firstLineChars="200"/>
              <w:jc w:val="both"/>
              <w:textAlignment w:val="baseline"/>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封井恢复应确保不遗留废弃物、不形成新的污染源，不对区域地下水、土壤和生态环境造成后续影响。</w:t>
            </w:r>
          </w:p>
          <w:p w14:paraId="2B03C515">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④补偿措施</w:t>
            </w:r>
          </w:p>
          <w:p w14:paraId="4AAC89A6">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依法依规办理用地审批手续，并对因项目实施造成的生态损失予以经济补偿，足额缴纳生态经济补偿费。</w:t>
            </w:r>
          </w:p>
          <w:p w14:paraId="58298908">
            <w:pPr>
              <w:widowControl/>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4C7AEF0B">
            <w:pPr>
              <w:widowControl/>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2.井场防沙治沙措施</w:t>
            </w:r>
          </w:p>
          <w:p w14:paraId="23314B7F">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次评价要求建设单位严格按照《中华人民共和国防沙治沙法》（2018）、《关于加强沙区建设项目环境影响评价工作的通知》（新环环评发〔2020〕138号）和《新疆维吾尔自治区实施〈中华人民共和国防沙治沙法〉办法》中有关规定，执行以下防沙治沙措施：</w:t>
            </w:r>
          </w:p>
          <w:p w14:paraId="3529FA17">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①加强宣传《中华人民共和国防沙治沙法》和《新疆维吾尔自治区实施〈中华人民共和国防沙治沙法〉办法》，使施工人员知法、懂法、守法，自觉保护林草植被，自觉履行防治义务；</w:t>
            </w:r>
          </w:p>
          <w:p w14:paraId="266C0B9D">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②优化施工组织，缩短施工时间，避免在大风天气作业，避免造成土壤风蚀影响；</w:t>
            </w:r>
          </w:p>
          <w:p w14:paraId="1A0655E9">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③严格控制井场、道路等工程的临时占地，按施工方案严格控制扰动范围；</w:t>
            </w:r>
          </w:p>
          <w:p w14:paraId="001A9740">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④道路施工时，划定施工活动范围，严格控制和管理车辆及重型机械的运行范围，所有车辆采用“一”字型作业法，临探道路应选取最短路径与油田现有公路相连接，不开辟新路，以减少风蚀沙化活动的范围；</w:t>
            </w:r>
          </w:p>
          <w:p w14:paraId="6A8BDEDD">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为减少因施工破坏植被造成局部区域的沙化，本环评要求建设单位和施工人员须征得当地林业管理部门的批准后方可开展施工作业。建议尽可能完整保存拟建选址区域的原生植株，在施工期结束后恢复原有植被或栽种同类沙地植物，最大限度减少沙化的可能性；</w:t>
            </w:r>
          </w:p>
          <w:p w14:paraId="12F1A40C">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⑥对于无植被生长的纯沙地区域，在施工结束时建议对遭受扰动的临时占地区域设置草方格进行固沙，阻止沙化进一步发展；</w:t>
            </w:r>
          </w:p>
          <w:p w14:paraId="5B2F1914">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⑦施工过程中及施工期结束土壤环境恢复过程中发现临时占用土地出现沙化或者沙化程度加重的，应当及时报告当地生态环境部门和人民政府，并根据专业意见开展防沙治沙措施；</w:t>
            </w:r>
          </w:p>
          <w:p w14:paraId="38E2015D">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通过采取上述措施，可将项目建设对所在区域土壤环境造成的水土流失和沙化影响降至可接受水平。</w:t>
            </w:r>
          </w:p>
          <w:p w14:paraId="515B123E">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bookmarkStart w:id="24" w:name="OLE_LINK48"/>
            <w:r>
              <w:rPr>
                <w:rFonts w:hint="default" w:ascii="Times New Roman" w:hAnsi="Times New Roman" w:eastAsia="宋体" w:cs="Times New Roman"/>
                <w:b/>
                <w:bCs/>
                <w:color w:val="auto"/>
                <w:sz w:val="24"/>
                <w:szCs w:val="24"/>
                <w:lang w:eastAsia="zh-CN"/>
              </w:rPr>
              <w:t>3.大气污染防治措施</w:t>
            </w:r>
          </w:p>
          <w:bookmarkEnd w:id="24"/>
          <w:p w14:paraId="2DD7BCFA">
            <w:pPr>
              <w:pStyle w:val="27"/>
              <w:widowControl w:val="0"/>
              <w:kinsoku/>
              <w:jc w:val="both"/>
              <w:rPr>
                <w:rFonts w:hint="default" w:ascii="Times New Roman" w:hAnsi="Times New Roman" w:eastAsia="宋体" w:cs="Times New Roman"/>
                <w:color w:val="auto"/>
                <w:sz w:val="24"/>
                <w:szCs w:val="24"/>
                <w:lang w:eastAsia="zh-CN"/>
              </w:rPr>
            </w:pPr>
            <w:bookmarkStart w:id="25" w:name="OLE_LINK49"/>
            <w:bookmarkStart w:id="26" w:name="_Hlk176185340"/>
            <w:r>
              <w:rPr>
                <w:rFonts w:hint="default" w:ascii="Times New Roman" w:hAnsi="Times New Roman" w:eastAsia="宋体" w:cs="Times New Roman"/>
                <w:color w:val="auto"/>
                <w:sz w:val="24"/>
                <w:szCs w:val="24"/>
                <w:lang w:eastAsia="zh-CN"/>
              </w:rPr>
              <w:t>①使用符合国家标准的油品，加强机械、车辆的维护。</w:t>
            </w:r>
          </w:p>
          <w:bookmarkEnd w:id="25"/>
          <w:p w14:paraId="48797E3D">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②施工现场运输车辆应低速慢行、不得超载，并采取密闭或遮盖措施；车辆沿道路行驶，不得随意开设便道。</w:t>
            </w:r>
          </w:p>
          <w:p w14:paraId="77ECC592">
            <w:pPr>
              <w:pStyle w:val="27"/>
              <w:widowControl w:val="0"/>
              <w:kinsoku/>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eastAsia="zh-CN"/>
              </w:rPr>
              <w:t>③</w:t>
            </w:r>
            <w:r>
              <w:rPr>
                <w:rFonts w:hint="default" w:ascii="Times New Roman" w:hAnsi="Times New Roman" w:eastAsia="宋体" w:cs="Times New Roman"/>
                <w:color w:val="auto"/>
                <w:sz w:val="24"/>
                <w:szCs w:val="24"/>
                <w:highlight w:val="none"/>
                <w:lang w:eastAsia="zh-CN"/>
              </w:rPr>
              <w:t>易起尘物料在运输、存放时应加盖遮盖物，最大限度防止扬尘扩散。</w:t>
            </w:r>
          </w:p>
          <w:p w14:paraId="516462F5">
            <w:pPr>
              <w:pStyle w:val="27"/>
              <w:widowControl w:val="0"/>
              <w:kinsoku/>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④试油期产生的伴生气气量不稳定，不具备回收利用条件，但具备燃烧条件的，经排气管线充分燃烧后排放。应定期检查伴生气燃烧设备，加强燃烧设备的运营维护，确保伴生气充分燃烧，以减轻燃烧废气对区域大气环境质量的不良影响。</w:t>
            </w:r>
          </w:p>
          <w:p w14:paraId="133520A8">
            <w:pPr>
              <w:pStyle w:val="27"/>
              <w:widowControl w:val="0"/>
              <w:kinsoku/>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⑤试油期加强采出液储罐管理，尽可能减少无组织挥发性有机物的排放。</w:t>
            </w:r>
          </w:p>
          <w:p w14:paraId="783283BA">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lang w:eastAsia="zh-CN"/>
              </w:rPr>
              <w:t>⑥</w:t>
            </w:r>
            <w:r>
              <w:rPr>
                <w:rFonts w:hint="default" w:ascii="Times New Roman" w:hAnsi="Times New Roman" w:eastAsia="宋体" w:cs="Times New Roman"/>
                <w:color w:val="auto"/>
                <w:spacing w:val="-4"/>
                <w:sz w:val="24"/>
                <w:szCs w:val="24"/>
                <w:highlight w:val="none"/>
                <w:lang w:eastAsia="zh-CN"/>
              </w:rPr>
              <w:t>柴油储罐采用</w:t>
            </w:r>
            <w:r>
              <w:rPr>
                <w:rFonts w:hint="default" w:ascii="Times New Roman" w:hAnsi="Times New Roman" w:eastAsia="宋体" w:cs="Times New Roman"/>
                <w:color w:val="auto"/>
                <w:spacing w:val="-4"/>
                <w:sz w:val="24"/>
                <w:szCs w:val="24"/>
                <w:highlight w:val="none"/>
                <w:lang w:val="en-US" w:eastAsia="zh-CN"/>
              </w:rPr>
              <w:t>卧式罐</w:t>
            </w:r>
            <w:r>
              <w:rPr>
                <w:rFonts w:hint="default" w:ascii="Times New Roman" w:hAnsi="Times New Roman" w:eastAsia="宋体" w:cs="Times New Roman"/>
                <w:color w:val="auto"/>
                <w:spacing w:val="-4"/>
                <w:sz w:val="24"/>
                <w:szCs w:val="24"/>
                <w:highlight w:val="none"/>
                <w:lang w:eastAsia="zh-CN"/>
              </w:rPr>
              <w:t>，井场内柴油罐容积为20m</w:t>
            </w:r>
            <w:r>
              <w:rPr>
                <w:rFonts w:hint="default" w:ascii="Times New Roman" w:hAnsi="Times New Roman" w:eastAsia="宋体" w:cs="Times New Roman"/>
                <w:color w:val="auto"/>
                <w:spacing w:val="-4"/>
                <w:sz w:val="24"/>
                <w:szCs w:val="24"/>
                <w:highlight w:val="none"/>
                <w:vertAlign w:val="superscript"/>
                <w:lang w:eastAsia="zh-CN"/>
              </w:rPr>
              <w:t>3</w:t>
            </w:r>
            <w:r>
              <w:rPr>
                <w:rFonts w:hint="default" w:ascii="Times New Roman" w:hAnsi="Times New Roman" w:eastAsia="宋体" w:cs="Times New Roman"/>
                <w:color w:val="auto"/>
                <w:spacing w:val="-4"/>
                <w:sz w:val="24"/>
                <w:szCs w:val="24"/>
                <w:highlight w:val="none"/>
                <w:lang w:eastAsia="zh-CN"/>
              </w:rPr>
              <w:t>，小于75m</w:t>
            </w:r>
            <w:r>
              <w:rPr>
                <w:rFonts w:hint="default" w:ascii="Times New Roman" w:hAnsi="Times New Roman" w:eastAsia="宋体" w:cs="Times New Roman"/>
                <w:color w:val="auto"/>
                <w:spacing w:val="-4"/>
                <w:sz w:val="24"/>
                <w:szCs w:val="24"/>
                <w:highlight w:val="none"/>
                <w:vertAlign w:val="superscript"/>
                <w:lang w:eastAsia="zh-CN"/>
              </w:rPr>
              <w:t>3</w:t>
            </w:r>
            <w:r>
              <w:rPr>
                <w:rFonts w:hint="default" w:ascii="Times New Roman" w:hAnsi="Times New Roman" w:eastAsia="宋体" w:cs="Times New Roman"/>
                <w:color w:val="auto"/>
                <w:spacing w:val="-4"/>
                <w:sz w:val="24"/>
                <w:szCs w:val="24"/>
                <w:highlight w:val="none"/>
                <w:lang w:eastAsia="zh-CN"/>
              </w:rPr>
              <w:t>，且柴油真实蒸气压小于27.6kPa，按照</w:t>
            </w:r>
            <w:r>
              <w:rPr>
                <w:rFonts w:hint="default" w:ascii="Times New Roman" w:hAnsi="Times New Roman" w:eastAsia="宋体" w:cs="Times New Roman"/>
                <w:color w:val="auto"/>
                <w:spacing w:val="-4"/>
                <w:sz w:val="24"/>
                <w:szCs w:val="24"/>
                <w:lang w:eastAsia="zh-CN"/>
              </w:rPr>
              <w:t>《挥发性有机物无组织排放控制标准》（GB37822-2019）中要求可不采取油罐烃蒸气回收措施。施工期应加强储罐的检修和维护，柴油储罐罐体应保持完好，不应有孔洞；储罐附件开口（孔），除采样、计量和例行检查、维护和其他正常活动外，应密闭；定期监测呼吸阀的定压是否符合设定要求</w:t>
            </w:r>
            <w:r>
              <w:rPr>
                <w:rFonts w:hint="default" w:ascii="Times New Roman" w:hAnsi="Times New Roman" w:eastAsia="宋体" w:cs="Times New Roman"/>
                <w:color w:val="auto"/>
                <w:sz w:val="24"/>
                <w:szCs w:val="24"/>
                <w:lang w:eastAsia="zh-CN"/>
              </w:rPr>
              <w:t>。</w:t>
            </w:r>
          </w:p>
          <w:p w14:paraId="44F46756">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⑦钻井岩屑暂存于罐中，及时转运。</w:t>
            </w:r>
          </w:p>
          <w:p w14:paraId="6F2D3651">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以上防治措施，简单可行，具有可操作性，施工扬尘影响能够减缓到可以接受的程度。</w:t>
            </w:r>
          </w:p>
          <w:bookmarkEnd w:id="26"/>
          <w:p w14:paraId="3489A6BB">
            <w:pPr>
              <w:widowControl/>
              <w:numPr>
                <w:ilvl w:val="0"/>
                <w:numId w:val="10"/>
              </w:numPr>
              <w:kinsoku/>
              <w:spacing w:line="500" w:lineRule="exact"/>
              <w:jc w:val="both"/>
              <w:rPr>
                <w:rFonts w:hint="default" w:ascii="Times New Roman" w:hAnsi="Times New Roman" w:eastAsia="宋体" w:cs="Times New Roman"/>
                <w:b/>
                <w:bCs/>
                <w:color w:val="auto"/>
                <w:sz w:val="24"/>
                <w:szCs w:val="24"/>
              </w:rPr>
            </w:pPr>
            <w:bookmarkStart w:id="27" w:name="_Hlk136795800"/>
            <w:r>
              <w:rPr>
                <w:rFonts w:hint="default" w:ascii="Times New Roman" w:hAnsi="Times New Roman" w:eastAsia="宋体" w:cs="Times New Roman"/>
                <w:b/>
                <w:bCs/>
                <w:color w:val="auto"/>
                <w:sz w:val="24"/>
                <w:szCs w:val="24"/>
              </w:rPr>
              <w:t>水污染防治措施</w:t>
            </w:r>
          </w:p>
          <w:p w14:paraId="1FCE1D97">
            <w:pPr>
              <w:widowControl/>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4.1生活污水</w:t>
            </w:r>
          </w:p>
          <w:p w14:paraId="4151F289">
            <w:pPr>
              <w:widowControl/>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4.1.1生活污水基本情况及其去向</w:t>
            </w:r>
          </w:p>
          <w:p w14:paraId="7FD252F3">
            <w:pPr>
              <w:widowControl w:val="0"/>
              <w:kinsoku/>
              <w:spacing w:line="500" w:lineRule="exact"/>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eastAsia="zh-CN"/>
              </w:rPr>
              <w:t>施工期生活污水产生</w:t>
            </w:r>
            <w:r>
              <w:rPr>
                <w:rFonts w:hint="default" w:ascii="Times New Roman" w:hAnsi="Times New Roman" w:eastAsia="宋体" w:cs="Times New Roman"/>
                <w:color w:val="auto"/>
                <w:sz w:val="24"/>
                <w:szCs w:val="24"/>
                <w:highlight w:val="none"/>
                <w:lang w:eastAsia="zh-CN"/>
              </w:rPr>
              <w:t>量约</w:t>
            </w:r>
            <w:r>
              <w:rPr>
                <w:rFonts w:hint="default" w:ascii="Times New Roman" w:hAnsi="Times New Roman" w:eastAsia="宋体" w:cs="Times New Roman"/>
                <w:color w:val="auto"/>
                <w:sz w:val="24"/>
                <w:szCs w:val="24"/>
                <w:highlight w:val="none"/>
                <w:lang w:val="en-US" w:eastAsia="zh-CN"/>
              </w:rPr>
              <w:t>576</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1"/>
                <w:sz w:val="24"/>
                <w:szCs w:val="24"/>
                <w:highlight w:val="none"/>
                <w:lang w:eastAsia="zh-CN"/>
              </w:rPr>
              <w:t>排入</w:t>
            </w:r>
            <w:r>
              <w:rPr>
                <w:rFonts w:hint="eastAsia" w:ascii="Times New Roman" w:hAnsi="Times New Roman" w:eastAsia="宋体" w:cs="Times New Roman"/>
                <w:color w:val="auto"/>
                <w:spacing w:val="-1"/>
                <w:sz w:val="24"/>
                <w:szCs w:val="24"/>
                <w:highlight w:val="none"/>
                <w:lang w:eastAsia="zh-CN"/>
              </w:rPr>
              <w:t>防渗收集池</w:t>
            </w:r>
            <w:r>
              <w:rPr>
                <w:rFonts w:hint="default" w:ascii="Times New Roman" w:hAnsi="Times New Roman" w:eastAsia="宋体" w:cs="Times New Roman"/>
                <w:color w:val="auto"/>
                <w:spacing w:val="-1"/>
                <w:sz w:val="24"/>
                <w:szCs w:val="24"/>
                <w:highlight w:val="none"/>
                <w:lang w:eastAsia="zh-CN"/>
              </w:rPr>
              <w:t>暂存</w:t>
            </w:r>
            <w:r>
              <w:rPr>
                <w:rFonts w:hint="default" w:ascii="Times New Roman" w:hAnsi="Times New Roman" w:eastAsia="宋体" w:cs="Times New Roman"/>
                <w:color w:val="auto"/>
                <w:sz w:val="24"/>
                <w:szCs w:val="24"/>
                <w:highlight w:val="none"/>
                <w:lang w:eastAsia="zh-CN"/>
              </w:rPr>
              <w:t>，定期由施工队采用密闭式吸污罐车抽出后运至</w:t>
            </w:r>
            <w:r>
              <w:rPr>
                <w:rFonts w:hint="eastAsia" w:ascii="Times New Roman" w:hAnsi="Times New Roman" w:eastAsia="宋体" w:cs="Times New Roman"/>
                <w:color w:val="auto"/>
                <w:sz w:val="24"/>
                <w:szCs w:val="24"/>
                <w:highlight w:val="none"/>
                <w:lang w:val="en-US" w:eastAsia="zh-CN"/>
              </w:rPr>
              <w:t>吉木萨尔县</w:t>
            </w:r>
            <w:r>
              <w:rPr>
                <w:rFonts w:hint="default" w:ascii="Times New Roman" w:hAnsi="Times New Roman" w:eastAsia="宋体" w:cs="Times New Roman"/>
                <w:color w:val="auto"/>
                <w:sz w:val="24"/>
                <w:szCs w:val="24"/>
                <w:highlight w:val="none"/>
                <w:lang w:eastAsia="zh-CN"/>
              </w:rPr>
              <w:t>市政污水处理厂处理。</w:t>
            </w:r>
          </w:p>
          <w:p w14:paraId="05254986">
            <w:pPr>
              <w:widowControl/>
              <w:kinsoku/>
              <w:spacing w:line="500" w:lineRule="exact"/>
              <w:jc w:val="both"/>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4.1.</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市政污水处理厂的依托可行性分析</w:t>
            </w:r>
          </w:p>
          <w:p w14:paraId="176309B4">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本项目生活污水经收集后由拉运至吉木萨尔县污水处理厂。吉木萨尔县污水处理厂工程位于吉木萨尔县城东北15km处（张家庄子村北500m）。设计规模为处理污水量3万m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/d处理设施，实际建设规模为处理污水量1万m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/d。污水处理工艺采用“强化脱氮改良A</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/O+絮凝沉淀滤布滤池工艺”，污泥处理工艺采用带式压榨脱水一体机浓缩脱水，消毒工艺采用紫外线消毒。项目处理能力1万m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/d，目前试运行中实际处理量在0.6～0.7万m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尾水输入北部荒漠地带做生态林用水。吉木萨尔县污水处理厂由新疆绿格洁瑞环境检测技术有限公司进行验收，验收监测期间，尾水排放浓度符合《城镇污水处理厂污染物排放标准》（GB18918-2002）中的一级A标准的要求。本项目施工期生活污水量</w:t>
            </w:r>
            <w:r>
              <w:rPr>
                <w:rFonts w:hint="default" w:ascii="Times New Roman" w:hAnsi="Times New Roman" w:eastAsia="宋体" w:cs="Times New Roman"/>
                <w:color w:val="auto"/>
                <w:sz w:val="24"/>
                <w:szCs w:val="24"/>
                <w:highlight w:val="none"/>
                <w:lang w:val="en-US" w:eastAsia="zh-CN"/>
              </w:rPr>
              <w:t>总共为576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，吉木萨尔县污水处理厂剩余处理能力0.3～0.4万m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/d，可以满足本工程施工期生活污水处理需求。</w:t>
            </w:r>
          </w:p>
          <w:p w14:paraId="59C02142">
            <w:pPr>
              <w:widowControl w:val="0"/>
              <w:kinsoku/>
              <w:spacing w:line="500" w:lineRule="exact"/>
              <w:jc w:val="both"/>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4.2试油废水</w:t>
            </w:r>
          </w:p>
          <w:p w14:paraId="3AC8B99F">
            <w:pPr>
              <w:widowControl w:val="0"/>
              <w:kinsoku/>
              <w:spacing w:line="500" w:lineRule="exact"/>
              <w:jc w:val="both"/>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4.2.1试油废水基本情况及其去向</w:t>
            </w:r>
          </w:p>
          <w:p w14:paraId="4185CEAC">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lang w:eastAsia="zh-CN"/>
              </w:rPr>
              <w:t>试油期产生的洗井废水和压裂返排液产生量</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150m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，为由专用</w:t>
            </w:r>
            <w:r>
              <w:rPr>
                <w:rFonts w:hint="default" w:ascii="Times New Roman" w:hAnsi="Times New Roman" w:eastAsia="宋体" w:cs="Times New Roman"/>
                <w:color w:val="auto"/>
                <w:sz w:val="24"/>
                <w:szCs w:val="24"/>
                <w:lang w:eastAsia="zh-CN"/>
              </w:rPr>
              <w:t>方罐收集后，拉运至</w:t>
            </w:r>
            <w:r>
              <w:rPr>
                <w:rFonts w:hint="default" w:ascii="Times New Roman" w:hAnsi="Times New Roman" w:eastAsia="宋体" w:cs="Times New Roman"/>
                <w:color w:val="auto"/>
                <w:sz w:val="24"/>
                <w:szCs w:val="24"/>
                <w:lang w:val="en-US" w:eastAsia="zh-CN"/>
              </w:rPr>
              <w:t>吉</w:t>
            </w:r>
            <w:r>
              <w:rPr>
                <w:rFonts w:hint="eastAsia" w:ascii="Times New Roman" w:hAnsi="Times New Roman" w:eastAsia="宋体" w:cs="Times New Roman"/>
                <w:color w:val="auto"/>
                <w:sz w:val="24"/>
                <w:szCs w:val="24"/>
                <w:lang w:val="en-US" w:eastAsia="zh-CN"/>
              </w:rPr>
              <w:t>28</w:t>
            </w:r>
            <w:r>
              <w:rPr>
                <w:rFonts w:hint="default" w:ascii="Times New Roman" w:hAnsi="Times New Roman" w:eastAsia="宋体" w:cs="Times New Roman"/>
                <w:color w:val="auto"/>
                <w:sz w:val="24"/>
                <w:szCs w:val="24"/>
                <w:lang w:eastAsia="zh-CN"/>
              </w:rPr>
              <w:t>脱水站进行处理，处理达标后全部回注，不外排。</w:t>
            </w:r>
          </w:p>
          <w:p w14:paraId="46AEE43E">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4.2.2吉28脱水站的依托可行性分析</w:t>
            </w:r>
          </w:p>
          <w:p w14:paraId="1DFB22E0">
            <w:pPr>
              <w:pStyle w:val="23"/>
              <w:widowControl w:val="0"/>
              <w:kinsoku/>
              <w:spacing w:line="360" w:lineRule="auto"/>
              <w:ind w:firstLine="476"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吉28脱水站采出水处理系统设计处理能力为1</w:t>
            </w:r>
            <w:r>
              <w:rPr>
                <w:rFonts w:hint="eastAsia" w:ascii="Times New Roman" w:hAnsi="Times New Roman" w:cs="Times New Roman"/>
                <w:color w:val="auto"/>
                <w:spacing w:val="-1"/>
                <w:sz w:val="24"/>
                <w:szCs w:val="24"/>
                <w:highlight w:val="none"/>
                <w:lang w:val="en-US" w:eastAsia="zh-CN"/>
              </w:rPr>
              <w:t>2</w:t>
            </w:r>
            <w:r>
              <w:rPr>
                <w:rFonts w:ascii="Times New Roman" w:hAnsi="Times New Roman" w:cs="Times New Roman"/>
                <w:color w:val="auto"/>
                <w:spacing w:val="-1"/>
                <w:sz w:val="24"/>
                <w:szCs w:val="24"/>
                <w:highlight w:val="none"/>
                <w:lang w:eastAsia="zh-CN"/>
              </w:rPr>
              <w:t>00m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d，采用“重力沉降除油+微涡旋絮凝反应沉降+多介质过滤器、纤维束过滤器双料过滤处理技术”处理工艺。出水水质达到《碎屑岩油藏注水水质指标及分析方法》（SY/T5329-2022）要求后，进入注水系统回注油层。目前采出水处理系统实际处理能力为1</w:t>
            </w:r>
            <w:r>
              <w:rPr>
                <w:rFonts w:hint="eastAsia" w:ascii="Times New Roman" w:hAnsi="Times New Roman" w:cs="Times New Roman"/>
                <w:color w:val="auto"/>
                <w:spacing w:val="-1"/>
                <w:sz w:val="24"/>
                <w:szCs w:val="24"/>
                <w:highlight w:val="none"/>
                <w:lang w:val="en-US" w:eastAsia="zh-CN"/>
              </w:rPr>
              <w:t>2</w:t>
            </w:r>
            <w:r>
              <w:rPr>
                <w:rFonts w:ascii="Times New Roman" w:hAnsi="Times New Roman" w:cs="Times New Roman"/>
                <w:color w:val="auto"/>
                <w:spacing w:val="-1"/>
                <w:sz w:val="24"/>
                <w:szCs w:val="24"/>
                <w:highlight w:val="none"/>
                <w:lang w:eastAsia="zh-CN"/>
              </w:rPr>
              <w:t>00m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/d，富余处理量为</w:t>
            </w:r>
            <w:r>
              <w:rPr>
                <w:rFonts w:hint="eastAsia" w:ascii="Times New Roman" w:hAnsi="Times New Roman" w:cs="Times New Roman"/>
                <w:color w:val="auto"/>
                <w:spacing w:val="-1"/>
                <w:sz w:val="24"/>
                <w:szCs w:val="24"/>
                <w:highlight w:val="none"/>
                <w:lang w:val="en-US" w:eastAsia="zh-CN"/>
              </w:rPr>
              <w:t>6</w:t>
            </w:r>
            <w:r>
              <w:rPr>
                <w:rFonts w:ascii="Times New Roman" w:hAnsi="Times New Roman" w:cs="Times New Roman"/>
                <w:color w:val="auto"/>
                <w:spacing w:val="-1"/>
                <w:sz w:val="24"/>
                <w:szCs w:val="24"/>
                <w:highlight w:val="none"/>
                <w:lang w:eastAsia="zh-CN"/>
              </w:rPr>
              <w:t>00m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/d，试油期间洗井废水产生量约150m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，压裂返排液产生量约</w:t>
            </w:r>
            <w:r>
              <w:rPr>
                <w:rFonts w:hint="eastAsia" w:ascii="Times New Roman" w:hAnsi="Times New Roman" w:cs="Times New Roman"/>
                <w:color w:val="auto"/>
                <w:spacing w:val="-1"/>
                <w:sz w:val="24"/>
                <w:szCs w:val="24"/>
                <w:highlight w:val="none"/>
                <w:lang w:val="en-US" w:eastAsia="zh-CN"/>
              </w:rPr>
              <w:t>5</w:t>
            </w:r>
            <w:r>
              <w:rPr>
                <w:rFonts w:ascii="Times New Roman" w:hAnsi="Times New Roman" w:cs="Times New Roman"/>
                <w:color w:val="auto"/>
                <w:spacing w:val="-1"/>
                <w:sz w:val="24"/>
                <w:szCs w:val="24"/>
                <w:highlight w:val="none"/>
                <w:lang w:eastAsia="zh-CN"/>
              </w:rPr>
              <w:t>000m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，定期拉运至吉28脱水站进行处理。吉28脱水站采出水处理系统余量可满足本工程试油废水处理需求，依托可行。</w:t>
            </w:r>
          </w:p>
          <w:p w14:paraId="397B8DF9">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4.3废水运输至吉28脱水站处理后回注的保障性措施</w:t>
            </w:r>
          </w:p>
          <w:p w14:paraId="6C9BC4CC">
            <w:pPr>
              <w:widowControl/>
              <w:kinsoku/>
              <w:spacing w:line="360" w:lineRule="auto"/>
              <w:ind w:left="39" w:right="33" w:firstLine="496"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pacing w:val="4"/>
                <w:sz w:val="24"/>
                <w:szCs w:val="24"/>
                <w:highlight w:val="none"/>
                <w:lang w:eastAsia="zh-CN"/>
              </w:rPr>
              <w:t>据《关于进一步加强石油天然气行业环境影响评价管理的通知》（环办环评函</w:t>
            </w:r>
            <w:r>
              <w:rPr>
                <w:rFonts w:ascii="Times New Roman" w:hAnsi="Times New Roman" w:eastAsia="宋体" w:cs="Times New Roman"/>
                <w:color w:val="auto"/>
                <w:spacing w:val="-4"/>
                <w:sz w:val="24"/>
                <w:szCs w:val="24"/>
                <w:highlight w:val="none"/>
                <w:lang w:eastAsia="zh-CN"/>
              </w:rPr>
              <w:t>〔</w:t>
            </w:r>
            <w:r>
              <w:rPr>
                <w:rFonts w:ascii="Times New Roman" w:hAnsi="Times New Roman" w:eastAsia="Times New Roman" w:cs="Times New Roman"/>
                <w:color w:val="auto"/>
                <w:spacing w:val="-4"/>
                <w:sz w:val="24"/>
                <w:szCs w:val="24"/>
                <w:highlight w:val="none"/>
                <w:lang w:eastAsia="zh-CN"/>
              </w:rPr>
              <w:t>2019</w:t>
            </w:r>
            <w:r>
              <w:rPr>
                <w:rFonts w:ascii="Times New Roman" w:hAnsi="Times New Roman" w:eastAsia="宋体" w:cs="Times New Roman"/>
                <w:color w:val="auto"/>
                <w:spacing w:val="-4"/>
                <w:sz w:val="24"/>
                <w:szCs w:val="24"/>
                <w:highlight w:val="none"/>
                <w:lang w:eastAsia="zh-CN"/>
              </w:rPr>
              <w:t>〕</w:t>
            </w:r>
            <w:r>
              <w:rPr>
                <w:rFonts w:ascii="Times New Roman" w:hAnsi="Times New Roman" w:eastAsia="Times New Roman" w:cs="Times New Roman"/>
                <w:color w:val="auto"/>
                <w:spacing w:val="-4"/>
                <w:sz w:val="24"/>
                <w:szCs w:val="24"/>
                <w:highlight w:val="none"/>
                <w:lang w:eastAsia="zh-CN"/>
              </w:rPr>
              <w:t>910</w:t>
            </w:r>
            <w:r>
              <w:rPr>
                <w:rFonts w:ascii="Times New Roman" w:hAnsi="Times New Roman" w:eastAsia="宋体" w:cs="Times New Roman"/>
                <w:color w:val="auto"/>
                <w:spacing w:val="-4"/>
                <w:sz w:val="24"/>
                <w:szCs w:val="24"/>
                <w:highlight w:val="none"/>
                <w:lang w:eastAsia="zh-CN"/>
              </w:rPr>
              <w:t>号）要求：“涉及废水回注的，应当论证回注的环境可行性，采取切实可</w:t>
            </w:r>
            <w:r>
              <w:rPr>
                <w:rFonts w:ascii="Times New Roman" w:hAnsi="Times New Roman" w:eastAsia="宋体" w:cs="Times New Roman"/>
                <w:color w:val="auto"/>
                <w:spacing w:val="5"/>
                <w:sz w:val="24"/>
                <w:szCs w:val="24"/>
                <w:highlight w:val="none"/>
                <w:lang w:eastAsia="zh-CN"/>
              </w:rPr>
              <w:t>行的地下水污染防治和监控措施，不得回注与油气开采无关的</w:t>
            </w:r>
            <w:r>
              <w:rPr>
                <w:rFonts w:ascii="Times New Roman" w:hAnsi="Times New Roman" w:eastAsia="宋体" w:cs="Times New Roman"/>
                <w:color w:val="auto"/>
                <w:spacing w:val="4"/>
                <w:sz w:val="24"/>
                <w:szCs w:val="24"/>
                <w:highlight w:val="none"/>
                <w:lang w:eastAsia="zh-CN"/>
              </w:rPr>
              <w:t>废水，严禁造成地下水</w:t>
            </w:r>
            <w:r>
              <w:rPr>
                <w:rFonts w:ascii="Times New Roman" w:hAnsi="Times New Roman" w:eastAsia="宋体" w:cs="Times New Roman"/>
                <w:color w:val="auto"/>
                <w:spacing w:val="5"/>
                <w:sz w:val="24"/>
                <w:szCs w:val="24"/>
                <w:highlight w:val="none"/>
                <w:lang w:eastAsia="zh-CN"/>
              </w:rPr>
              <w:t>污染。在相关行业污染控制标准发布前，回注的开采废水应当</w:t>
            </w:r>
            <w:r>
              <w:rPr>
                <w:rFonts w:ascii="Times New Roman" w:hAnsi="Times New Roman" w:eastAsia="宋体" w:cs="Times New Roman"/>
                <w:color w:val="auto"/>
                <w:spacing w:val="4"/>
                <w:sz w:val="24"/>
                <w:szCs w:val="24"/>
                <w:highlight w:val="none"/>
                <w:lang w:eastAsia="zh-CN"/>
              </w:rPr>
              <w:t>经处理并符合《碎屑岩</w:t>
            </w:r>
            <w:r>
              <w:rPr>
                <w:rFonts w:ascii="Times New Roman" w:hAnsi="Times New Roman" w:eastAsia="宋体" w:cs="Times New Roman"/>
                <w:color w:val="auto"/>
                <w:spacing w:val="-2"/>
                <w:sz w:val="24"/>
                <w:szCs w:val="24"/>
                <w:highlight w:val="none"/>
                <w:lang w:eastAsia="zh-CN"/>
              </w:rPr>
              <w:t>油藏注水水质推荐指标及分析方法》（</w:t>
            </w:r>
            <w:r>
              <w:rPr>
                <w:rFonts w:ascii="Times New Roman" w:hAnsi="Times New Roman" w:eastAsia="Times New Roman" w:cs="Times New Roman"/>
                <w:color w:val="auto"/>
                <w:spacing w:val="-2"/>
                <w:sz w:val="24"/>
                <w:szCs w:val="24"/>
                <w:highlight w:val="none"/>
                <w:lang w:eastAsia="zh-CN"/>
              </w:rPr>
              <w:t>SY/T</w:t>
            </w:r>
            <w:r>
              <w:rPr>
                <w:rFonts w:ascii="Times New Roman" w:hAnsi="Times New Roman" w:eastAsia="Times New Roman" w:cs="Times New Roman"/>
                <w:color w:val="auto"/>
                <w:spacing w:val="-3"/>
                <w:sz w:val="24"/>
                <w:szCs w:val="24"/>
                <w:highlight w:val="none"/>
                <w:lang w:eastAsia="zh-CN"/>
              </w:rPr>
              <w:t>5329</w:t>
            </w:r>
            <w:r>
              <w:rPr>
                <w:rFonts w:ascii="Times New Roman" w:hAnsi="Times New Roman" w:cs="Times New Roman"/>
                <w:color w:val="auto"/>
                <w:spacing w:val="-1"/>
                <w:sz w:val="24"/>
                <w:szCs w:val="24"/>
                <w:highlight w:val="none"/>
                <w:lang w:eastAsia="zh-CN"/>
              </w:rPr>
              <w:t>-2022</w:t>
            </w:r>
            <w:r>
              <w:rPr>
                <w:rFonts w:ascii="Times New Roman" w:hAnsi="Times New Roman" w:eastAsia="宋体" w:cs="Times New Roman"/>
                <w:color w:val="auto"/>
                <w:spacing w:val="-3"/>
                <w:sz w:val="24"/>
                <w:szCs w:val="24"/>
                <w:highlight w:val="none"/>
                <w:lang w:eastAsia="zh-CN"/>
              </w:rPr>
              <w:t>）</w:t>
            </w:r>
            <w:r>
              <w:rPr>
                <w:rFonts w:hint="eastAsia" w:ascii="宋体" w:hAnsi="宋体" w:eastAsia="宋体" w:cs="宋体"/>
                <w:color w:val="auto"/>
                <w:spacing w:val="-1"/>
                <w:sz w:val="24"/>
                <w:szCs w:val="24"/>
                <w:highlight w:val="none"/>
                <w:lang w:eastAsia="zh-CN"/>
              </w:rPr>
              <w:t>中Ⅲ级</w:t>
            </w:r>
            <w:r>
              <w:rPr>
                <w:rFonts w:ascii="Times New Roman" w:hAnsi="Times New Roman" w:eastAsia="宋体" w:cs="Times New Roman"/>
                <w:color w:val="auto"/>
                <w:spacing w:val="-3"/>
                <w:sz w:val="24"/>
                <w:szCs w:val="24"/>
                <w:highlight w:val="none"/>
                <w:lang w:eastAsia="zh-CN"/>
              </w:rPr>
              <w:t>标准要求后回注，同步采取切</w:t>
            </w:r>
            <w:r>
              <w:rPr>
                <w:rFonts w:ascii="Times New Roman" w:hAnsi="Times New Roman" w:eastAsia="宋体" w:cs="Times New Roman"/>
                <w:color w:val="auto"/>
                <w:spacing w:val="5"/>
                <w:sz w:val="24"/>
                <w:szCs w:val="24"/>
                <w:highlight w:val="none"/>
                <w:lang w:eastAsia="zh-CN"/>
              </w:rPr>
              <w:t>实可行措施防治污染。回注目的层应当为地质构造封闭地层，</w:t>
            </w:r>
            <w:r>
              <w:rPr>
                <w:rFonts w:ascii="Times New Roman" w:hAnsi="Times New Roman" w:eastAsia="宋体" w:cs="Times New Roman"/>
                <w:color w:val="auto"/>
                <w:spacing w:val="4"/>
                <w:sz w:val="24"/>
                <w:szCs w:val="24"/>
                <w:highlight w:val="none"/>
                <w:lang w:eastAsia="zh-CN"/>
              </w:rPr>
              <w:t>一般应当回注到现役油</w:t>
            </w:r>
            <w:r>
              <w:rPr>
                <w:rFonts w:ascii="Times New Roman" w:hAnsi="Times New Roman" w:eastAsia="宋体" w:cs="Times New Roman"/>
                <w:color w:val="auto"/>
                <w:spacing w:val="-1"/>
                <w:sz w:val="24"/>
                <w:szCs w:val="24"/>
                <w:highlight w:val="none"/>
                <w:lang w:eastAsia="zh-CN"/>
              </w:rPr>
              <w:t>气藏或枯竭废弃油气藏”。</w:t>
            </w:r>
          </w:p>
          <w:p w14:paraId="230DBFA7">
            <w:pPr>
              <w:widowControl/>
              <w:kinsoku/>
              <w:spacing w:line="360" w:lineRule="auto"/>
              <w:ind w:left="37" w:right="26" w:firstLine="500" w:firstLineChars="200"/>
              <w:jc w:val="both"/>
              <w:rPr>
                <w:rFonts w:hint="default" w:ascii="Times New Roman" w:hAnsi="Times New Roman" w:eastAsia="宋体" w:cs="Times New Roman"/>
                <w:color w:val="auto"/>
                <w:sz w:val="24"/>
                <w:szCs w:val="24"/>
                <w:highlight w:val="none"/>
              </w:rPr>
            </w:pPr>
            <w:r>
              <w:rPr>
                <w:rFonts w:ascii="Times New Roman" w:hAnsi="Times New Roman" w:eastAsia="宋体" w:cs="Times New Roman"/>
                <w:color w:val="auto"/>
                <w:spacing w:val="5"/>
                <w:sz w:val="24"/>
                <w:szCs w:val="24"/>
                <w:highlight w:val="none"/>
                <w:lang w:eastAsia="zh-CN"/>
              </w:rPr>
              <w:t>本项目回注的采出水经吉28脱水站一体化污水撬装装置处理达到《碎屑岩油藏注</w:t>
            </w:r>
            <w:r>
              <w:rPr>
                <w:rFonts w:ascii="Times New Roman" w:hAnsi="Times New Roman" w:eastAsia="宋体" w:cs="Times New Roman"/>
                <w:color w:val="auto"/>
                <w:spacing w:val="2"/>
                <w:sz w:val="24"/>
                <w:szCs w:val="24"/>
                <w:highlight w:val="none"/>
                <w:lang w:eastAsia="zh-CN"/>
              </w:rPr>
              <w:t>水水质指标技术要求及分析方法》（</w:t>
            </w:r>
            <w:r>
              <w:rPr>
                <w:rFonts w:ascii="Times New Roman" w:hAnsi="Times New Roman" w:eastAsia="Times New Roman" w:cs="Times New Roman"/>
                <w:color w:val="auto"/>
                <w:sz w:val="24"/>
                <w:szCs w:val="24"/>
                <w:highlight w:val="none"/>
                <w:lang w:eastAsia="zh-CN"/>
              </w:rPr>
              <w:t>SY</w:t>
            </w:r>
            <w:r>
              <w:rPr>
                <w:rFonts w:ascii="Times New Roman" w:hAnsi="Times New Roman" w:eastAsia="Times New Roman" w:cs="Times New Roman"/>
                <w:color w:val="auto"/>
                <w:spacing w:val="2"/>
                <w:sz w:val="24"/>
                <w:szCs w:val="24"/>
                <w:highlight w:val="none"/>
                <w:lang w:eastAsia="zh-CN"/>
              </w:rPr>
              <w:t>/T5329</w:t>
            </w:r>
            <w:r>
              <w:rPr>
                <w:rFonts w:ascii="Times New Roman" w:hAnsi="Times New Roman" w:eastAsia="Times New Roman" w:cs="Times New Roman"/>
                <w:color w:val="auto"/>
                <w:spacing w:val="1"/>
                <w:sz w:val="24"/>
                <w:szCs w:val="24"/>
                <w:highlight w:val="none"/>
                <w:lang w:eastAsia="zh-CN"/>
              </w:rPr>
              <w:t>-2022</w:t>
            </w:r>
            <w:r>
              <w:rPr>
                <w:rFonts w:ascii="Times New Roman" w:hAnsi="Times New Roman" w:eastAsia="宋体" w:cs="Times New Roman"/>
                <w:color w:val="auto"/>
                <w:spacing w:val="1"/>
                <w:sz w:val="24"/>
                <w:szCs w:val="24"/>
                <w:highlight w:val="none"/>
                <w:lang w:eastAsia="zh-CN"/>
              </w:rPr>
              <w:t>）</w:t>
            </w:r>
            <w:r>
              <w:rPr>
                <w:rFonts w:hint="eastAsia" w:ascii="宋体" w:hAnsi="宋体" w:eastAsia="宋体" w:cs="宋体"/>
                <w:color w:val="auto"/>
                <w:spacing w:val="-1"/>
                <w:sz w:val="24"/>
                <w:szCs w:val="24"/>
                <w:highlight w:val="none"/>
                <w:lang w:eastAsia="zh-CN"/>
              </w:rPr>
              <w:t>中Ⅲ级</w:t>
            </w:r>
            <w:r>
              <w:rPr>
                <w:rFonts w:ascii="Times New Roman" w:hAnsi="Times New Roman" w:eastAsia="宋体" w:cs="Times New Roman"/>
                <w:color w:val="auto"/>
                <w:spacing w:val="1"/>
                <w:sz w:val="24"/>
                <w:szCs w:val="24"/>
                <w:highlight w:val="none"/>
                <w:lang w:eastAsia="zh-CN"/>
              </w:rPr>
              <w:t>标准要求，根据建设单位提供的</w:t>
            </w:r>
            <w:r>
              <w:rPr>
                <w:rFonts w:ascii="Times New Roman" w:hAnsi="Times New Roman" w:eastAsia="宋体" w:cs="Times New Roman"/>
                <w:color w:val="auto"/>
                <w:spacing w:val="5"/>
                <w:sz w:val="24"/>
                <w:szCs w:val="24"/>
                <w:highlight w:val="none"/>
                <w:lang w:eastAsia="zh-CN"/>
              </w:rPr>
              <w:t>开发利用方案，回注层系与本次拟开发含油层位于同一层系，属于</w:t>
            </w:r>
            <w:r>
              <w:rPr>
                <w:rFonts w:ascii="Times New Roman" w:hAnsi="Times New Roman" w:eastAsia="宋体" w:cs="Times New Roman"/>
                <w:color w:val="auto"/>
                <w:spacing w:val="4"/>
                <w:sz w:val="24"/>
                <w:szCs w:val="24"/>
                <w:highlight w:val="none"/>
                <w:lang w:eastAsia="zh-CN"/>
              </w:rPr>
              <w:t>现役油藏，地质构</w:t>
            </w:r>
            <w:r>
              <w:rPr>
                <w:rFonts w:ascii="Times New Roman" w:hAnsi="Times New Roman" w:eastAsia="宋体" w:cs="Times New Roman"/>
                <w:color w:val="auto"/>
                <w:spacing w:val="1"/>
                <w:sz w:val="24"/>
                <w:szCs w:val="24"/>
                <w:highlight w:val="none"/>
                <w:lang w:eastAsia="zh-CN"/>
              </w:rPr>
              <w:t xml:space="preserve">造封闭，回注深度可达到 </w:t>
            </w:r>
            <w:r>
              <w:rPr>
                <w:rFonts w:ascii="Times New Roman" w:hAnsi="Times New Roman" w:eastAsia="Times New Roman" w:cs="Times New Roman"/>
                <w:color w:val="auto"/>
                <w:spacing w:val="1"/>
                <w:sz w:val="24"/>
                <w:szCs w:val="24"/>
                <w:highlight w:val="none"/>
                <w:lang w:eastAsia="zh-CN"/>
              </w:rPr>
              <w:t>3500m~3800m</w:t>
            </w:r>
            <w:r>
              <w:rPr>
                <w:rFonts w:ascii="Times New Roman" w:hAnsi="Times New Roman" w:eastAsia="宋体" w:cs="Times New Roman"/>
                <w:color w:val="auto"/>
                <w:spacing w:val="1"/>
                <w:sz w:val="24"/>
                <w:szCs w:val="24"/>
                <w:highlight w:val="none"/>
                <w:lang w:eastAsia="zh-CN"/>
              </w:rPr>
              <w:t>，回注油层与地下水处于不同层系，远远超出</w:t>
            </w:r>
            <w:r>
              <w:rPr>
                <w:rFonts w:ascii="Times New Roman" w:hAnsi="Times New Roman" w:eastAsia="宋体" w:cs="Times New Roman"/>
                <w:color w:val="auto"/>
                <w:spacing w:val="5"/>
                <w:sz w:val="24"/>
                <w:szCs w:val="24"/>
                <w:highlight w:val="none"/>
                <w:lang w:eastAsia="zh-CN"/>
              </w:rPr>
              <w:t>含水层的深度。本项目采取了切实可行的地下水污染防治措施，</w:t>
            </w:r>
            <w:r>
              <w:rPr>
                <w:rFonts w:ascii="Times New Roman" w:hAnsi="Times New Roman" w:eastAsia="宋体" w:cs="Times New Roman"/>
                <w:color w:val="auto"/>
                <w:spacing w:val="4"/>
                <w:sz w:val="24"/>
                <w:szCs w:val="24"/>
                <w:highlight w:val="none"/>
                <w:lang w:eastAsia="zh-CN"/>
              </w:rPr>
              <w:t>在钻井过程中对潜水</w:t>
            </w:r>
            <w:r>
              <w:rPr>
                <w:rFonts w:ascii="Times New Roman" w:hAnsi="Times New Roman" w:eastAsia="宋体" w:cs="Times New Roman"/>
                <w:color w:val="auto"/>
                <w:spacing w:val="5"/>
                <w:sz w:val="24"/>
                <w:szCs w:val="24"/>
                <w:highlight w:val="none"/>
                <w:lang w:eastAsia="zh-CN"/>
              </w:rPr>
              <w:t>所在的地层进行了水泥浆固井，固井深度远远超过了承压水埋深</w:t>
            </w:r>
            <w:r>
              <w:rPr>
                <w:rFonts w:ascii="Times New Roman" w:hAnsi="Times New Roman" w:eastAsia="宋体" w:cs="Times New Roman"/>
                <w:color w:val="auto"/>
                <w:spacing w:val="4"/>
                <w:sz w:val="24"/>
                <w:szCs w:val="24"/>
                <w:highlight w:val="none"/>
                <w:lang w:eastAsia="zh-CN"/>
              </w:rPr>
              <w:t>，可以确保井壁不会</w:t>
            </w:r>
            <w:r>
              <w:rPr>
                <w:rFonts w:ascii="Times New Roman" w:hAnsi="Times New Roman" w:eastAsia="宋体" w:cs="Times New Roman"/>
                <w:color w:val="auto"/>
                <w:spacing w:val="5"/>
                <w:sz w:val="24"/>
                <w:szCs w:val="24"/>
                <w:highlight w:val="none"/>
                <w:lang w:eastAsia="zh-CN"/>
              </w:rPr>
              <w:t>发生侧漏，有效隔离含水层与井内回注水的交换，有效保护地下</w:t>
            </w:r>
            <w:r>
              <w:rPr>
                <w:rFonts w:ascii="Times New Roman" w:hAnsi="Times New Roman" w:eastAsia="宋体" w:cs="Times New Roman"/>
                <w:color w:val="auto"/>
                <w:spacing w:val="4"/>
                <w:sz w:val="24"/>
                <w:szCs w:val="24"/>
                <w:highlight w:val="none"/>
                <w:lang w:eastAsia="zh-CN"/>
              </w:rPr>
              <w:t>水层。</w:t>
            </w:r>
          </w:p>
          <w:bookmarkEnd w:id="27"/>
          <w:p w14:paraId="6875A032">
            <w:pPr>
              <w:widowControl/>
              <w:tabs>
                <w:tab w:val="left" w:pos="4584"/>
              </w:tabs>
              <w:kinsoku/>
              <w:spacing w:line="500" w:lineRule="exact"/>
              <w:jc w:val="both"/>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5.地下水和土壤环境保护措施</w:t>
            </w:r>
          </w:p>
          <w:p w14:paraId="038F9C7F">
            <w:pPr>
              <w:widowControl/>
              <w:tabs>
                <w:tab w:val="left" w:pos="4584"/>
              </w:tabs>
              <w:kinsoku/>
              <w:spacing w:line="500" w:lineRule="exact"/>
              <w:ind w:firstLine="464" w:firstLineChars="200"/>
              <w:jc w:val="both"/>
              <w:rPr>
                <w:rFonts w:hint="default" w:ascii="Times New Roman" w:hAnsi="Times New Roman" w:eastAsia="宋体" w:cs="Times New Roman"/>
                <w:color w:val="auto"/>
                <w:spacing w:val="-4"/>
                <w:sz w:val="24"/>
                <w:szCs w:val="24"/>
                <w:lang w:eastAsia="zh-CN"/>
              </w:rPr>
            </w:pPr>
            <w:r>
              <w:rPr>
                <w:rFonts w:hint="default" w:ascii="Times New Roman" w:hAnsi="Times New Roman" w:eastAsia="宋体" w:cs="Times New Roman"/>
                <w:color w:val="auto"/>
                <w:spacing w:val="-4"/>
                <w:sz w:val="24"/>
                <w:szCs w:val="24"/>
                <w:lang w:eastAsia="zh-CN"/>
              </w:rPr>
              <w:t>根据《环境影响评价技术导则 地下水环境》（HJ610-2016）和《石油化工工程防渗技术规范》（GB/T50934-2013）的相关规定，本工程拟对厂区进行分区地下水污染防治。</w:t>
            </w:r>
          </w:p>
          <w:p w14:paraId="3773710E">
            <w:pPr>
              <w:widowControl/>
              <w:tabs>
                <w:tab w:val="left" w:pos="4584"/>
              </w:tabs>
              <w:kinsoku/>
              <w:spacing w:line="500" w:lineRule="exact"/>
              <w:ind w:firstLine="464" w:firstLineChars="200"/>
              <w:jc w:val="both"/>
              <w:rPr>
                <w:rFonts w:hint="default" w:ascii="Times New Roman" w:hAnsi="Times New Roman" w:eastAsia="宋体" w:cs="Times New Roman"/>
                <w:color w:val="auto"/>
                <w:spacing w:val="-4"/>
                <w:sz w:val="24"/>
                <w:szCs w:val="24"/>
                <w:lang w:eastAsia="zh-CN"/>
              </w:rPr>
            </w:pPr>
            <w:r>
              <w:rPr>
                <w:rFonts w:hint="default" w:ascii="Times New Roman" w:hAnsi="Times New Roman" w:eastAsia="宋体" w:cs="Times New Roman"/>
                <w:color w:val="auto"/>
                <w:spacing w:val="-4"/>
                <w:sz w:val="24"/>
                <w:szCs w:val="24"/>
                <w:lang w:eastAsia="zh-CN"/>
              </w:rPr>
              <w:t>（1）施工期间钻井井场分为重点防渗区、一般防渗区和简单防渗区。其中柴油储罐、发电</w:t>
            </w:r>
            <w:r>
              <w:rPr>
                <w:rFonts w:hint="default" w:ascii="Times New Roman" w:hAnsi="Times New Roman" w:eastAsia="宋体" w:cs="Times New Roman"/>
                <w:color w:val="auto"/>
                <w:spacing w:val="-4"/>
                <w:sz w:val="24"/>
                <w:szCs w:val="24"/>
                <w:lang w:val="en-US" w:eastAsia="zh-CN"/>
              </w:rPr>
              <w:t>机</w:t>
            </w:r>
            <w:r>
              <w:rPr>
                <w:rFonts w:hint="default" w:ascii="Times New Roman" w:hAnsi="Times New Roman" w:eastAsia="宋体" w:cs="Times New Roman"/>
                <w:color w:val="auto"/>
                <w:spacing w:val="-4"/>
                <w:sz w:val="24"/>
                <w:szCs w:val="24"/>
                <w:lang w:eastAsia="zh-CN"/>
              </w:rPr>
              <w:t>房、不落地系统、泥浆储罐区、岩屑储罐区、危险废物</w:t>
            </w:r>
            <w:r>
              <w:rPr>
                <w:rFonts w:hint="default" w:ascii="Times New Roman" w:hAnsi="Times New Roman" w:eastAsia="宋体" w:cs="Times New Roman"/>
                <w:color w:val="auto"/>
                <w:spacing w:val="-4"/>
                <w:sz w:val="24"/>
                <w:szCs w:val="24"/>
                <w:lang w:val="en-US" w:eastAsia="zh-CN"/>
              </w:rPr>
              <w:t>暂</w:t>
            </w:r>
            <w:r>
              <w:rPr>
                <w:rFonts w:hint="default" w:ascii="Times New Roman" w:hAnsi="Times New Roman" w:eastAsia="宋体" w:cs="Times New Roman"/>
                <w:color w:val="auto"/>
                <w:spacing w:val="-4"/>
                <w:sz w:val="24"/>
                <w:szCs w:val="24"/>
                <w:lang w:eastAsia="zh-CN"/>
              </w:rPr>
              <w:t>存区等区域为重点防渗区</w:t>
            </w:r>
            <w:r>
              <w:rPr>
                <w:rFonts w:hint="default" w:ascii="Times New Roman" w:hAnsi="Times New Roman" w:eastAsia="宋体" w:cs="Times New Roman"/>
                <w:color w:val="auto"/>
                <w:spacing w:val="-4"/>
                <w:sz w:val="24"/>
                <w:szCs w:val="24"/>
                <w:highlight w:val="none"/>
                <w:lang w:eastAsia="zh-CN"/>
              </w:rPr>
              <w:t>，采用防渗膜进行防渗，满足等效黏土防渗层Mb≥6.0m，K＜1×10</w:t>
            </w:r>
            <w:r>
              <w:rPr>
                <w:rFonts w:hint="default" w:ascii="Times New Roman" w:hAnsi="Times New Roman" w:eastAsia="宋体" w:cs="Times New Roman"/>
                <w:color w:val="auto"/>
                <w:spacing w:val="-4"/>
                <w:sz w:val="24"/>
                <w:szCs w:val="24"/>
                <w:highlight w:val="none"/>
                <w:vertAlign w:val="superscript"/>
                <w:lang w:eastAsia="zh-CN"/>
              </w:rPr>
              <w:t>-7</w:t>
            </w:r>
            <w:r>
              <w:rPr>
                <w:rFonts w:hint="default" w:ascii="Times New Roman" w:hAnsi="Times New Roman" w:eastAsia="宋体" w:cs="Times New Roman"/>
                <w:color w:val="auto"/>
                <w:spacing w:val="-4"/>
                <w:sz w:val="24"/>
                <w:szCs w:val="24"/>
                <w:highlight w:val="none"/>
                <w:lang w:eastAsia="zh-CN"/>
              </w:rPr>
              <w:t>cm/s的防渗性能；</w:t>
            </w:r>
            <w:r>
              <w:rPr>
                <w:rFonts w:hint="eastAsia" w:ascii="Times New Roman" w:hAnsi="Times New Roman" w:eastAsia="宋体" w:cs="Times New Roman"/>
                <w:color w:val="auto"/>
                <w:spacing w:val="-4"/>
                <w:sz w:val="24"/>
                <w:szCs w:val="24"/>
                <w:highlight w:val="none"/>
                <w:lang w:eastAsia="zh-CN"/>
              </w:rPr>
              <w:t>防渗收集池</w:t>
            </w:r>
            <w:r>
              <w:rPr>
                <w:rFonts w:hint="default" w:ascii="Times New Roman" w:hAnsi="Times New Roman" w:eastAsia="宋体" w:cs="Times New Roman"/>
                <w:color w:val="auto"/>
                <w:spacing w:val="-4"/>
                <w:sz w:val="24"/>
                <w:szCs w:val="24"/>
                <w:highlight w:val="none"/>
                <w:lang w:eastAsia="zh-CN"/>
              </w:rPr>
              <w:t>为一般防渗区，铺设HDPE防渗膜（等效黏土防渗层Mb≥1.5m，K≤1×10</w:t>
            </w:r>
            <w:r>
              <w:rPr>
                <w:rFonts w:hint="default" w:ascii="Times New Roman" w:hAnsi="Times New Roman" w:eastAsia="宋体" w:cs="Times New Roman"/>
                <w:color w:val="auto"/>
                <w:spacing w:val="-4"/>
                <w:sz w:val="24"/>
                <w:szCs w:val="24"/>
                <w:highlight w:val="none"/>
                <w:vertAlign w:val="superscript"/>
                <w:lang w:eastAsia="zh-CN"/>
              </w:rPr>
              <w:t>-7</w:t>
            </w:r>
            <w:r>
              <w:rPr>
                <w:rFonts w:hint="default" w:ascii="Times New Roman" w:hAnsi="Times New Roman" w:eastAsia="宋体" w:cs="Times New Roman"/>
                <w:color w:val="auto"/>
                <w:spacing w:val="-4"/>
                <w:sz w:val="24"/>
                <w:szCs w:val="24"/>
                <w:highlight w:val="none"/>
                <w:lang w:eastAsia="zh-CN"/>
              </w:rPr>
              <w:t>cm/s）；水罐</w:t>
            </w:r>
            <w:r>
              <w:rPr>
                <w:rFonts w:hint="default" w:ascii="Times New Roman" w:hAnsi="Times New Roman" w:eastAsia="宋体" w:cs="Times New Roman"/>
                <w:color w:val="auto"/>
                <w:spacing w:val="-4"/>
                <w:sz w:val="24"/>
                <w:szCs w:val="24"/>
                <w:lang w:eastAsia="zh-CN"/>
              </w:rPr>
              <w:t>区、库房和值班房等其他区域为简单防渗区。</w:t>
            </w:r>
          </w:p>
          <w:p w14:paraId="62C4F369">
            <w:pPr>
              <w:widowControl/>
              <w:tabs>
                <w:tab w:val="left" w:pos="4584"/>
              </w:tabs>
              <w:kinsoku/>
              <w:spacing w:line="500" w:lineRule="exact"/>
              <w:ind w:firstLine="464" w:firstLineChars="200"/>
              <w:jc w:val="both"/>
              <w:rPr>
                <w:rFonts w:hint="default" w:ascii="Times New Roman" w:hAnsi="Times New Roman" w:eastAsia="宋体" w:cs="Times New Roman"/>
                <w:color w:val="auto"/>
                <w:spacing w:val="-4"/>
                <w:sz w:val="24"/>
                <w:szCs w:val="24"/>
                <w:lang w:eastAsia="zh-CN"/>
              </w:rPr>
            </w:pPr>
            <w:r>
              <w:rPr>
                <w:rFonts w:hint="default" w:ascii="Times New Roman" w:hAnsi="Times New Roman" w:eastAsia="宋体" w:cs="Times New Roman"/>
                <w:color w:val="auto"/>
                <w:spacing w:val="-4"/>
                <w:sz w:val="24"/>
                <w:szCs w:val="24"/>
                <w:lang w:eastAsia="zh-CN"/>
              </w:rPr>
              <w:t>试油井场分为重点防渗区和简单防渗区。其中发电</w:t>
            </w:r>
            <w:r>
              <w:rPr>
                <w:rFonts w:hint="default" w:ascii="Times New Roman" w:hAnsi="Times New Roman" w:eastAsia="宋体" w:cs="Times New Roman"/>
                <w:color w:val="auto"/>
                <w:spacing w:val="-4"/>
                <w:sz w:val="24"/>
                <w:szCs w:val="24"/>
                <w:lang w:val="en-US" w:eastAsia="zh-CN"/>
              </w:rPr>
              <w:t>机</w:t>
            </w:r>
            <w:r>
              <w:rPr>
                <w:rFonts w:hint="default" w:ascii="Times New Roman" w:hAnsi="Times New Roman" w:eastAsia="宋体" w:cs="Times New Roman"/>
                <w:color w:val="auto"/>
                <w:spacing w:val="-4"/>
                <w:sz w:val="24"/>
                <w:szCs w:val="24"/>
                <w:lang w:eastAsia="zh-CN"/>
              </w:rPr>
              <w:t>房、采出液储罐、试油废水罐为重点防渗区，铺设HDPE防渗膜，值班房为简单防渗区。分区防渗情况详见表5-1。</w:t>
            </w:r>
          </w:p>
          <w:p w14:paraId="38BAEE5E">
            <w:pPr>
              <w:pStyle w:val="6"/>
              <w:widowControl w:val="0"/>
              <w:kinsoku/>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表5-1 项目分区防渗表</w:t>
            </w:r>
          </w:p>
          <w:tbl>
            <w:tblPr>
              <w:tblStyle w:val="30"/>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0"/>
              <w:gridCol w:w="1264"/>
              <w:gridCol w:w="2837"/>
              <w:gridCol w:w="3177"/>
            </w:tblGrid>
            <w:tr w14:paraId="56DEA67C">
              <w:trPr>
                <w:trHeight w:val="193" w:hRule="atLeast"/>
                <w:jc w:val="center"/>
              </w:trPr>
              <w:tc>
                <w:tcPr>
                  <w:tcW w:w="1100" w:type="dxa"/>
                  <w:tcBorders>
                    <w:top w:val="single" w:color="auto" w:sz="4" w:space="0"/>
                    <w:left w:val="single" w:color="auto" w:sz="0" w:space="0"/>
                  </w:tcBorders>
                  <w:vAlign w:val="center"/>
                </w:tcPr>
                <w:p w14:paraId="76576336">
                  <w:pPr>
                    <w:pStyle w:val="28"/>
                    <w:kinsoku/>
                    <w:contextualSpacing/>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时期</w:t>
                  </w:r>
                </w:p>
              </w:tc>
              <w:tc>
                <w:tcPr>
                  <w:tcW w:w="1264" w:type="dxa"/>
                  <w:tcBorders>
                    <w:top w:val="single" w:color="auto" w:sz="4" w:space="0"/>
                  </w:tcBorders>
                  <w:vAlign w:val="center"/>
                </w:tcPr>
                <w:p w14:paraId="1186115F">
                  <w:pPr>
                    <w:pStyle w:val="28"/>
                    <w:kinsoku/>
                    <w:contextualSpacing/>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防渗分区</w:t>
                  </w:r>
                </w:p>
              </w:tc>
              <w:tc>
                <w:tcPr>
                  <w:tcW w:w="2837" w:type="dxa"/>
                  <w:tcBorders>
                    <w:top w:val="single" w:color="auto" w:sz="4" w:space="0"/>
                  </w:tcBorders>
                  <w:vAlign w:val="center"/>
                </w:tcPr>
                <w:p w14:paraId="5F551BA3">
                  <w:pPr>
                    <w:pStyle w:val="28"/>
                    <w:kinsoku/>
                    <w:contextualSpacing/>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生产单元</w:t>
                  </w:r>
                </w:p>
              </w:tc>
              <w:tc>
                <w:tcPr>
                  <w:tcW w:w="3177" w:type="dxa"/>
                  <w:tcBorders>
                    <w:top w:val="single" w:color="auto" w:sz="4" w:space="0"/>
                    <w:right w:val="single" w:color="auto" w:sz="4" w:space="0"/>
                  </w:tcBorders>
                  <w:vAlign w:val="center"/>
                </w:tcPr>
                <w:p w14:paraId="5F1229E9">
                  <w:pPr>
                    <w:pStyle w:val="28"/>
                    <w:kinsoku/>
                    <w:contextualSpacing/>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防渗性能要求</w:t>
                  </w:r>
                </w:p>
              </w:tc>
            </w:tr>
            <w:tr w14:paraId="46D7DD5B">
              <w:trPr>
                <w:trHeight w:val="193" w:hRule="atLeast"/>
                <w:jc w:val="center"/>
              </w:trPr>
              <w:tc>
                <w:tcPr>
                  <w:tcW w:w="1100" w:type="dxa"/>
                  <w:vMerge w:val="restart"/>
                  <w:tcBorders>
                    <w:left w:val="single" w:color="auto" w:sz="4" w:space="0"/>
                  </w:tcBorders>
                  <w:vAlign w:val="center"/>
                </w:tcPr>
                <w:p w14:paraId="33772F0C">
                  <w:pPr>
                    <w:pStyle w:val="28"/>
                    <w:kinsoku/>
                    <w:contextualSpacing/>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钻井井场</w:t>
                  </w:r>
                </w:p>
              </w:tc>
              <w:tc>
                <w:tcPr>
                  <w:tcW w:w="1264" w:type="dxa"/>
                  <w:vAlign w:val="center"/>
                </w:tcPr>
                <w:p w14:paraId="7E54BD8A">
                  <w:pPr>
                    <w:pStyle w:val="28"/>
                    <w:kinsoku/>
                    <w:contextualSpacing/>
                    <w:rPr>
                      <w:rFonts w:hint="default" w:ascii="Times New Roman" w:hAnsi="Times New Roman" w:eastAsia="宋体" w:cs="Times New Roman"/>
                      <w:color w:val="auto"/>
                    </w:rPr>
                  </w:pPr>
                  <w:r>
                    <w:rPr>
                      <w:rFonts w:hint="default" w:ascii="Times New Roman" w:hAnsi="Times New Roman" w:eastAsia="宋体" w:cs="Times New Roman"/>
                      <w:color w:val="auto"/>
                    </w:rPr>
                    <w:t>重点防渗区</w:t>
                  </w:r>
                </w:p>
              </w:tc>
              <w:tc>
                <w:tcPr>
                  <w:tcW w:w="2837" w:type="dxa"/>
                  <w:vAlign w:val="center"/>
                </w:tcPr>
                <w:p w14:paraId="13F863B4">
                  <w:pPr>
                    <w:pStyle w:val="28"/>
                    <w:kinsoku/>
                    <w:contextualSpacing/>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柴油罐区、发电机房、不落地系统、泥浆</w:t>
                  </w:r>
                  <w:r>
                    <w:rPr>
                      <w:rFonts w:hint="default" w:ascii="Times New Roman" w:hAnsi="Times New Roman" w:eastAsia="宋体" w:cs="Times New Roman"/>
                      <w:color w:val="auto"/>
                      <w:lang w:val="en-US" w:eastAsia="zh-CN"/>
                    </w:rPr>
                    <w:t>储</w:t>
                  </w:r>
                  <w:r>
                    <w:rPr>
                      <w:rFonts w:hint="default" w:ascii="Times New Roman" w:hAnsi="Times New Roman" w:eastAsia="宋体" w:cs="Times New Roman"/>
                      <w:color w:val="auto"/>
                      <w:lang w:eastAsia="zh-CN"/>
                    </w:rPr>
                    <w:t>罐区、岩屑罐区、危险废物</w:t>
                  </w:r>
                  <w:r>
                    <w:rPr>
                      <w:rFonts w:hint="default" w:ascii="Times New Roman" w:hAnsi="Times New Roman" w:eastAsia="宋体" w:cs="Times New Roman"/>
                      <w:color w:val="auto"/>
                      <w:lang w:val="en-US" w:eastAsia="zh-CN"/>
                    </w:rPr>
                    <w:t>暂</w:t>
                  </w:r>
                  <w:r>
                    <w:rPr>
                      <w:rFonts w:hint="default" w:ascii="Times New Roman" w:hAnsi="Times New Roman" w:eastAsia="宋体" w:cs="Times New Roman"/>
                      <w:color w:val="auto"/>
                      <w:lang w:eastAsia="zh-CN"/>
                    </w:rPr>
                    <w:t>存区</w:t>
                  </w:r>
                </w:p>
              </w:tc>
              <w:tc>
                <w:tcPr>
                  <w:tcW w:w="3177" w:type="dxa"/>
                  <w:tcBorders>
                    <w:right w:val="single" w:color="auto" w:sz="4" w:space="0"/>
                  </w:tcBorders>
                  <w:vAlign w:val="center"/>
                </w:tcPr>
                <w:p w14:paraId="3B159A93">
                  <w:pPr>
                    <w:pStyle w:val="28"/>
                    <w:kinsoku/>
                    <w:contextualSpacing/>
                    <w:rPr>
                      <w:rFonts w:hint="default" w:ascii="Times New Roman" w:hAnsi="Times New Roman" w:eastAsia="宋体" w:cs="Times New Roman"/>
                      <w:color w:val="auto"/>
                      <w:lang w:eastAsia="zh-CN"/>
                    </w:rPr>
                  </w:pPr>
                  <w:r>
                    <w:rPr>
                      <w:rFonts w:hint="default" w:ascii="Times New Roman" w:hAnsi="Times New Roman" w:eastAsia="宋体" w:cs="Times New Roman"/>
                      <w:color w:val="auto"/>
                      <w:szCs w:val="18"/>
                      <w:lang w:val="zh-CN" w:eastAsia="zh-CN"/>
                    </w:rPr>
                    <w:t>等效黏土防渗层Mb≥</w:t>
                  </w:r>
                  <w:r>
                    <w:rPr>
                      <w:rFonts w:hint="default" w:ascii="Times New Roman" w:hAnsi="Times New Roman" w:eastAsia="宋体" w:cs="Times New Roman"/>
                      <w:color w:val="auto"/>
                      <w:szCs w:val="18"/>
                      <w:lang w:eastAsia="zh-CN"/>
                    </w:rPr>
                    <w:t>6.0</w:t>
                  </w:r>
                  <w:r>
                    <w:rPr>
                      <w:rFonts w:hint="default" w:ascii="Times New Roman" w:hAnsi="Times New Roman" w:eastAsia="宋体" w:cs="Times New Roman"/>
                      <w:color w:val="auto"/>
                      <w:szCs w:val="18"/>
                      <w:lang w:val="zh-CN" w:eastAsia="zh-CN"/>
                    </w:rPr>
                    <w:t>m，K＜1×10</w:t>
                  </w:r>
                  <w:r>
                    <w:rPr>
                      <w:rFonts w:hint="default" w:ascii="Times New Roman" w:hAnsi="Times New Roman" w:eastAsia="宋体" w:cs="Times New Roman"/>
                      <w:color w:val="auto"/>
                      <w:szCs w:val="18"/>
                      <w:vertAlign w:val="superscript"/>
                      <w:lang w:val="zh-CN" w:eastAsia="zh-CN"/>
                    </w:rPr>
                    <w:t>-7</w:t>
                  </w:r>
                  <w:r>
                    <w:rPr>
                      <w:rFonts w:hint="default" w:ascii="Times New Roman" w:hAnsi="Times New Roman" w:eastAsia="宋体" w:cs="Times New Roman"/>
                      <w:color w:val="auto"/>
                      <w:szCs w:val="18"/>
                      <w:lang w:val="zh-CN" w:eastAsia="zh-CN"/>
                    </w:rPr>
                    <w:t>cm/s，或参照GB</w:t>
                  </w:r>
                  <w:r>
                    <w:rPr>
                      <w:rFonts w:hint="default" w:ascii="Times New Roman" w:hAnsi="Times New Roman" w:eastAsia="宋体" w:cs="Times New Roman"/>
                      <w:color w:val="auto"/>
                      <w:szCs w:val="18"/>
                      <w:lang w:eastAsia="zh-CN"/>
                    </w:rPr>
                    <w:t>18598</w:t>
                  </w:r>
                  <w:r>
                    <w:rPr>
                      <w:rFonts w:hint="default" w:ascii="Times New Roman" w:hAnsi="Times New Roman" w:eastAsia="宋体" w:cs="Times New Roman"/>
                      <w:color w:val="auto"/>
                      <w:szCs w:val="18"/>
                      <w:lang w:val="zh-CN" w:eastAsia="zh-CN"/>
                    </w:rPr>
                    <w:t>执行</w:t>
                  </w:r>
                </w:p>
              </w:tc>
            </w:tr>
            <w:tr w14:paraId="725D55C5">
              <w:trPr>
                <w:trHeight w:val="193" w:hRule="atLeast"/>
                <w:jc w:val="center"/>
              </w:trPr>
              <w:tc>
                <w:tcPr>
                  <w:tcW w:w="1100" w:type="dxa"/>
                  <w:vMerge w:val="continue"/>
                  <w:tcBorders>
                    <w:left w:val="single" w:color="auto" w:sz="4" w:space="0"/>
                  </w:tcBorders>
                  <w:vAlign w:val="center"/>
                </w:tcPr>
                <w:p w14:paraId="6253D1BC">
                  <w:pPr>
                    <w:pStyle w:val="28"/>
                    <w:kinsoku/>
                    <w:contextualSpacing/>
                    <w:rPr>
                      <w:rFonts w:hint="default" w:ascii="Times New Roman" w:hAnsi="Times New Roman" w:eastAsia="宋体" w:cs="Times New Roman"/>
                      <w:color w:val="auto"/>
                      <w:lang w:eastAsia="zh-CN"/>
                    </w:rPr>
                  </w:pPr>
                </w:p>
              </w:tc>
              <w:tc>
                <w:tcPr>
                  <w:tcW w:w="1264" w:type="dxa"/>
                  <w:vAlign w:val="center"/>
                </w:tcPr>
                <w:p w14:paraId="44A205CB">
                  <w:pPr>
                    <w:pStyle w:val="28"/>
                    <w:kinsoku/>
                    <w:contextualSpacing/>
                    <w:rPr>
                      <w:rFonts w:hint="default" w:ascii="Times New Roman" w:hAnsi="Times New Roman" w:eastAsia="宋体" w:cs="Times New Roman"/>
                      <w:color w:val="auto"/>
                    </w:rPr>
                  </w:pPr>
                  <w:r>
                    <w:rPr>
                      <w:rFonts w:hint="default" w:ascii="Times New Roman" w:hAnsi="Times New Roman" w:eastAsia="宋体" w:cs="Times New Roman"/>
                      <w:color w:val="auto"/>
                      <w:spacing w:val="-4"/>
                    </w:rPr>
                    <w:t>简单防渗区</w:t>
                  </w:r>
                </w:p>
              </w:tc>
              <w:tc>
                <w:tcPr>
                  <w:tcW w:w="2837" w:type="dxa"/>
                  <w:vAlign w:val="center"/>
                </w:tcPr>
                <w:p w14:paraId="16C51730">
                  <w:pPr>
                    <w:pStyle w:val="28"/>
                    <w:kinsoku/>
                    <w:contextualSpacing/>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水罐区、值班房、库房、材料储存区、钻井区</w:t>
                  </w:r>
                </w:p>
              </w:tc>
              <w:tc>
                <w:tcPr>
                  <w:tcW w:w="3177" w:type="dxa"/>
                  <w:tcBorders>
                    <w:right w:val="single" w:color="auto" w:sz="4" w:space="0"/>
                  </w:tcBorders>
                  <w:vAlign w:val="center"/>
                </w:tcPr>
                <w:p w14:paraId="22174922">
                  <w:pPr>
                    <w:pStyle w:val="28"/>
                    <w:kinsoku/>
                    <w:contextualSpacing/>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铺垫戈壁料</w:t>
                  </w:r>
                </w:p>
              </w:tc>
            </w:tr>
            <w:tr w14:paraId="37033165">
              <w:trPr>
                <w:trHeight w:val="193" w:hRule="atLeast"/>
                <w:jc w:val="center"/>
              </w:trPr>
              <w:tc>
                <w:tcPr>
                  <w:tcW w:w="1100" w:type="dxa"/>
                  <w:tcBorders>
                    <w:left w:val="single" w:color="auto" w:sz="4" w:space="0"/>
                  </w:tcBorders>
                  <w:vAlign w:val="center"/>
                </w:tcPr>
                <w:p w14:paraId="01B05E28">
                  <w:pPr>
                    <w:pStyle w:val="28"/>
                    <w:kinsoku/>
                    <w:contextualSpacing/>
                    <w:rPr>
                      <w:rFonts w:hint="default" w:ascii="Times New Roman" w:hAnsi="Times New Roman" w:eastAsia="宋体" w:cs="Times New Roman"/>
                      <w:color w:val="auto"/>
                    </w:rPr>
                  </w:pPr>
                  <w:r>
                    <w:rPr>
                      <w:rFonts w:hint="default" w:ascii="Times New Roman" w:hAnsi="Times New Roman" w:eastAsia="宋体" w:cs="Times New Roman"/>
                      <w:color w:val="auto"/>
                    </w:rPr>
                    <w:t>生活营地</w:t>
                  </w:r>
                </w:p>
              </w:tc>
              <w:tc>
                <w:tcPr>
                  <w:tcW w:w="1264" w:type="dxa"/>
                  <w:vAlign w:val="center"/>
                </w:tcPr>
                <w:p w14:paraId="6618D41C">
                  <w:pPr>
                    <w:pStyle w:val="28"/>
                    <w:kinsoku/>
                    <w:contextualSpacing/>
                    <w:rPr>
                      <w:rFonts w:hint="default" w:ascii="Times New Roman" w:hAnsi="Times New Roman" w:eastAsia="宋体" w:cs="Times New Roman"/>
                      <w:color w:val="auto"/>
                    </w:rPr>
                  </w:pPr>
                  <w:r>
                    <w:rPr>
                      <w:rFonts w:hint="default" w:ascii="Times New Roman" w:hAnsi="Times New Roman" w:eastAsia="宋体" w:cs="Times New Roman"/>
                      <w:color w:val="auto"/>
                    </w:rPr>
                    <w:t>一般防渗区</w:t>
                  </w:r>
                </w:p>
              </w:tc>
              <w:tc>
                <w:tcPr>
                  <w:tcW w:w="2837" w:type="dxa"/>
                  <w:vAlign w:val="center"/>
                </w:tcPr>
                <w:p w14:paraId="618E1D20">
                  <w:pPr>
                    <w:pStyle w:val="28"/>
                    <w:kinsoku/>
                    <w:contextualSpacing/>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防渗收集池</w:t>
                  </w:r>
                </w:p>
              </w:tc>
              <w:tc>
                <w:tcPr>
                  <w:tcW w:w="3177" w:type="dxa"/>
                  <w:tcBorders>
                    <w:right w:val="single" w:color="auto" w:sz="4" w:space="0"/>
                  </w:tcBorders>
                  <w:vAlign w:val="center"/>
                </w:tcPr>
                <w:p w14:paraId="24003522">
                  <w:pPr>
                    <w:pStyle w:val="28"/>
                    <w:kinsoku/>
                    <w:contextualSpacing/>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等效黏土防渗层MB≥1.5m，K≤1.0×10</w:t>
                  </w:r>
                  <w:r>
                    <w:rPr>
                      <w:rFonts w:hint="default" w:ascii="Times New Roman" w:hAnsi="Times New Roman" w:eastAsia="宋体" w:cs="Times New Roman"/>
                      <w:color w:val="auto"/>
                      <w:vertAlign w:val="superscript"/>
                      <w:lang w:eastAsia="zh-CN"/>
                    </w:rPr>
                    <w:t>-7</w:t>
                  </w:r>
                  <w:r>
                    <w:rPr>
                      <w:rFonts w:hint="default" w:ascii="Times New Roman" w:hAnsi="Times New Roman" w:eastAsia="宋体" w:cs="Times New Roman"/>
                      <w:color w:val="auto"/>
                      <w:lang w:eastAsia="zh-CN"/>
                    </w:rPr>
                    <w:t>cm/s</w:t>
                  </w:r>
                  <w:r>
                    <w:rPr>
                      <w:rFonts w:hint="default" w:ascii="Times New Roman" w:hAnsi="Times New Roman" w:eastAsia="宋体" w:cs="Times New Roman"/>
                      <w:color w:val="auto"/>
                      <w:szCs w:val="18"/>
                      <w:lang w:val="zh-CN" w:eastAsia="zh-CN"/>
                    </w:rPr>
                    <w:t>，或参照GB16889执行</w:t>
                  </w:r>
                </w:p>
              </w:tc>
            </w:tr>
            <w:tr w14:paraId="17A20F9E">
              <w:trPr>
                <w:trHeight w:val="193" w:hRule="atLeast"/>
                <w:jc w:val="center"/>
              </w:trPr>
              <w:tc>
                <w:tcPr>
                  <w:tcW w:w="1100" w:type="dxa"/>
                  <w:vMerge w:val="restart"/>
                  <w:tcBorders>
                    <w:left w:val="single" w:color="auto" w:sz="4" w:space="0"/>
                  </w:tcBorders>
                  <w:vAlign w:val="center"/>
                </w:tcPr>
                <w:p w14:paraId="108AB394">
                  <w:pPr>
                    <w:pStyle w:val="28"/>
                    <w:kinsoku/>
                    <w:contextualSpacing/>
                    <w:rPr>
                      <w:rFonts w:hint="default" w:ascii="Times New Roman" w:hAnsi="Times New Roman" w:eastAsia="宋体" w:cs="Times New Roman"/>
                      <w:color w:val="auto"/>
                    </w:rPr>
                  </w:pPr>
                  <w:r>
                    <w:rPr>
                      <w:rFonts w:hint="default" w:ascii="Times New Roman" w:hAnsi="Times New Roman" w:eastAsia="宋体" w:cs="Times New Roman"/>
                      <w:color w:val="auto"/>
                    </w:rPr>
                    <w:t>试油井场</w:t>
                  </w:r>
                </w:p>
              </w:tc>
              <w:tc>
                <w:tcPr>
                  <w:tcW w:w="1264" w:type="dxa"/>
                  <w:vAlign w:val="center"/>
                </w:tcPr>
                <w:p w14:paraId="3417FDF9">
                  <w:pPr>
                    <w:pStyle w:val="28"/>
                    <w:kinsoku/>
                    <w:contextualSpacing/>
                    <w:rPr>
                      <w:rFonts w:hint="default" w:ascii="Times New Roman" w:hAnsi="Times New Roman" w:eastAsia="宋体" w:cs="Times New Roman"/>
                      <w:color w:val="auto"/>
                    </w:rPr>
                  </w:pPr>
                  <w:r>
                    <w:rPr>
                      <w:rFonts w:hint="default" w:ascii="Times New Roman" w:hAnsi="Times New Roman" w:eastAsia="宋体" w:cs="Times New Roman"/>
                      <w:color w:val="auto"/>
                    </w:rPr>
                    <w:t>重点防渗区</w:t>
                  </w:r>
                </w:p>
              </w:tc>
              <w:tc>
                <w:tcPr>
                  <w:tcW w:w="2837" w:type="dxa"/>
                  <w:vAlign w:val="center"/>
                </w:tcPr>
                <w:p w14:paraId="1776FEB2">
                  <w:pPr>
                    <w:pStyle w:val="28"/>
                    <w:kinsoku/>
                    <w:contextualSpacing/>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发电</w:t>
                  </w:r>
                  <w:r>
                    <w:rPr>
                      <w:rFonts w:hint="default" w:ascii="Times New Roman" w:hAnsi="Times New Roman" w:eastAsia="宋体" w:cs="Times New Roman"/>
                      <w:color w:val="auto"/>
                      <w:lang w:val="en-US" w:eastAsia="zh-CN"/>
                    </w:rPr>
                    <w:t>机</w:t>
                  </w:r>
                  <w:r>
                    <w:rPr>
                      <w:rFonts w:hint="default" w:ascii="Times New Roman" w:hAnsi="Times New Roman" w:eastAsia="宋体" w:cs="Times New Roman"/>
                      <w:color w:val="auto"/>
                      <w:lang w:eastAsia="zh-CN"/>
                    </w:rPr>
                    <w:t>房、采出液储罐区、试油废水罐</w:t>
                  </w:r>
                </w:p>
              </w:tc>
              <w:tc>
                <w:tcPr>
                  <w:tcW w:w="3177" w:type="dxa"/>
                  <w:tcBorders>
                    <w:right w:val="single" w:color="auto" w:sz="4" w:space="0"/>
                  </w:tcBorders>
                  <w:vAlign w:val="center"/>
                </w:tcPr>
                <w:p w14:paraId="4B159FD8">
                  <w:pPr>
                    <w:pStyle w:val="28"/>
                    <w:kinsoku/>
                    <w:contextualSpacing/>
                    <w:rPr>
                      <w:rFonts w:hint="default" w:ascii="Times New Roman" w:hAnsi="Times New Roman" w:eastAsia="宋体" w:cs="Times New Roman"/>
                      <w:color w:val="auto"/>
                      <w:lang w:eastAsia="zh-CN"/>
                    </w:rPr>
                  </w:pPr>
                  <w:r>
                    <w:rPr>
                      <w:rFonts w:hint="default" w:ascii="Times New Roman" w:hAnsi="Times New Roman" w:eastAsia="宋体" w:cs="Times New Roman"/>
                      <w:color w:val="auto"/>
                      <w:szCs w:val="18"/>
                      <w:lang w:val="zh-CN" w:eastAsia="zh-CN"/>
                    </w:rPr>
                    <w:t>等效黏土防渗层Mb≥</w:t>
                  </w:r>
                  <w:r>
                    <w:rPr>
                      <w:rFonts w:hint="default" w:ascii="Times New Roman" w:hAnsi="Times New Roman" w:eastAsia="宋体" w:cs="Times New Roman"/>
                      <w:color w:val="auto"/>
                      <w:szCs w:val="18"/>
                      <w:lang w:eastAsia="zh-CN"/>
                    </w:rPr>
                    <w:t>6.0</w:t>
                  </w:r>
                  <w:r>
                    <w:rPr>
                      <w:rFonts w:hint="default" w:ascii="Times New Roman" w:hAnsi="Times New Roman" w:eastAsia="宋体" w:cs="Times New Roman"/>
                      <w:color w:val="auto"/>
                      <w:szCs w:val="18"/>
                      <w:lang w:val="zh-CN" w:eastAsia="zh-CN"/>
                    </w:rPr>
                    <w:t>m，K＜1×10</w:t>
                  </w:r>
                  <w:r>
                    <w:rPr>
                      <w:rFonts w:hint="default" w:ascii="Times New Roman" w:hAnsi="Times New Roman" w:eastAsia="宋体" w:cs="Times New Roman"/>
                      <w:color w:val="auto"/>
                      <w:szCs w:val="18"/>
                      <w:vertAlign w:val="superscript"/>
                      <w:lang w:val="zh-CN" w:eastAsia="zh-CN"/>
                    </w:rPr>
                    <w:t>-7</w:t>
                  </w:r>
                  <w:r>
                    <w:rPr>
                      <w:rFonts w:hint="default" w:ascii="Times New Roman" w:hAnsi="Times New Roman" w:eastAsia="宋体" w:cs="Times New Roman"/>
                      <w:color w:val="auto"/>
                      <w:szCs w:val="18"/>
                      <w:lang w:val="zh-CN" w:eastAsia="zh-CN"/>
                    </w:rPr>
                    <w:t>cm/s，或参照GB</w:t>
                  </w:r>
                  <w:r>
                    <w:rPr>
                      <w:rFonts w:hint="default" w:ascii="Times New Roman" w:hAnsi="Times New Roman" w:eastAsia="宋体" w:cs="Times New Roman"/>
                      <w:color w:val="auto"/>
                      <w:szCs w:val="18"/>
                      <w:lang w:eastAsia="zh-CN"/>
                    </w:rPr>
                    <w:t>18598</w:t>
                  </w:r>
                  <w:r>
                    <w:rPr>
                      <w:rFonts w:hint="default" w:ascii="Times New Roman" w:hAnsi="Times New Roman" w:eastAsia="宋体" w:cs="Times New Roman"/>
                      <w:color w:val="auto"/>
                      <w:szCs w:val="18"/>
                      <w:lang w:val="zh-CN" w:eastAsia="zh-CN"/>
                    </w:rPr>
                    <w:t>执行</w:t>
                  </w:r>
                </w:p>
              </w:tc>
            </w:tr>
            <w:tr w14:paraId="35D274CA">
              <w:trPr>
                <w:trHeight w:val="500" w:hRule="atLeast"/>
                <w:jc w:val="center"/>
              </w:trPr>
              <w:tc>
                <w:tcPr>
                  <w:tcW w:w="1100" w:type="dxa"/>
                  <w:vMerge w:val="continue"/>
                  <w:tcBorders>
                    <w:left w:val="single" w:color="auto" w:sz="4" w:space="0"/>
                    <w:bottom w:val="single" w:color="auto" w:sz="4" w:space="0"/>
                  </w:tcBorders>
                  <w:vAlign w:val="center"/>
                </w:tcPr>
                <w:p w14:paraId="3F3DD453">
                  <w:pPr>
                    <w:pStyle w:val="28"/>
                    <w:kinsoku/>
                    <w:contextualSpacing/>
                    <w:rPr>
                      <w:rFonts w:hint="default" w:ascii="Times New Roman" w:hAnsi="Times New Roman" w:eastAsia="宋体" w:cs="Times New Roman"/>
                      <w:color w:val="auto"/>
                      <w:lang w:eastAsia="zh-CN"/>
                    </w:rPr>
                  </w:pPr>
                </w:p>
              </w:tc>
              <w:tc>
                <w:tcPr>
                  <w:tcW w:w="1264" w:type="dxa"/>
                  <w:tcBorders>
                    <w:bottom w:val="single" w:color="auto" w:sz="4" w:space="0"/>
                  </w:tcBorders>
                  <w:vAlign w:val="center"/>
                </w:tcPr>
                <w:p w14:paraId="42074945">
                  <w:pPr>
                    <w:pStyle w:val="28"/>
                    <w:kinsoku/>
                    <w:contextualSpacing/>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4"/>
                      <w:lang w:eastAsia="zh-CN"/>
                    </w:rPr>
                    <w:t>简单防渗区</w:t>
                  </w:r>
                </w:p>
              </w:tc>
              <w:tc>
                <w:tcPr>
                  <w:tcW w:w="2837" w:type="dxa"/>
                  <w:tcBorders>
                    <w:bottom w:val="single" w:color="auto" w:sz="4" w:space="0"/>
                  </w:tcBorders>
                  <w:vAlign w:val="center"/>
                </w:tcPr>
                <w:p w14:paraId="2C92C318">
                  <w:pPr>
                    <w:pStyle w:val="28"/>
                    <w:kinsoku/>
                    <w:contextualSpacing/>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库房、值班房</w:t>
                  </w:r>
                </w:p>
              </w:tc>
              <w:tc>
                <w:tcPr>
                  <w:tcW w:w="3177" w:type="dxa"/>
                  <w:tcBorders>
                    <w:bottom w:val="single" w:color="auto" w:sz="4" w:space="0"/>
                    <w:right w:val="single" w:color="auto" w:sz="4" w:space="0"/>
                  </w:tcBorders>
                  <w:vAlign w:val="center"/>
                </w:tcPr>
                <w:p w14:paraId="15534032">
                  <w:pPr>
                    <w:pStyle w:val="28"/>
                    <w:kinsoku/>
                    <w:contextualSpacing/>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铺垫戈壁料</w:t>
                  </w:r>
                </w:p>
              </w:tc>
            </w:tr>
          </w:tbl>
          <w:p w14:paraId="65D72CD1">
            <w:pPr>
              <w:widowControl/>
              <w:tabs>
                <w:tab w:val="left" w:pos="4584"/>
              </w:tabs>
              <w:kinsoku/>
              <w:spacing w:line="500" w:lineRule="exact"/>
              <w:ind w:firstLine="464" w:firstLineChars="200"/>
              <w:jc w:val="both"/>
              <w:rPr>
                <w:rFonts w:hint="default" w:ascii="Times New Roman" w:hAnsi="Times New Roman" w:eastAsia="宋体" w:cs="Times New Roman"/>
                <w:color w:val="auto"/>
                <w:spacing w:val="-4"/>
                <w:sz w:val="24"/>
                <w:szCs w:val="24"/>
                <w:lang w:eastAsia="zh-CN" w:bidi="ar"/>
              </w:rPr>
            </w:pPr>
            <w:r>
              <w:rPr>
                <w:rFonts w:hint="default" w:ascii="Times New Roman" w:hAnsi="Times New Roman" w:eastAsia="宋体" w:cs="Times New Roman"/>
                <w:color w:val="auto"/>
                <w:spacing w:val="-4"/>
                <w:sz w:val="24"/>
                <w:szCs w:val="24"/>
                <w:lang w:eastAsia="zh-CN" w:bidi="ar"/>
              </w:rPr>
              <w:t>建设单位应监督施工单位严格按照表5-1的分区防渗要求执行，以确保防渗措施的落实和有效性。</w:t>
            </w:r>
          </w:p>
          <w:p w14:paraId="0ADF3A0D">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（2）钻井时采用套管与地层隔离开、并在套管与地层之间注入水泥进行固井，水泥浆返至地面，封隔疏松地层和水层。</w:t>
            </w:r>
          </w:p>
          <w:p w14:paraId="30C2BC52">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本项目钻井过程中采用下套管注水泥固井的完井方式进行水泥固井，将含水层与井筒分隔开，一开环空水泥浆均返至地面，对含水层进行了固封处理，同时严格要求套管下入深度、确保固井质量等措施，可有效控制钻井液在含水层中的漏失。钻井时严格落实套管下入深度合格和固井质量合格，同时定期检查固井质量，发现固井质量不合格应及时采取措施，保证固井质量合格，可有效防止地下水污染。</w:t>
            </w:r>
          </w:p>
          <w:p w14:paraId="39BF6716">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（4）对产生的洗井废水、压裂返排液、生活污水、钻井岩屑、沾油废防渗材料、</w:t>
            </w:r>
            <w:r>
              <w:rPr>
                <w:rFonts w:hint="eastAsia" w:ascii="Times New Roman" w:hAnsi="Times New Roman" w:eastAsia="宋体" w:cs="Times New Roman"/>
                <w:color w:val="auto"/>
                <w:sz w:val="24"/>
                <w:szCs w:val="24"/>
                <w:lang w:val="en-US" w:eastAsia="zh-CN"/>
              </w:rPr>
              <w:t>机械设备废油</w:t>
            </w:r>
            <w:r>
              <w:rPr>
                <w:rFonts w:hint="default" w:ascii="Times New Roman" w:hAnsi="Times New Roman" w:eastAsia="宋体" w:cs="Times New Roman"/>
                <w:color w:val="auto"/>
                <w:sz w:val="24"/>
                <w:szCs w:val="24"/>
                <w:lang w:eastAsia="zh-CN"/>
              </w:rPr>
              <w:t>、废油桶及生活垃圾严格管理，禁止乱排。</w:t>
            </w:r>
          </w:p>
          <w:p w14:paraId="7EE293E6">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均得以妥善处置，最终实现达标排放或回用，固体废物均得到妥善处置。地下水、土壤环境保护措施均为技术可行、经济合理、稳定可靠、便于实施的成熟措施，在钻井过程中得到广泛应用。采取上述措施后，钻试工程不会对地下水环境和土壤环境造成不利影响。</w:t>
            </w:r>
          </w:p>
          <w:p w14:paraId="5550E7BF">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5.1废（污）水拉运处理管控措施和要求</w:t>
            </w:r>
          </w:p>
          <w:p w14:paraId="1BD77AB5">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（1）台账管理：必须建立废（污）水处理台账，详细记录废水来源、处理时间、处理方法、处理效果等信息。台账应由专人负责管理，并保证其真实性和完整性。</w:t>
            </w:r>
          </w:p>
          <w:p w14:paraId="348B2FF2">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全过程控制：应严格控制废（污）水处理的全过程，确保不出现二次污染，对于每一环节，应有明确的处理标准和操作规程，并设立专门的监测点进行质量抽查，一旦发现异常，立即进行处理，防止问题扩大。</w:t>
            </w:r>
          </w:p>
          <w:p w14:paraId="5ABB279C">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（3）防止肆意排放：所有废（污）水在拉运和处理过程中，必须按照国家或地方的相关法规和标准进行，确保废水不直接排入环境。</w:t>
            </w:r>
          </w:p>
          <w:p w14:paraId="58EB7D90">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（4）人员培训：对从事废（污）水处理的人员进行专业培训确保他们了解处理流程和处理设备的使用方法，能够独立处理常见问题，</w:t>
            </w:r>
          </w:p>
          <w:p w14:paraId="5D3CDABF">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（5）安全防护：处理废（污）水时，应做好安全防护工作，如佩戴专门的面具、手套等防护用具，避免直接接触废水。另外，应定期检查处理设备的运行状况，确保其正常运行。</w:t>
            </w:r>
          </w:p>
          <w:p w14:paraId="02A0BEA3">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6）应急预案：将本项目废（污）水收集、贮存及拉运过程纳入《中国石油天然气股份有限公司吐哈油田分公司准东采油管理区突发环境事件应急预案》统一管理。针对废（污）水泄漏等突发情况，落实相应的应急响应及现场处置措施，并定期开展应急演练，确保应急措施的有效性。</w:t>
            </w:r>
          </w:p>
          <w:p w14:paraId="6BBE203F">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（7）记录保存：对废水处理的各个阶段都应有相应的记录并加以保存，以便日后查看和跟踪。</w:t>
            </w:r>
          </w:p>
          <w:p w14:paraId="77E7F118">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综上所述，项目废水在采取上述措施后不会对水环境产生不利影响。</w:t>
            </w:r>
          </w:p>
          <w:p w14:paraId="18191F55">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6.噪声污染防治措施</w:t>
            </w:r>
          </w:p>
          <w:p w14:paraId="16D3ABDD">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机械采用低噪声设备；加强设备维护及保养，对噪声较大的设备采取基础减震措施；加强施工场地管理，合理疏导进入施工区的车辆，禁止运输车辆随意高声鸣笛。在采取上述措施后，施工场界噪声可满足《建筑施工噪声排放标准》（GB12523-2025）中表1的噪声排放限值要求〔昼间70dB（A），夜间55dB（A）〕，不会对区域声环境产生明显影响。</w:t>
            </w:r>
          </w:p>
          <w:p w14:paraId="517508AA">
            <w:pPr>
              <w:widowControl w:val="0"/>
              <w:kinsoku/>
              <w:spacing w:line="500" w:lineRule="exact"/>
              <w:jc w:val="both"/>
              <w:rPr>
                <w:rFonts w:hint="default" w:ascii="Times New Roman" w:hAnsi="Times New Roman" w:eastAsia="宋体" w:cs="Times New Roman"/>
                <w:b/>
                <w:bCs/>
                <w:color w:val="auto"/>
                <w:sz w:val="24"/>
                <w:szCs w:val="24"/>
                <w:lang w:eastAsia="zh-CN"/>
              </w:rPr>
            </w:pPr>
            <w:bookmarkStart w:id="28" w:name="_Hlk183349956"/>
            <w:bookmarkStart w:id="29" w:name="_Hlk143015311"/>
            <w:bookmarkStart w:id="30" w:name="_Hlk136795812"/>
            <w:r>
              <w:rPr>
                <w:rFonts w:hint="default" w:ascii="Times New Roman" w:hAnsi="Times New Roman" w:eastAsia="宋体" w:cs="Times New Roman"/>
                <w:b/>
                <w:bCs/>
                <w:color w:val="auto"/>
                <w:sz w:val="24"/>
                <w:szCs w:val="24"/>
                <w:lang w:eastAsia="zh-CN" w:bidi="ar"/>
              </w:rPr>
              <w:t>7.固体废物处置措施</w:t>
            </w:r>
          </w:p>
          <w:bookmarkEnd w:id="28"/>
          <w:bookmarkEnd w:id="29"/>
          <w:p w14:paraId="11DA3143">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本项目产生的固体废物主要为生活垃圾、</w:t>
            </w:r>
            <w:r>
              <w:rPr>
                <w:rFonts w:hint="default" w:ascii="Times New Roman" w:hAnsi="Times New Roman" w:eastAsia="宋体" w:cs="Times New Roman"/>
                <w:color w:val="auto"/>
                <w:sz w:val="24"/>
                <w:szCs w:val="24"/>
                <w:lang w:val="en-US" w:eastAsia="zh-CN"/>
              </w:rPr>
              <w:t>废弃</w:t>
            </w:r>
            <w:r>
              <w:rPr>
                <w:rFonts w:hint="default" w:ascii="Times New Roman" w:hAnsi="Times New Roman" w:eastAsia="宋体" w:cs="Times New Roman"/>
                <w:color w:val="auto"/>
                <w:sz w:val="24"/>
                <w:szCs w:val="24"/>
                <w:lang w:eastAsia="zh-CN"/>
              </w:rPr>
              <w:t>钻井泥浆、</w:t>
            </w:r>
            <w:r>
              <w:rPr>
                <w:rFonts w:hint="default" w:ascii="Times New Roman" w:hAnsi="Times New Roman" w:eastAsia="宋体" w:cs="Times New Roman"/>
                <w:color w:val="auto"/>
                <w:sz w:val="24"/>
                <w:szCs w:val="24"/>
                <w:lang w:val="en-US" w:eastAsia="zh-CN"/>
              </w:rPr>
              <w:t>钻井</w:t>
            </w:r>
            <w:r>
              <w:rPr>
                <w:rFonts w:hint="default" w:ascii="Times New Roman" w:hAnsi="Times New Roman" w:eastAsia="宋体" w:cs="Times New Roman"/>
                <w:color w:val="auto"/>
                <w:sz w:val="24"/>
                <w:szCs w:val="24"/>
                <w:lang w:eastAsia="zh-CN"/>
              </w:rPr>
              <w:t>岩屑、落地油、废防渗材料、机械设备废油、废油桶等。</w:t>
            </w:r>
          </w:p>
          <w:p w14:paraId="7AA08019">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7.1固体废物产生及其处置情况</w:t>
            </w:r>
          </w:p>
          <w:p w14:paraId="7A5F3817">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7.1.1生活垃圾</w:t>
            </w:r>
          </w:p>
          <w:p w14:paraId="31F7B1AF">
            <w:pPr>
              <w:pStyle w:val="23"/>
              <w:widowControl w:val="0"/>
              <w:kinsoku/>
              <w:spacing w:before="38" w:line="359" w:lineRule="auto"/>
              <w:ind w:left="3" w:right="4" w:firstLine="48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z w:val="24"/>
                <w:szCs w:val="24"/>
                <w:lang w:eastAsia="zh-CN"/>
              </w:rPr>
              <w:t>井场和生活营地设置生</w:t>
            </w:r>
            <w:r>
              <w:rPr>
                <w:rFonts w:hint="default" w:ascii="Times New Roman" w:hAnsi="Times New Roman" w:eastAsia="宋体" w:cs="Times New Roman"/>
                <w:color w:val="auto"/>
                <w:sz w:val="24"/>
                <w:szCs w:val="24"/>
                <w:highlight w:val="none"/>
                <w:lang w:eastAsia="zh-CN"/>
              </w:rPr>
              <w:t>活垃圾集中收集后委托第三方拉运至</w:t>
            </w:r>
            <w:r>
              <w:rPr>
                <w:rFonts w:hint="eastAsia" w:ascii="Times New Roman" w:hAnsi="Times New Roman" w:cs="Times New Roman"/>
                <w:color w:val="auto"/>
                <w:sz w:val="24"/>
                <w:szCs w:val="24"/>
                <w:highlight w:val="none"/>
                <w:lang w:val="en-US" w:eastAsia="zh-CN"/>
              </w:rPr>
              <w:t>吉木萨尔县</w:t>
            </w:r>
            <w:r>
              <w:rPr>
                <w:rFonts w:hint="default" w:ascii="Times New Roman" w:hAnsi="Times New Roman" w:eastAsia="宋体" w:cs="Times New Roman"/>
                <w:color w:val="auto"/>
                <w:sz w:val="24"/>
                <w:szCs w:val="24"/>
                <w:highlight w:val="none"/>
                <w:lang w:eastAsia="zh-CN"/>
              </w:rPr>
              <w:t>垃圾场处理。本项目施工期生活垃圾共产生</w:t>
            </w:r>
            <w:r>
              <w:rPr>
                <w:rFonts w:hint="default" w:ascii="Times New Roman" w:hAnsi="Times New Roman" w:eastAsia="宋体" w:cs="Times New Roman"/>
                <w:color w:val="auto"/>
                <w:sz w:val="24"/>
                <w:szCs w:val="24"/>
                <w:highlight w:val="none"/>
                <w:lang w:val="en-US" w:eastAsia="zh-CN"/>
              </w:rPr>
              <w:t>7.20</w:t>
            </w:r>
            <w:r>
              <w:rPr>
                <w:rFonts w:hint="default" w:ascii="Times New Roman" w:hAnsi="Times New Roman" w:eastAsia="宋体" w:cs="Times New Roman"/>
                <w:color w:val="auto"/>
                <w:sz w:val="24"/>
                <w:szCs w:val="24"/>
                <w:highlight w:val="none"/>
                <w:lang w:eastAsia="zh-CN"/>
              </w:rPr>
              <w:t>t，占填埋场填埋量比例极小，</w:t>
            </w:r>
            <w:r>
              <w:rPr>
                <w:rFonts w:hint="eastAsia" w:ascii="Times New Roman" w:hAnsi="Times New Roman" w:cs="Times New Roman"/>
                <w:color w:val="auto"/>
                <w:sz w:val="24"/>
                <w:szCs w:val="24"/>
                <w:highlight w:val="none"/>
                <w:lang w:val="en-US" w:eastAsia="zh-CN"/>
              </w:rPr>
              <w:t>吉木萨尔县</w:t>
            </w:r>
            <w:r>
              <w:rPr>
                <w:rFonts w:hint="default" w:ascii="Times New Roman" w:hAnsi="Times New Roman" w:eastAsia="宋体" w:cs="Times New Roman"/>
                <w:color w:val="auto"/>
                <w:sz w:val="24"/>
                <w:szCs w:val="24"/>
                <w:highlight w:val="none"/>
                <w:lang w:eastAsia="zh-CN"/>
              </w:rPr>
              <w:t>垃圾场可以满足本工程施工期生活垃圾填埋需求。</w:t>
            </w:r>
          </w:p>
          <w:p w14:paraId="06684CA3">
            <w:pPr>
              <w:widowControl w:val="0"/>
              <w:kinsoku/>
              <w:spacing w:line="500" w:lineRule="exact"/>
              <w:jc w:val="both"/>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7.1.2钻井泥浆、钻井岩屑</w:t>
            </w:r>
          </w:p>
          <w:p w14:paraId="4F3839FB">
            <w:pPr>
              <w:widowControl w:val="0"/>
              <w:kinsoku/>
              <w:spacing w:line="500" w:lineRule="exact"/>
              <w:ind w:firstLine="480" w:firstLineChars="200"/>
              <w:jc w:val="both"/>
              <w:rPr>
                <w:rFonts w:ascii="宋体" w:hAnsi="宋体" w:eastAsia="宋体" w:cs="宋体"/>
                <w:color w:val="auto"/>
                <w:sz w:val="24"/>
                <w:szCs w:val="24"/>
              </w:rPr>
            </w:pPr>
            <w:r>
              <w:rPr>
                <w:rFonts w:ascii="宋体" w:hAnsi="宋体" w:eastAsia="宋体" w:cs="宋体"/>
                <w:color w:val="auto"/>
                <w:sz w:val="24"/>
                <w:szCs w:val="24"/>
              </w:rPr>
              <w:t>项目钻井过程中井筒返出的钻井液（含钻井泥浆）及岩屑全部进入“钻井液不落地”系统，实现固液分离与分级处理。分离出的液相优先回用于钻井液配制及循环使用；确需更换或无法回用的废液按钻井液体系分类收集，委托有相应处置能力的单位规范转运处置。</w:t>
            </w:r>
          </w:p>
          <w:p w14:paraId="2B44727C">
            <w:pPr>
              <w:widowControl w:val="0"/>
              <w:kinsoku/>
              <w:spacing w:line="500" w:lineRule="exact"/>
              <w:ind w:firstLine="480" w:firstLineChars="200"/>
              <w:jc w:val="both"/>
              <w:rPr>
                <w:rFonts w:ascii="宋体" w:hAnsi="宋体" w:eastAsia="宋体" w:cs="宋体"/>
                <w:color w:val="auto"/>
                <w:sz w:val="24"/>
                <w:szCs w:val="24"/>
              </w:rPr>
            </w:pPr>
            <w:r>
              <w:rPr>
                <w:rFonts w:ascii="宋体" w:hAnsi="宋体" w:eastAsia="宋体" w:cs="宋体"/>
                <w:color w:val="auto"/>
                <w:sz w:val="24"/>
                <w:szCs w:val="24"/>
              </w:rPr>
              <w:t>分离出的固相岩屑按钻井阶段及钻井液类型分类管理：钻井过程中产生的水基钻井岩屑不属于危险废物，委托具有相应处理能力的第三方环保单位进行集中处置，经检测达到《油气田钻井固体废物综合利用污染控制要求》（DB65/T3997-2017）相关标准限值后综合利用；产生的油基钻井岩屑属于危险废物，应采用密闭收集方式收集后暂存于专用岩屑罐内，不得露天堆放、不得散堆暂存。</w:t>
            </w:r>
          </w:p>
          <w:p w14:paraId="4A9C9139">
            <w:pPr>
              <w:widowControl w:val="0"/>
              <w:kinsoku/>
              <w:spacing w:line="500" w:lineRule="exact"/>
              <w:ind w:firstLine="480" w:firstLineChars="200"/>
              <w:jc w:val="both"/>
              <w:rPr>
                <w:rFonts w:hint="default" w:ascii="Times New Roman" w:hAnsi="Times New Roman" w:eastAsia="宋体" w:cs="Times New Roman"/>
                <w:color w:val="auto"/>
                <w:sz w:val="24"/>
                <w:szCs w:val="24"/>
                <w:highlight w:val="none"/>
              </w:rPr>
            </w:pPr>
            <w:r>
              <w:rPr>
                <w:rFonts w:ascii="宋体" w:hAnsi="宋体" w:eastAsia="宋体" w:cs="宋体"/>
                <w:color w:val="auto"/>
                <w:sz w:val="24"/>
                <w:szCs w:val="24"/>
              </w:rPr>
              <w:t>油基岩屑贮存设施应设置于井场独立设置专用暂存区，地面采取重点防渗措施，配套围堰、防雨、防晒、防流失设施，并设置危险废物识别标志。油基岩屑应做到随产随清、及时转运，原则上日产日清；确需短时暂存的，应密闭贮存并及时委托具有危险废物经营资质的单位接收、转运和处置，严禁长期暂存。钻井泥浆及岩屑处理工艺流程如下图所示。</w:t>
            </w:r>
          </w:p>
          <w:p w14:paraId="356F4EF7">
            <w:pPr>
              <w:widowControl w:val="0"/>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189220" cy="1358265"/>
                  <wp:effectExtent l="0" t="0" r="11430" b="13335"/>
                  <wp:docPr id="14" name="图片 14"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nnamed"/>
                          <pic:cNvPicPr>
                            <a:picLocks noChangeAspect="1"/>
                          </pic:cNvPicPr>
                        </pic:nvPicPr>
                        <pic:blipFill>
                          <a:blip r:embed="rId21"/>
                          <a:stretch>
                            <a:fillRect/>
                          </a:stretch>
                        </pic:blipFill>
                        <pic:spPr>
                          <a:xfrm>
                            <a:off x="0" y="0"/>
                            <a:ext cx="5189220" cy="1358265"/>
                          </a:xfrm>
                          <a:prstGeom prst="rect">
                            <a:avLst/>
                          </a:prstGeom>
                        </pic:spPr>
                      </pic:pic>
                    </a:graphicData>
                  </a:graphic>
                </wp:inline>
              </w:drawing>
            </w:r>
          </w:p>
          <w:p w14:paraId="0A353825">
            <w:pPr>
              <w:pStyle w:val="6"/>
              <w:widowControl w:val="0"/>
              <w:kinsoku/>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图5-1钻井泥浆及岩屑处理工艺流程图</w:t>
            </w:r>
          </w:p>
          <w:p w14:paraId="36B791D3">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7.1.3沾油废防渗材料</w:t>
            </w:r>
          </w:p>
          <w:p w14:paraId="3B620FD6">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施工结束后清理场地时产生的未沾油防渗材料由施工单位集中回收利用，</w:t>
            </w:r>
            <w:r>
              <w:rPr>
                <w:rFonts w:hint="default" w:ascii="Times New Roman" w:hAnsi="Times New Roman" w:eastAsia="宋体" w:cs="Times New Roman"/>
                <w:color w:val="auto"/>
                <w:spacing w:val="-1"/>
                <w:sz w:val="24"/>
                <w:szCs w:val="24"/>
                <w:lang w:eastAsia="zh-CN"/>
              </w:rPr>
              <w:t>沾油的</w:t>
            </w:r>
            <w:r>
              <w:rPr>
                <w:rFonts w:hint="default" w:ascii="Times New Roman" w:hAnsi="Times New Roman" w:eastAsia="宋体" w:cs="Times New Roman"/>
                <w:color w:val="auto"/>
                <w:sz w:val="24"/>
                <w:szCs w:val="24"/>
                <w:lang w:eastAsia="zh-CN"/>
              </w:rPr>
              <w:t>废防渗材料属于《国家危险废物名录》（2025年版）中的</w:t>
            </w:r>
            <w:r>
              <w:rPr>
                <w:rFonts w:hint="default" w:ascii="Times New Roman" w:hAnsi="Times New Roman" w:eastAsia="宋体" w:cs="Times New Roman"/>
                <w:color w:val="auto"/>
                <w:spacing w:val="-1"/>
                <w:sz w:val="24"/>
                <w:szCs w:val="24"/>
                <w:lang w:eastAsia="zh-CN"/>
              </w:rPr>
              <w:t>HW08废矿物油与含矿物油类危险废物（废物代码为900-249-08，危险特</w:t>
            </w:r>
            <w:r>
              <w:rPr>
                <w:rFonts w:hint="default" w:ascii="Times New Roman" w:hAnsi="Times New Roman" w:eastAsia="宋体" w:cs="Times New Roman"/>
                <w:color w:val="auto"/>
                <w:spacing w:val="-2"/>
                <w:sz w:val="24"/>
                <w:szCs w:val="24"/>
                <w:lang w:eastAsia="zh-CN"/>
              </w:rPr>
              <w:t>性为毒性和易燃性</w:t>
            </w:r>
            <w:r>
              <w:rPr>
                <w:rFonts w:hint="default" w:ascii="Times New Roman" w:hAnsi="Times New Roman" w:eastAsia="宋体" w:cs="Times New Roman"/>
                <w:color w:val="auto"/>
                <w:spacing w:val="4"/>
                <w:sz w:val="24"/>
                <w:szCs w:val="24"/>
                <w:lang w:eastAsia="zh-CN"/>
              </w:rPr>
              <w:t>），</w:t>
            </w:r>
            <w:r>
              <w:rPr>
                <w:rFonts w:hint="default" w:ascii="Times New Roman" w:hAnsi="Times New Roman" w:eastAsia="宋体" w:cs="Times New Roman"/>
                <w:color w:val="auto"/>
                <w:sz w:val="24"/>
                <w:szCs w:val="24"/>
                <w:lang w:eastAsia="zh-CN"/>
              </w:rPr>
              <w:t>收集后委托具有相应危险废物处置资质的单位进行接收、转运和处置。</w:t>
            </w:r>
          </w:p>
          <w:p w14:paraId="7649E92E">
            <w:pPr>
              <w:widowControl w:val="0"/>
              <w:kinsoku/>
              <w:spacing w:line="500" w:lineRule="exact"/>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7.1.</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eastAsia="zh-CN"/>
              </w:rPr>
              <w:t>机械设备废油</w:t>
            </w:r>
            <w:r>
              <w:rPr>
                <w:rFonts w:hint="eastAsia" w:ascii="Times New Roman" w:hAnsi="Times New Roman" w:eastAsia="宋体" w:cs="Times New Roman"/>
                <w:b/>
                <w:bCs/>
                <w:color w:val="auto"/>
                <w:sz w:val="24"/>
                <w:szCs w:val="24"/>
                <w:lang w:val="en-US" w:eastAsia="zh-CN"/>
              </w:rPr>
              <w:t>及废油桶</w:t>
            </w:r>
          </w:p>
          <w:p w14:paraId="1A2BA431">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ascii="宋体" w:hAnsi="宋体" w:eastAsia="宋体" w:cs="宋体"/>
                <w:color w:val="auto"/>
                <w:sz w:val="24"/>
                <w:szCs w:val="24"/>
              </w:rPr>
              <w:t>钻井作业期间，各类发电机、泥浆泵及钻机等机械设备的日常维护、保养及检修过程将产生少量的废矿物油（包括废机油、废润滑油、废液压油等）以及沾染废油的废包装桶。上述废物均属于危险废物</w:t>
            </w:r>
            <w:r>
              <w:rPr>
                <w:rFonts w:hint="default" w:ascii="Times New Roman" w:hAnsi="Times New Roman" w:eastAsia="宋体" w:cs="Times New Roman"/>
                <w:color w:val="auto"/>
                <w:sz w:val="24"/>
                <w:szCs w:val="24"/>
                <w:lang w:eastAsia="zh-CN"/>
              </w:rPr>
              <w:t>，</w:t>
            </w:r>
            <w:r>
              <w:rPr>
                <w:rFonts w:ascii="宋体" w:hAnsi="宋体" w:eastAsia="宋体" w:cs="宋体"/>
                <w:color w:val="auto"/>
                <w:sz w:val="24"/>
                <w:szCs w:val="24"/>
              </w:rPr>
              <w:t>废矿物油采用专用容器收集，废油桶分类堆存</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暂存在井场设置的危险废物贮存库</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定期由具有相应危险废物处置资质的单位进行接收、转运和处置。</w:t>
            </w:r>
          </w:p>
          <w:p w14:paraId="4215DC76">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7.1.</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eastAsia="zh-CN"/>
              </w:rPr>
              <w:t>落地油</w:t>
            </w:r>
          </w:p>
          <w:p w14:paraId="5BB77AED">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本工程钻井期和试油期间事故状态下可能产生少量落地原油和含油污泥，落地油要求100%回收，按照《国家危险废物名录》（2025年版）、《危险废物环境管理指南 陆上石油天然气开采》（生态环境部公告2021年第74号），落地油泥属于《国家危险废物名录》（2025年）中的HW08废矿物油与含矿物油类危险废物，废物代码为071-001-08，落地油100%回收。</w:t>
            </w:r>
          </w:p>
          <w:bookmarkEnd w:id="30"/>
          <w:p w14:paraId="5DD2D1F7">
            <w:pPr>
              <w:widowControl w:val="0"/>
              <w:kinsoku/>
              <w:spacing w:line="500" w:lineRule="exact"/>
              <w:jc w:val="both"/>
              <w:rPr>
                <w:rFonts w:hint="default" w:ascii="Times New Roman" w:hAnsi="Times New Roman" w:eastAsia="宋体" w:cs="Times New Roman"/>
                <w:b/>
                <w:bCs/>
                <w:color w:val="auto"/>
                <w:sz w:val="24"/>
                <w:szCs w:val="24"/>
                <w:lang w:eastAsia="zh-CN"/>
              </w:rPr>
            </w:pPr>
            <w:bookmarkStart w:id="31" w:name="_Hlk183361156"/>
            <w:bookmarkStart w:id="32" w:name="_Hlk136792721"/>
            <w:r>
              <w:rPr>
                <w:rFonts w:hint="default" w:ascii="Times New Roman" w:hAnsi="Times New Roman" w:eastAsia="宋体" w:cs="Times New Roman"/>
                <w:b/>
                <w:bCs/>
                <w:color w:val="auto"/>
                <w:sz w:val="24"/>
                <w:szCs w:val="24"/>
                <w:lang w:eastAsia="zh-CN"/>
              </w:rPr>
              <w:t>7.2 危险废物环境管理要求</w:t>
            </w:r>
          </w:p>
          <w:p w14:paraId="5A30050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为规范项目危险废物环境管理，防止危险废物在收集、贮存和转运过程中对周边环境造成不利影响，本项目危险废物环境管理要求如下：</w:t>
            </w:r>
          </w:p>
          <w:p w14:paraId="6481239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收集要求：危险废物应按照类别分类收集，严禁与一般工业固体废物、生活垃圾混合收集。废矿物油采用专用容器收集，废油桶分类堆放，沾油废防渗材料采用专用包装袋或专用容器收集，落地油泥装入专用钢制桶，油基岩屑采用密闭收集装置或专用岩屑罐收集。收集容器应完好、密闭、无破损，防止跑冒滴漏。</w:t>
            </w:r>
          </w:p>
          <w:p w14:paraId="0E3AB7C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贮存要求：各类危险废物分区暂存在井场设置的危险废物贮存点，贮存点建设应满足《危险废物贮存污染控制标准》（GB18597-2023）相关要求，具有固定区域边界，并采取与其他区域隔离措施，做到防风、防雨、防晒、防渗、防漏、防流失。危险废物应置于容器或包装物中，不得直接散堆。油基岩屑应暂存于密闭岩屑罐内，地面采取重点防渗措施，并设置围堰、导流沟及渗漏收集措施。危废贮存点应设置危险废物识别标志，建立危废管理台账，实时贮存量不应超过3t。</w:t>
            </w:r>
          </w:p>
          <w:p w14:paraId="29886B2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转运要求：危险废物应及时委托具有相应危险废物经营资质的单位进行接收、转运和处置，油基岩屑原则上日产日清，不长期暂存。危险废物转运前应检查包装容器和标识完整性，防止运输过程遗撒、泄漏；危险废物转移应严格执行危险废物转移联单制度，并按照《危险废物转移管理办法》有关规定开展转移管理。</w:t>
            </w:r>
          </w:p>
          <w:p w14:paraId="63766B7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baseline"/>
              <w:rPr>
                <w:rFonts w:ascii="宋体" w:hAnsi="宋体" w:eastAsia="宋体" w:cs="宋体"/>
                <w:color w:val="auto"/>
                <w:sz w:val="24"/>
                <w:szCs w:val="24"/>
              </w:rPr>
            </w:pPr>
            <w:r>
              <w:rPr>
                <w:rFonts w:hint="default" w:ascii="Times New Roman" w:hAnsi="Times New Roman" w:eastAsia="宋体" w:cs="Times New Roman"/>
                <w:color w:val="auto"/>
                <w:sz w:val="24"/>
                <w:szCs w:val="24"/>
                <w:lang w:eastAsia="zh-CN"/>
              </w:rPr>
              <w:t>④环境管理要求：建设单位应落实危险废物识别标志制度、管理计划制度、管理台账制度和申报制度，并通过国家危险废物信息管理系统如实申报危险废物种类、产生量、贮存、流向和处置情况。危险废物贮存点应安排专人管理，定期检查容器密闭性、防渗措施和标识设置情况，发现异常及时整改。</w:t>
            </w:r>
          </w:p>
          <w:p w14:paraId="710E3D79">
            <w:pPr>
              <w:widowControl w:val="0"/>
              <w:kinsoku/>
              <w:spacing w:line="50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7.</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一般工业固体废物环境管理要求</w:t>
            </w:r>
          </w:p>
          <w:p w14:paraId="4A593E0C">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单位应落实污染环境防治责任制度，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20E27234">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bookmarkStart w:id="33" w:name="_Hlk183363774"/>
            <w:r>
              <w:rPr>
                <w:rFonts w:hint="default" w:ascii="Times New Roman" w:hAnsi="Times New Roman" w:eastAsia="宋体" w:cs="Times New Roman"/>
                <w:b/>
                <w:bCs/>
                <w:color w:val="auto"/>
                <w:sz w:val="24"/>
                <w:szCs w:val="24"/>
                <w:lang w:eastAsia="zh-CN"/>
              </w:rPr>
              <w:t>7.</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eastAsia="zh-CN"/>
              </w:rPr>
              <w:t>危险废物环境管理要求</w:t>
            </w:r>
            <w:bookmarkEnd w:id="33"/>
          </w:p>
          <w:p w14:paraId="2A43E7EB">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建设单位应对</w:t>
            </w:r>
            <w:r>
              <w:rPr>
                <w:rFonts w:hint="eastAsia" w:ascii="Times New Roman" w:hAnsi="Times New Roman" w:eastAsia="宋体" w:cs="Times New Roman"/>
                <w:color w:val="auto"/>
                <w:sz w:val="24"/>
                <w:szCs w:val="24"/>
                <w:lang w:val="en-US" w:eastAsia="zh-CN"/>
              </w:rPr>
              <w:t>机械设备废油</w:t>
            </w:r>
            <w:r>
              <w:rPr>
                <w:rFonts w:hint="default" w:ascii="Times New Roman" w:hAnsi="Times New Roman" w:eastAsia="宋体" w:cs="Times New Roman"/>
                <w:color w:val="auto"/>
                <w:sz w:val="24"/>
                <w:szCs w:val="24"/>
                <w:lang w:eastAsia="zh-CN"/>
              </w:rPr>
              <w:t>、废油桶和沾油的废防渗材料按照《危险废物环境管理指南 陆上石油天然气开采》中的危险废物环境管理要求进行管理，</w:t>
            </w:r>
            <w:bookmarkEnd w:id="31"/>
            <w:r>
              <w:rPr>
                <w:rFonts w:hint="default" w:ascii="Times New Roman" w:hAnsi="Times New Roman" w:eastAsia="宋体" w:cs="Times New Roman"/>
                <w:color w:val="auto"/>
                <w:sz w:val="24"/>
                <w:szCs w:val="24"/>
                <w:lang w:eastAsia="zh-CN"/>
              </w:rPr>
              <w:t>具体如下：</w:t>
            </w:r>
          </w:p>
          <w:p w14:paraId="0A24F09A">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①落实污染环境防治责任制度，建立健全工业危险废物产生、收集、贮存、运输、利用、处置全过程的污染环境防治责任制度。</w:t>
            </w:r>
          </w:p>
          <w:p w14:paraId="462EE956">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落实危险废物识别标志制度，按照《环境保护图形标志固体废物贮存（处置）场》（GB15562.2）修改单、《危险废物识别标志设置技术规范》（HJ1276-2022）等有关规定，对危险废物的容器和收集、贮存、危险废物的场所设置危险废物识别标志。</w:t>
            </w:r>
          </w:p>
          <w:p w14:paraId="10BA5439">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③落实危险废物管理计划制度，按照《</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"https://www.mee.gov.cn/gkml/hbb/bgg/201601/W020160128385366835993.pdf"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 w:val="24"/>
                <w:szCs w:val="24"/>
                <w:lang w:eastAsia="zh-CN"/>
              </w:rPr>
              <w:t>危险废物管理计划和</w:t>
            </w:r>
            <w:r>
              <w:rPr>
                <w:rFonts w:hint="default" w:ascii="Times New Roman" w:hAnsi="Times New Roman" w:eastAsia="宋体" w:cs="Times New Roman"/>
                <w:color w:val="auto"/>
                <w:sz w:val="24"/>
                <w:szCs w:val="24"/>
                <w:lang w:eastAsia="zh-CN"/>
              </w:rPr>
              <w:fldChar w:fldCharType="end"/>
            </w:r>
            <w:r>
              <w:rPr>
                <w:rFonts w:hint="default" w:ascii="Times New Roman" w:hAnsi="Times New Roman" w:eastAsia="宋体" w:cs="Times New Roman"/>
                <w:color w:val="auto"/>
                <w:sz w:val="24"/>
                <w:szCs w:val="24"/>
                <w:lang w:eastAsia="zh-CN"/>
              </w:rPr>
              <w:t>管理台账制定技术导则》（HJ1259-2022）等有关要求制定危险废物管理计划，并报所在地生态环境主管部门备案。</w:t>
            </w:r>
          </w:p>
          <w:p w14:paraId="573DC93A">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④落实危险废物管理台账及申报制度，建立危险废物管理台账，如实记录有关信息，并通过国家危险废物信息管理系统向所在地生态环境主管部门申报危险废物的种类、产生量、流向、贮存、处置等有关资料。</w:t>
            </w:r>
          </w:p>
          <w:p w14:paraId="785D8A96">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⑤落实危险废物转移联单制度，转移危险废物的，应当按照《危险废物转移管理办法》的有关规定填写、运行危险废物转移联单。</w:t>
            </w:r>
          </w:p>
          <w:p w14:paraId="379A9880">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⑥各类危险废物分区暂存在井场设置的危险废物贮存点，贮存点建设须满足《危险废物贮存污染控制标准》（GB18597-2023）中的相关要求，具体如下：井场危废贮存库应采取防风、防雨、防晒和防止危险废物流失、扬散等措施；贮存库贮存的危险废物应置于容器或包装物中，不应直接散堆；应根据危险废物的形态、物理化学性质、包装形式等，采取防渗、防漏等污染防治措施；贮存库应及时清运贮存的危险废物，实时贮存量不应超过3t。各类危险废物定期由依法签订书面合同具有相应危险废物处置资质的单位（受托方）进行接收、转运和处置。</w:t>
            </w:r>
          </w:p>
          <w:bookmarkEnd w:id="32"/>
          <w:p w14:paraId="40D931A7">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上述固体废物处置措施均为技术可行和稳定可靠的成熟措施，钻试工程产生的固体废物均得到妥善处置，不会对环境造成不利影响。</w:t>
            </w:r>
          </w:p>
          <w:p w14:paraId="6752B4A0">
            <w:pPr>
              <w:widowControl w:val="0"/>
              <w:kinsoku/>
              <w:spacing w:line="480" w:lineRule="exact"/>
              <w:jc w:val="both"/>
              <w:rPr>
                <w:rFonts w:hint="default" w:ascii="Times New Roman" w:hAnsi="Times New Roman" w:eastAsia="宋体" w:cs="Times New Roman"/>
                <w:b/>
                <w:bCs/>
                <w:color w:val="auto"/>
                <w:sz w:val="24"/>
                <w:szCs w:val="24"/>
                <w:lang w:eastAsia="zh-CN"/>
              </w:rPr>
            </w:pPr>
            <w:bookmarkStart w:id="34" w:name="OLE_LINK66"/>
            <w:r>
              <w:rPr>
                <w:rFonts w:hint="default" w:ascii="Times New Roman" w:hAnsi="Times New Roman" w:eastAsia="宋体" w:cs="Times New Roman"/>
                <w:b/>
                <w:bCs/>
                <w:color w:val="auto"/>
                <w:sz w:val="24"/>
                <w:szCs w:val="24"/>
                <w:lang w:eastAsia="zh-CN"/>
              </w:rPr>
              <w:t>8.环境风险应急措施及应急要求</w:t>
            </w:r>
          </w:p>
          <w:bookmarkEnd w:id="34"/>
          <w:p w14:paraId="6AE8399C">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8.1管理要求</w:t>
            </w:r>
          </w:p>
          <w:p w14:paraId="69F70D8E">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建设单位以及施工钻井队结合行业作业规范，设置有专职安全环保管理人员，把安全、环境管理纳入生产管理的各个环节，对防止事故的发生能起到非常积极的作用。现场作业严格按照《</w:t>
            </w:r>
            <w:r>
              <w:rPr>
                <w:rFonts w:hint="default" w:ascii="Times New Roman" w:hAnsi="Times New Roman" w:eastAsia="宋体" w:cs="Times New Roman"/>
                <w:color w:val="auto"/>
                <w:sz w:val="24"/>
                <w:szCs w:val="24"/>
                <w:lang w:val="en-US" w:eastAsia="zh-CN"/>
              </w:rPr>
              <w:t>健康安全环境管理体系 第1部分：规范</w:t>
            </w:r>
            <w:r>
              <w:rPr>
                <w:rFonts w:hint="default" w:ascii="Times New Roman" w:hAnsi="Times New Roman" w:eastAsia="宋体" w:cs="Times New Roman"/>
                <w:color w:val="auto"/>
                <w:sz w:val="24"/>
                <w:szCs w:val="24"/>
                <w:lang w:eastAsia="zh-CN"/>
              </w:rPr>
              <w:t>》（Q</w:t>
            </w:r>
            <w:r>
              <w:rPr>
                <w:rFonts w:hint="default" w:ascii="Times New Roman" w:hAnsi="Times New Roman" w:eastAsia="宋体" w:cs="Times New Roman"/>
                <w:color w:val="auto"/>
                <w:sz w:val="24"/>
                <w:szCs w:val="24"/>
                <w:lang w:val="en-US" w:eastAsia="zh-CN"/>
              </w:rPr>
              <w:t>_</w:t>
            </w:r>
            <w:r>
              <w:rPr>
                <w:rFonts w:hint="default" w:ascii="Times New Roman" w:hAnsi="Times New Roman" w:eastAsia="宋体" w:cs="Times New Roman"/>
                <w:color w:val="auto"/>
                <w:sz w:val="24"/>
                <w:szCs w:val="24"/>
                <w:lang w:eastAsia="zh-CN"/>
              </w:rPr>
              <w:t>SY</w:t>
            </w:r>
            <w:r>
              <w:rPr>
                <w:rFonts w:hint="default" w:ascii="Times New Roman" w:hAnsi="Times New Roman" w:eastAsia="宋体" w:cs="Times New Roman"/>
                <w:color w:val="auto"/>
                <w:sz w:val="24"/>
                <w:szCs w:val="24"/>
                <w:lang w:val="en-US" w:eastAsia="zh-CN"/>
              </w:rPr>
              <w:t xml:space="preserve"> 08002.1</w:t>
            </w:r>
            <w:r>
              <w:rPr>
                <w:rFonts w:hint="default" w:ascii="Times New Roman" w:hAnsi="Times New Roman" w:eastAsia="宋体" w:cs="Times New Roman"/>
                <w:color w:val="auto"/>
                <w:sz w:val="24"/>
                <w:szCs w:val="24"/>
                <w:lang w:eastAsia="zh-CN"/>
              </w:rPr>
              <w:t>-20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eastAsia="zh-CN"/>
              </w:rPr>
              <w:t>）的要求执行。</w:t>
            </w:r>
          </w:p>
          <w:p w14:paraId="45CFF267">
            <w:pPr>
              <w:widowControl w:val="0"/>
              <w:kinsoku/>
              <w:spacing w:line="48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8.2井喷环境风险防范措施</w:t>
            </w:r>
          </w:p>
          <w:p w14:paraId="55932FE2">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①设有井控装置，钻井工程中各岗位必须严格分工，定期对井控装置进行维护、保养、检查，保证井控装置及工具灵活可用、始终处于待命状态；落实溢流监测岗位、关井操作岗位和钻井队干部值班制度。</w:t>
            </w:r>
          </w:p>
          <w:p w14:paraId="0AA0E279">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钻开油层后：落实专人坐岗，观察井口和循环池液面变化，发现溢流、井漏及油气显示等异常情况应立即报告司钻；钻开油层后，每次起下钻（离上次活动时间超过5d）对闸板防喷器及手动锁紧装置开关活动一次，定期对井控装置进行试压；起钻杆时每3～5柱向环空灌满泥浆，起钻铤要连续灌浆，作好记录、校核，若灌入泥浆量大于或小于应灌入量，均应停止起钻作业并进行观察。如有溢流，应立即关井求压。如有井漏，应及时采取相应措施。安排专人观察出口管钻井液返出情况，严禁在空井情况下检修设备；钻开油层后，所有车辆应停放在距井口以外30m，必须进入距井口30m以内的车辆，应安装阻火器，车头朝外停放。</w:t>
            </w:r>
          </w:p>
          <w:p w14:paraId="591CE89D">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溢流处理和压井措施：最大允许关井压力应考虑井口装置额定工作压力、套管抗内压强度的80%和薄弱地层破裂压力所允许的关井压力。在允许关井套压内严禁放喷。天然气溢流不允许长时间关井而不作处理。在等候加重材料或在加重过程中，应采取井筒压力控制措施防止井口压力过高。空井溢流关井后，根据溢流的严重程度，可采用置换法和压回法等方法进行处理。</w:t>
            </w:r>
          </w:p>
          <w:p w14:paraId="4514B2C4">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测井、固井、完井等作业时，要严格执行安全操作规程和井控措施，避免发生井下复杂情况和井喷失控事故。电测前井内情况应正常、稳定；测井队到井后应向井队了解井况，确认油气上窜安全作业时间，若电测时间超过等值时间，应中途通井循环再电测。测井队专用剪切工具应放置在钻台上，随时处于待命状态。发生溢流征兆应立即停止电测，尽快起出井内电缆，当危及井控安全时，立即实施剪断电缆并关井。由钻井队队长决定何时切断电缆并进行关井作业，测井队队长负责实施剪断电缆工作。不允许用关闭环形防喷器的方法起电缆。</w:t>
            </w:r>
          </w:p>
          <w:p w14:paraId="461AD9FA">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bidi="ar"/>
              </w:rPr>
            </w:pPr>
            <w:bookmarkStart w:id="35" w:name="_Hlk183350582"/>
            <w:r>
              <w:rPr>
                <w:rFonts w:hint="default" w:ascii="Times New Roman" w:hAnsi="Times New Roman" w:eastAsia="宋体" w:cs="Times New Roman"/>
                <w:color w:val="auto"/>
                <w:sz w:val="24"/>
                <w:szCs w:val="24"/>
                <w:lang w:eastAsia="zh-CN" w:bidi="ar"/>
              </w:rPr>
              <w:t>⑤一旦发生井喷突发事件，应立即启动相应的环境突发事件专项应急预案，立即关闭井口切断污染源，控制原油污染面积，对放喷液进行集中收集处理，同时及时通知可能受影响的人员进行疏散；切断一切可能扩大污染范围的环节，严防污染区域的扩大。采取围、堵等措施限制固体废弃物和溢油扩散范围；</w:t>
            </w:r>
            <w:bookmarkStart w:id="36" w:name="_Hlk183363993"/>
            <w:r>
              <w:rPr>
                <w:rFonts w:hint="default" w:ascii="Times New Roman" w:hAnsi="Times New Roman" w:eastAsia="宋体" w:cs="Times New Roman"/>
                <w:color w:val="auto"/>
                <w:sz w:val="24"/>
                <w:szCs w:val="24"/>
                <w:lang w:eastAsia="zh-CN" w:bidi="ar"/>
              </w:rPr>
              <w:t>将溢油最大限度地回收，对少量确实无法回收的油以及受污染的土壤形成的落地油，采用铲除油泥层等有效方法，落地油泥用专用罐收集，最终交由有危险废物处置资质的单位处置，以降低残油对生态环境的污染程度；</w:t>
            </w:r>
            <w:bookmarkEnd w:id="36"/>
            <w:r>
              <w:rPr>
                <w:rFonts w:hint="default" w:ascii="Times New Roman" w:hAnsi="Times New Roman" w:eastAsia="宋体" w:cs="Times New Roman"/>
                <w:color w:val="auto"/>
                <w:sz w:val="24"/>
                <w:szCs w:val="24"/>
                <w:lang w:eastAsia="zh-CN" w:bidi="ar"/>
              </w:rPr>
              <w:t>同时迅速布点监测，在第一时间确定污染物种类和浓度，出具监测数据，评估污染物转移、扩散速率；对污染状况进行跟踪调查，根据监测数据分析，预测污染迁移强度、速度和影响范围，及时调整对策。</w:t>
            </w:r>
            <w:bookmarkEnd w:id="35"/>
          </w:p>
          <w:p w14:paraId="0F291E52">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eastAsia="zh-CN" w:bidi="ar"/>
              </w:rPr>
              <w:t>井喷后土壤污染修复措施主要包括物理修复、化学修复和生物修复三大类，具体措施需根据污染类型和严重程度选择。实施流程如下：</w:t>
            </w:r>
          </w:p>
          <w:p w14:paraId="377CE2BE">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eastAsia="zh-CN" w:bidi="ar"/>
              </w:rPr>
              <w:t>污染评估：通过网格采样分析污染物类型及浓度分布，确定风险等级。‌</w:t>
            </w:r>
          </w:p>
          <w:p w14:paraId="4D135A48">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eastAsia="zh-CN" w:bidi="ar"/>
              </w:rPr>
              <w:t>方案设计：比选3种以上技术路线，制定工程量及预算。</w:t>
            </w:r>
          </w:p>
          <w:p w14:paraId="7A7B4C07">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eastAsia="zh-CN" w:bidi="ar"/>
              </w:rPr>
              <w:t>施工监测：实施过程中定期检测效果，确保达标后再利用。</w:t>
            </w:r>
          </w:p>
          <w:p w14:paraId="67209A82">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⑥试油期产生的伴生气气量不稳定，不具备回收利用条件，经放喷管线充分燃烧后排放；建设单位应定期检查伴生气燃烧设备，加强燃烧设备的运营维护，确保伴生气充分燃烧，减少污染物的排放。</w:t>
            </w:r>
          </w:p>
          <w:p w14:paraId="68D451B4">
            <w:pPr>
              <w:widowControl w:val="0"/>
              <w:kinsoku/>
              <w:spacing w:line="480" w:lineRule="exact"/>
              <w:jc w:val="both"/>
              <w:rPr>
                <w:rFonts w:hint="default" w:ascii="Times New Roman" w:hAnsi="Times New Roman" w:eastAsia="宋体" w:cs="Times New Roman"/>
                <w:b/>
                <w:bCs/>
                <w:color w:val="auto"/>
                <w:sz w:val="24"/>
                <w:szCs w:val="24"/>
                <w:lang w:eastAsia="zh-CN"/>
              </w:rPr>
            </w:pPr>
            <w:bookmarkStart w:id="37" w:name="OLE_LINK67"/>
            <w:bookmarkStart w:id="38" w:name="_Hlk187171839"/>
            <w:r>
              <w:rPr>
                <w:rFonts w:hint="default" w:ascii="Times New Roman" w:hAnsi="Times New Roman" w:eastAsia="宋体" w:cs="Times New Roman"/>
                <w:b/>
                <w:bCs/>
                <w:color w:val="auto"/>
                <w:sz w:val="24"/>
                <w:szCs w:val="24"/>
                <w:lang w:eastAsia="zh-CN"/>
              </w:rPr>
              <w:t>8.3储罐泄漏防范措施</w:t>
            </w:r>
          </w:p>
          <w:p w14:paraId="344F567C">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①选用质量、防腐措施合格的储罐。安装过程中焊接要经过100%的探伤，安装时应选择刚性不燃的坚固基础作为罐体基础。储罐在投用前，必须严格按照《压力容器安全技术监察规程》进行强度和气密性试验。</w:t>
            </w:r>
          </w:p>
          <w:p w14:paraId="62B5A2B2">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②储罐区应严格用火管理，采用有效的避雷装置和接地装置等防止雷电的措施。</w:t>
            </w:r>
          </w:p>
          <w:p w14:paraId="6D2F63B9">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③加强储罐和管线接口的检查工作，防止腐蚀穿孔。定期进行壁厚检测，腐蚀余量低于规定的允许值时，要及时进行检修和更换。</w:t>
            </w:r>
          </w:p>
          <w:p w14:paraId="4E11A0F9">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bookmarkStart w:id="39" w:name="_Hlk183350612"/>
            <w:r>
              <w:rPr>
                <w:rFonts w:hint="default" w:ascii="Times New Roman" w:hAnsi="Times New Roman" w:eastAsia="宋体" w:cs="Times New Roman"/>
                <w:color w:val="auto"/>
                <w:sz w:val="24"/>
                <w:szCs w:val="24"/>
                <w:lang w:eastAsia="zh-CN" w:bidi="ar"/>
              </w:rPr>
              <w:t>④</w:t>
            </w:r>
            <w:bookmarkStart w:id="40" w:name="_Hlk183364061"/>
            <w:r>
              <w:rPr>
                <w:rFonts w:hint="default" w:ascii="Times New Roman" w:hAnsi="Times New Roman" w:eastAsia="宋体" w:cs="Times New Roman"/>
                <w:color w:val="auto"/>
                <w:sz w:val="24"/>
                <w:szCs w:val="24"/>
                <w:lang w:eastAsia="zh-CN" w:bidi="ar"/>
              </w:rPr>
              <w:t>井场各类储罐、特别是油类物质及危险废物储罐底部均应铺设符合要求的防渗材料，一旦发生泄漏须及时发现并采取有效的堵漏措施，同时对产生的落地油泥用专用罐收集，最终交由有危险废物处置资质的单位处置；加强储罐运输环节的管理，避免出现储罐泄漏风险事故发生。</w:t>
            </w:r>
            <w:bookmarkEnd w:id="39"/>
            <w:bookmarkEnd w:id="40"/>
          </w:p>
          <w:p w14:paraId="15595889">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⑤加强消防安全管理</w:t>
            </w:r>
          </w:p>
          <w:p w14:paraId="1FA63EB6">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定期进行消防培训与实战演练，要求岗位工作人员具有较强的消防安全意识，加强巡检，确保无异常情况出现。</w:t>
            </w:r>
          </w:p>
          <w:bookmarkEnd w:id="37"/>
          <w:p w14:paraId="47C095C6">
            <w:pPr>
              <w:widowControl w:val="0"/>
              <w:kinsoku/>
              <w:spacing w:line="48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8.4井漏防范措施</w:t>
            </w:r>
          </w:p>
          <w:p w14:paraId="423E959C">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①建立、健全各项安全管理制度以及配套的工艺、设备安全操作规程并严格执行，确保施工质量，防漏、防窜，做好防腐工作。</w:t>
            </w:r>
          </w:p>
          <w:p w14:paraId="75FE62DA">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②操作人员应密切注意设备运行状况，发现管件破裂刺漏等问题及时处理；作业现场应配备消防设备以备应急救援。</w:t>
            </w:r>
          </w:p>
          <w:p w14:paraId="3B233597">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③严格要求套管下入深度、确保固井质量。</w:t>
            </w:r>
          </w:p>
          <w:p w14:paraId="50CBA703">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④工程施工单位需具备相应资质，加强对施工现场的安全组织管理和监督。</w:t>
            </w:r>
          </w:p>
          <w:p w14:paraId="2FD31108">
            <w:pPr>
              <w:widowControl w:val="0"/>
              <w:kinsoku/>
              <w:spacing w:line="48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8.5硫化氢防范措施</w:t>
            </w:r>
          </w:p>
          <w:p w14:paraId="4F412BCF">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①在钻井、试油作业过程中配备便携式硫化氢监测仪，做好硫化氢监测预警工作，</w:t>
            </w:r>
            <w:r>
              <w:rPr>
                <w:rFonts w:hint="eastAsia" w:ascii="Times New Roman" w:hAnsi="Times New Roman" w:eastAsia="宋体" w:cs="Times New Roman"/>
                <w:color w:val="auto"/>
                <w:sz w:val="24"/>
                <w:szCs w:val="24"/>
                <w:lang w:val="en-US" w:eastAsia="zh-CN"/>
              </w:rPr>
              <w:t>钻井期间根据《含硫油气井钻井作业规程（Q/SY0215-2019）》、试油期间《硫化氢环节井下作业场所作业安全规范》（SY/T6610-2017)</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当监测到硫化氢浓度大于75mg/m3时，按照含硫油气井作业规程执行。</w:t>
            </w:r>
          </w:p>
          <w:p w14:paraId="123A7E1E">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lang w:eastAsia="zh-CN"/>
              </w:rPr>
              <w:t>②钻井期在作业现场显</w:t>
            </w:r>
            <w:r>
              <w:rPr>
                <w:rFonts w:hint="default" w:ascii="Times New Roman" w:hAnsi="Times New Roman" w:eastAsia="宋体" w:cs="Times New Roman"/>
                <w:color w:val="auto"/>
                <w:sz w:val="24"/>
                <w:szCs w:val="24"/>
                <w:lang w:eastAsia="zh-CN"/>
              </w:rPr>
              <w:t>著位置设置5处风向标；试油期设置2处风向标，并在不同方向上划定2个紧急集合点，并规划撤离路线，发生紧急情况时向上风向撤离。</w:t>
            </w:r>
          </w:p>
          <w:p w14:paraId="6904F72C">
            <w:pPr>
              <w:pStyle w:val="27"/>
              <w:widowControl w:val="0"/>
              <w:kinsoku/>
              <w:ind w:firstLine="0" w:firstLineChars="0"/>
              <w:jc w:val="both"/>
              <w:rPr>
                <w:rFonts w:hint="default" w:ascii="Times New Roman" w:hAnsi="Times New Roman" w:eastAsia="宋体" w:cs="Times New Roman"/>
                <w:b/>
                <w:bCs/>
                <w:color w:val="auto"/>
                <w:sz w:val="24"/>
                <w:szCs w:val="24"/>
                <w:lang w:eastAsia="zh-CN"/>
              </w:rPr>
            </w:pPr>
            <w:bookmarkStart w:id="41" w:name="OLE_LINK68"/>
            <w:r>
              <w:rPr>
                <w:rFonts w:hint="default" w:ascii="Times New Roman" w:hAnsi="Times New Roman" w:eastAsia="宋体" w:cs="Times New Roman"/>
                <w:b/>
                <w:bCs/>
                <w:color w:val="auto"/>
                <w:sz w:val="24"/>
                <w:szCs w:val="24"/>
                <w:lang w:eastAsia="zh-CN"/>
              </w:rPr>
              <w:t>8.6物料运输环境风险防范措施</w:t>
            </w:r>
          </w:p>
          <w:bookmarkEnd w:id="38"/>
          <w:bookmarkEnd w:id="41"/>
          <w:p w14:paraId="7E8B4E9D">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加强各类储罐运输环节的管理，避免出现储罐泄漏风险事故发生。各类罐车装卸作业过程中，必须严格遵守操作规程，轻装、轻卸、严禁摔碰撞击、重压、倒置，防止钻井废水、柴油等污染物撒漏；使用的工具不得损伤罐体,不能粘有与所装货物相抵触的污染物。操作过程中，有关人员不能擅自离岗，机动车辆排气管安装有效的隔热和熄灭火星装置，电路系统应有切断总电源和隔离电火花装置，配备相应的消防器材和工具，防止柴油罐发生火灾爆炸事故。</w:t>
            </w:r>
          </w:p>
          <w:p w14:paraId="4153D200">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运输途中，司机时刻要谨慎行驶，注意适当限速，保持安全车距。危险废物在储存、转移、处理过程中应严格执行《危险废物转移管理办法》（部令第23号）并制定内部转移、转运制度。确保危险废物的运输安全可靠，减少或避免运输过程中的二次污染和可能造成的环境风险。</w:t>
            </w:r>
          </w:p>
          <w:p w14:paraId="47AC124E">
            <w:pPr>
              <w:widowControl w:val="0"/>
              <w:kinsoku/>
              <w:spacing w:line="48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8.7环境风险应急预案</w:t>
            </w:r>
          </w:p>
          <w:p w14:paraId="2F471F0A">
            <w:pPr>
              <w:widowControl w:val="0"/>
              <w:kinsoku/>
              <w:spacing w:line="480" w:lineRule="exact"/>
              <w:ind w:firstLine="480" w:firstLineChars="20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eastAsia="zh-CN"/>
              </w:rPr>
              <w:t>本项目归属中国石油天然气股份有限公司吐哈油田分公司准东采油管理区管辖，应将项目实施区域纳入《中国石油天然气股份有限公司吐哈油田分公司准东采油管理区突发环境事件应急预案》。</w:t>
            </w:r>
          </w:p>
          <w:p w14:paraId="567EA144">
            <w:pPr>
              <w:widowControl w:val="0"/>
              <w:kinsoku/>
              <w:spacing w:line="48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9.结论</w:t>
            </w:r>
          </w:p>
          <w:p w14:paraId="52FD975A">
            <w:pPr>
              <w:widowControl w:val="0"/>
              <w:kinsoku/>
              <w:spacing w:line="480" w:lineRule="exact"/>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lang w:eastAsia="zh-CN"/>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14:paraId="195D1255">
        <w:trPr>
          <w:jc w:val="center"/>
        </w:trPr>
        <w:tc>
          <w:tcPr>
            <w:tcW w:w="271" w:type="pct"/>
            <w:vAlign w:val="center"/>
          </w:tcPr>
          <w:p w14:paraId="67B3DEF0">
            <w:pPr>
              <w:widowControl w:val="0"/>
              <w:kinsoku/>
              <w:spacing w:line="360" w:lineRule="auto"/>
              <w:jc w:val="center"/>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spacing w:val="10"/>
                <w:sz w:val="24"/>
                <w:szCs w:val="24"/>
                <w:lang w:eastAsia="zh-CN"/>
              </w:rPr>
              <w:t>运营期生态环境保护措施</w:t>
            </w:r>
          </w:p>
        </w:tc>
        <w:tc>
          <w:tcPr>
            <w:tcW w:w="4728" w:type="pct"/>
            <w:vAlign w:val="center"/>
          </w:tcPr>
          <w:p w14:paraId="7A7C9418">
            <w:pPr>
              <w:pStyle w:val="27"/>
              <w:widowControl w:val="0"/>
              <w:kinsoku/>
              <w:jc w:val="both"/>
              <w:rPr>
                <w:rFonts w:hint="default" w:ascii="Times New Roman" w:hAnsi="Times New Roman" w:eastAsia="宋体" w:cs="Times New Roman"/>
                <w:color w:val="auto"/>
                <w:sz w:val="24"/>
                <w:szCs w:val="24"/>
                <w:lang w:eastAsia="zh-CN"/>
              </w:rPr>
            </w:pPr>
            <w:bookmarkStart w:id="42" w:name="_Hlk189409650"/>
            <w:bookmarkStart w:id="43" w:name="OLE_LINK30"/>
            <w:r>
              <w:rPr>
                <w:rFonts w:hint="default" w:ascii="Times New Roman" w:hAnsi="Times New Roman" w:eastAsia="宋体" w:cs="Times New Roman"/>
                <w:color w:val="auto"/>
                <w:sz w:val="24"/>
                <w:szCs w:val="24"/>
                <w:lang w:eastAsia="zh-CN"/>
              </w:rPr>
              <w:t>根据试采结果决定新钻井是否转为生产井，若可转为生产井，则应当在产能开发建设前对其开展环境影响评价工作，编制环境影响评价文件；若不具备转产条件，则应根据</w:t>
            </w:r>
            <w:r>
              <w:rPr>
                <w:rFonts w:hint="default" w:ascii="Times New Roman" w:hAnsi="Times New Roman" w:eastAsia="宋体" w:cs="Times New Roman"/>
                <w:color w:val="auto"/>
                <w:sz w:val="24"/>
                <w:szCs w:val="24"/>
                <w:highlight w:val="none"/>
                <w:lang w:eastAsia="zh-CN"/>
              </w:rPr>
              <w:t>《废弃井封井回填技术指南（试行）》《废弃井及长停井处置指南》（SY/T6646-2017）《吐哈油田报废井封井实施细则（试行）》《陆上石油天然气生产环境保护推荐作法》（SY/T6628-2005）《矿山生态环境保护与恢复治理技术规范（试行）》（HJ651-2013）和中国石油天然气股份有限公司吐哈油田分公司准东采油管理区的相关</w:t>
            </w:r>
            <w:r>
              <w:rPr>
                <w:rFonts w:hint="default" w:ascii="Times New Roman" w:hAnsi="Times New Roman" w:eastAsia="宋体" w:cs="Times New Roman"/>
                <w:color w:val="auto"/>
                <w:sz w:val="24"/>
                <w:szCs w:val="24"/>
                <w:lang w:eastAsia="zh-CN"/>
              </w:rPr>
              <w:t>要求对新钻井进行封堵，并拆除相关设施，确保无土壤及地下水环境污染遗留问题、废弃物均得到妥善处置，制定生态恢复方案，并做好以下生态保护措施：</w:t>
            </w:r>
          </w:p>
          <w:bookmarkEnd w:id="42"/>
          <w:p w14:paraId="184A670A">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（1）封井材料应无污染，不得使用可能对地下水造成污染的材料。</w:t>
            </w:r>
          </w:p>
          <w:p w14:paraId="795FAA18">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（2）应开展井盖封堵或密闭填充，对废弃井进行封井回填并做好井口处置，确保地表污染物不进入井内，各层位地下水不连通。</w:t>
            </w:r>
          </w:p>
          <w:p w14:paraId="660D5526">
            <w:pPr>
              <w:pStyle w:val="27"/>
              <w:widowControl w:val="0"/>
              <w:kinsoku/>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（3）确保封井质量合格。</w:t>
            </w:r>
          </w:p>
          <w:p w14:paraId="28888B84">
            <w:pPr>
              <w:pStyle w:val="27"/>
              <w:widowControl w:val="0"/>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lang w:eastAsia="zh-CN"/>
              </w:rPr>
              <w:t>（4）封井作业结束后及时清理作业现场，各个建构筑物和基础设施应全部拆除，做到“工完、料尽、场地清”，确保采取的封井措施有效可行。施工区域采用临时占地剥离表土对其进行覆盖，以便植被自然恢复。各个建构筑物和基础设施拆除过程中会产生一定扬尘，应避开大风天气施工。</w:t>
            </w:r>
            <w:bookmarkEnd w:id="43"/>
          </w:p>
        </w:tc>
      </w:tr>
      <w:tr w14:paraId="2DE43EB4">
        <w:trPr>
          <w:trHeight w:val="2575" w:hRule="atLeast"/>
          <w:jc w:val="center"/>
        </w:trPr>
        <w:tc>
          <w:tcPr>
            <w:tcW w:w="271" w:type="pct"/>
            <w:vAlign w:val="center"/>
          </w:tcPr>
          <w:p w14:paraId="22951661">
            <w:pPr>
              <w:widowControl w:val="0"/>
              <w:kinsoku/>
              <w:spacing w:line="360" w:lineRule="auto"/>
              <w:jc w:val="center"/>
              <w:rPr>
                <w:rFonts w:hint="default" w:ascii="Times New Roman" w:hAnsi="Times New Roman" w:eastAsia="宋体" w:cs="Times New Roman"/>
                <w:bCs/>
                <w:color w:val="auto"/>
                <w:spacing w:val="10"/>
              </w:rPr>
            </w:pPr>
            <w:r>
              <w:rPr>
                <w:rFonts w:hint="default" w:ascii="Times New Roman" w:hAnsi="Times New Roman" w:eastAsia="宋体" w:cs="Times New Roman"/>
                <w:bCs/>
                <w:color w:val="auto"/>
                <w:sz w:val="24"/>
                <w:szCs w:val="24"/>
              </w:rPr>
              <w:t>其他</w:t>
            </w:r>
          </w:p>
        </w:tc>
        <w:tc>
          <w:tcPr>
            <w:tcW w:w="4728" w:type="pct"/>
            <w:vAlign w:val="center"/>
          </w:tcPr>
          <w:p w14:paraId="4C88565D">
            <w:pPr>
              <w:widowControl w:val="0"/>
              <w:kinsoku/>
              <w:spacing w:line="480" w:lineRule="exact"/>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1.环境管理</w:t>
            </w:r>
          </w:p>
          <w:p w14:paraId="2566006F">
            <w:pPr>
              <w:widowControl w:val="0"/>
              <w:kinsoku/>
              <w:spacing w:line="480" w:lineRule="exact"/>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项目实施过程中，在环境管理上建立的健康、安全与环境管理体系（HSE管理体系），落实各项环保和安全措施，减少项目开发对周围环境的影响。本报告提出的环境管理主要内容见下表5-2。</w:t>
            </w:r>
          </w:p>
          <w:p w14:paraId="552B6336">
            <w:pPr>
              <w:pStyle w:val="6"/>
              <w:widowControl w:val="0"/>
              <w:kinsoku/>
              <w:spacing w:line="240" w:lineRule="auto"/>
              <w:ind w:firstLine="420" w:firstLineChars="200"/>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表5-2 施工期环境保护行动计划表</w:t>
            </w:r>
          </w:p>
          <w:tbl>
            <w:tblPr>
              <w:tblStyle w:val="17"/>
              <w:tblW w:w="496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2"/>
              <w:gridCol w:w="1074"/>
              <w:gridCol w:w="6446"/>
            </w:tblGrid>
            <w:tr w14:paraId="12D16D1D">
              <w:trPr>
                <w:trHeight w:val="328" w:hRule="atLeast"/>
                <w:jc w:val="center"/>
              </w:trPr>
              <w:tc>
                <w:tcPr>
                  <w:tcW w:w="370" w:type="pct"/>
                  <w:tcBorders>
                    <w:top w:val="single" w:color="auto" w:sz="4" w:space="0"/>
                    <w:left w:val="single" w:color="auto" w:sz="0" w:space="0"/>
                  </w:tcBorders>
                  <w:tcMar>
                    <w:left w:w="0" w:type="dxa"/>
                    <w:right w:w="0" w:type="dxa"/>
                  </w:tcMar>
                  <w:vAlign w:val="center"/>
                </w:tcPr>
                <w:p w14:paraId="7C89F3FE">
                  <w:pPr>
                    <w:pStyle w:val="32"/>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660" w:type="pct"/>
                  <w:tcBorders>
                    <w:top w:val="single" w:color="auto" w:sz="4" w:space="0"/>
                  </w:tcBorders>
                  <w:tcMar>
                    <w:left w:w="0" w:type="dxa"/>
                    <w:right w:w="0" w:type="dxa"/>
                  </w:tcMar>
                  <w:vAlign w:val="center"/>
                </w:tcPr>
                <w:p w14:paraId="53624E42">
                  <w:pPr>
                    <w:pStyle w:val="32"/>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影响因素</w:t>
                  </w:r>
                </w:p>
              </w:tc>
              <w:tc>
                <w:tcPr>
                  <w:tcW w:w="3968" w:type="pct"/>
                  <w:tcBorders>
                    <w:top w:val="single" w:color="auto" w:sz="4" w:space="0"/>
                    <w:right w:val="single" w:color="auto" w:sz="4" w:space="0"/>
                  </w:tcBorders>
                  <w:tcMar>
                    <w:left w:w="0" w:type="dxa"/>
                    <w:right w:w="0" w:type="dxa"/>
                  </w:tcMar>
                  <w:vAlign w:val="center"/>
                </w:tcPr>
                <w:p w14:paraId="7D6124E5">
                  <w:pPr>
                    <w:pStyle w:val="32"/>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环保措施</w:t>
                  </w:r>
                </w:p>
              </w:tc>
            </w:tr>
            <w:tr w14:paraId="45830091">
              <w:trPr>
                <w:trHeight w:val="953" w:hRule="atLeast"/>
                <w:jc w:val="center"/>
              </w:trPr>
              <w:tc>
                <w:tcPr>
                  <w:tcW w:w="370" w:type="pct"/>
                  <w:tcBorders>
                    <w:left w:val="single" w:color="auto" w:sz="4" w:space="0"/>
                  </w:tcBorders>
                  <w:tcMar>
                    <w:left w:w="0" w:type="dxa"/>
                    <w:right w:w="0" w:type="dxa"/>
                  </w:tcMar>
                  <w:vAlign w:val="center"/>
                </w:tcPr>
                <w:p w14:paraId="0753B832">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60" w:type="pct"/>
                  <w:tcMar>
                    <w:left w:w="0" w:type="dxa"/>
                    <w:right w:w="0" w:type="dxa"/>
                  </w:tcMar>
                  <w:vAlign w:val="center"/>
                </w:tcPr>
                <w:p w14:paraId="31CE14A8">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大气环境</w:t>
                  </w:r>
                </w:p>
              </w:tc>
              <w:tc>
                <w:tcPr>
                  <w:tcW w:w="3968" w:type="pct"/>
                  <w:tcBorders>
                    <w:right w:val="single" w:color="auto" w:sz="4" w:space="0"/>
                  </w:tcBorders>
                  <w:tcMar>
                    <w:left w:w="0" w:type="dxa"/>
                    <w:right w:w="0" w:type="dxa"/>
                  </w:tcMar>
                  <w:vAlign w:val="center"/>
                </w:tcPr>
                <w:p w14:paraId="49FB373D">
                  <w:pPr>
                    <w:pStyle w:val="32"/>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施工动力优先使用</w:t>
                  </w:r>
                  <w:r>
                    <w:rPr>
                      <w:rFonts w:hint="default" w:ascii="Times New Roman" w:hAnsi="Times New Roman" w:eastAsia="宋体" w:cs="Times New Roman"/>
                      <w:color w:val="auto"/>
                      <w:lang w:val="en-US" w:eastAsia="zh-CN"/>
                    </w:rPr>
                    <w:t>工业用电</w:t>
                  </w:r>
                  <w:r>
                    <w:rPr>
                      <w:rFonts w:hint="default" w:ascii="Times New Roman" w:hAnsi="Times New Roman" w:eastAsia="宋体" w:cs="Times New Roman"/>
                      <w:color w:val="auto"/>
                      <w:lang w:eastAsia="zh-CN"/>
                    </w:rPr>
                    <w:t>，减少柴油消耗；备用柴油发电机运行时应使用符合国家标准的油品，并定期对设备进行保养维护，采出液采用密闭装载方式，柴油储罐采用</w:t>
                  </w:r>
                  <w:r>
                    <w:rPr>
                      <w:rFonts w:hint="default" w:ascii="Times New Roman" w:hAnsi="Times New Roman" w:eastAsia="宋体" w:cs="Times New Roman"/>
                      <w:color w:val="auto"/>
                      <w:lang w:val="en-US" w:eastAsia="zh-CN"/>
                    </w:rPr>
                    <w:t>卧式罐</w:t>
                  </w:r>
                  <w:r>
                    <w:rPr>
                      <w:rFonts w:hint="default" w:ascii="Times New Roman" w:hAnsi="Times New Roman" w:eastAsia="宋体" w:cs="Times New Roman"/>
                      <w:color w:val="auto"/>
                      <w:lang w:eastAsia="zh-CN"/>
                    </w:rPr>
                    <w:t>。</w:t>
                  </w:r>
                </w:p>
              </w:tc>
            </w:tr>
            <w:tr w14:paraId="4FE58FF7">
              <w:trPr>
                <w:trHeight w:val="665" w:hRule="atLeast"/>
                <w:jc w:val="center"/>
              </w:trPr>
              <w:tc>
                <w:tcPr>
                  <w:tcW w:w="370" w:type="pct"/>
                  <w:tcBorders>
                    <w:left w:val="single" w:color="auto" w:sz="4" w:space="0"/>
                  </w:tcBorders>
                  <w:tcMar>
                    <w:left w:w="0" w:type="dxa"/>
                    <w:right w:w="0" w:type="dxa"/>
                  </w:tcMar>
                  <w:vAlign w:val="center"/>
                </w:tcPr>
                <w:p w14:paraId="4DB9999C">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660" w:type="pct"/>
                  <w:tcMar>
                    <w:left w:w="0" w:type="dxa"/>
                    <w:right w:w="0" w:type="dxa"/>
                  </w:tcMar>
                  <w:vAlign w:val="center"/>
                </w:tcPr>
                <w:p w14:paraId="6446D4D4">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3968" w:type="pct"/>
                  <w:tcBorders>
                    <w:right w:val="single" w:color="auto" w:sz="4" w:space="0"/>
                  </w:tcBorders>
                  <w:tcMar>
                    <w:left w:w="0" w:type="dxa"/>
                    <w:right w:w="0" w:type="dxa"/>
                  </w:tcMar>
                  <w:vAlign w:val="center"/>
                </w:tcPr>
                <w:p w14:paraId="0C5FBD15">
                  <w:pPr>
                    <w:pStyle w:val="32"/>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施工单位应使用低噪声的施工设备、机械，并定期进行检修和维护，使其处于运行良好的状态。</w:t>
                  </w:r>
                </w:p>
              </w:tc>
            </w:tr>
            <w:tr w14:paraId="55280701">
              <w:trPr>
                <w:trHeight w:val="1875" w:hRule="atLeast"/>
                <w:jc w:val="center"/>
              </w:trPr>
              <w:tc>
                <w:tcPr>
                  <w:tcW w:w="370" w:type="pct"/>
                  <w:tcBorders>
                    <w:left w:val="single" w:color="auto" w:sz="4" w:space="0"/>
                  </w:tcBorders>
                  <w:tcMar>
                    <w:left w:w="0" w:type="dxa"/>
                    <w:right w:w="0" w:type="dxa"/>
                  </w:tcMar>
                  <w:vAlign w:val="center"/>
                </w:tcPr>
                <w:p w14:paraId="34D0DF8E">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660" w:type="pct"/>
                  <w:tcMar>
                    <w:left w:w="0" w:type="dxa"/>
                    <w:right w:w="0" w:type="dxa"/>
                  </w:tcMar>
                  <w:vAlign w:val="center"/>
                </w:tcPr>
                <w:p w14:paraId="4C1D28D8">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水环境和土壤环境</w:t>
                  </w:r>
                </w:p>
              </w:tc>
              <w:tc>
                <w:tcPr>
                  <w:tcW w:w="3968" w:type="pct"/>
                  <w:tcBorders>
                    <w:right w:val="single" w:color="auto" w:sz="4" w:space="0"/>
                  </w:tcBorders>
                  <w:tcMar>
                    <w:left w:w="0" w:type="dxa"/>
                    <w:right w:w="0" w:type="dxa"/>
                  </w:tcMar>
                  <w:vAlign w:val="center"/>
                </w:tcPr>
                <w:p w14:paraId="15B4D3A4">
                  <w:pPr>
                    <w:pStyle w:val="32"/>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钻井液</w:t>
                  </w:r>
                  <w:r>
                    <w:rPr>
                      <w:rFonts w:hint="default" w:ascii="Times New Roman" w:hAnsi="Times New Roman" w:eastAsia="宋体" w:cs="Times New Roman"/>
                      <w:color w:val="auto"/>
                      <w:lang w:val="en-US" w:eastAsia="zh-CN"/>
                    </w:rPr>
                    <w:t>外运处置</w:t>
                  </w:r>
                  <w:r>
                    <w:rPr>
                      <w:rFonts w:hint="default" w:ascii="Times New Roman" w:hAnsi="Times New Roman" w:eastAsia="宋体" w:cs="Times New Roman"/>
                      <w:color w:val="auto"/>
                      <w:lang w:eastAsia="zh-CN"/>
                    </w:rPr>
                    <w:t>不外排；试油期产生的废水收集至地面储罐后由罐车拉运至</w:t>
                  </w:r>
                  <w:r>
                    <w:rPr>
                      <w:rFonts w:hint="eastAsia" w:ascii="Times New Roman" w:hAnsi="Times New Roman" w:eastAsia="宋体" w:cs="Times New Roman"/>
                      <w:color w:val="auto"/>
                      <w:lang w:val="en-US" w:eastAsia="zh-CN"/>
                    </w:rPr>
                    <w:t>吉28脱水站</w:t>
                  </w:r>
                  <w:r>
                    <w:rPr>
                      <w:rFonts w:hint="default" w:ascii="Times New Roman" w:hAnsi="Times New Roman" w:eastAsia="宋体" w:cs="Times New Roman"/>
                      <w:color w:val="auto"/>
                      <w:lang w:eastAsia="zh-CN"/>
                    </w:rPr>
                    <w:t>处理；生活污水汇入</w:t>
                  </w:r>
                  <w:r>
                    <w:rPr>
                      <w:rFonts w:hint="eastAsia" w:ascii="Times New Roman" w:hAnsi="Times New Roman" w:eastAsia="宋体" w:cs="Times New Roman"/>
                      <w:color w:val="auto"/>
                      <w:lang w:val="en-US" w:eastAsia="zh-CN"/>
                    </w:rPr>
                    <w:t>防渗收集池</w:t>
                  </w:r>
                  <w:r>
                    <w:rPr>
                      <w:rFonts w:hint="default" w:ascii="Times New Roman" w:hAnsi="Times New Roman" w:eastAsia="宋体" w:cs="Times New Roman"/>
                      <w:color w:val="auto"/>
                      <w:lang w:eastAsia="zh-CN"/>
                    </w:rPr>
                    <w:t>收集暂存，定期由吸污车抽出后委托拉运至</w:t>
                  </w:r>
                  <w:r>
                    <w:rPr>
                      <w:rFonts w:hint="eastAsia" w:ascii="Times New Roman" w:hAnsi="Times New Roman" w:eastAsia="宋体" w:cs="Times New Roman"/>
                      <w:color w:val="auto"/>
                      <w:lang w:val="en-US" w:eastAsia="zh-CN"/>
                    </w:rPr>
                    <w:t>吉木萨尔县</w:t>
                  </w:r>
                  <w:r>
                    <w:rPr>
                      <w:rFonts w:hint="default" w:ascii="Times New Roman" w:hAnsi="Times New Roman" w:eastAsia="宋体" w:cs="Times New Roman"/>
                      <w:color w:val="auto"/>
                      <w:lang w:eastAsia="zh-CN"/>
                    </w:rPr>
                    <w:t>市政污水处理厂处理。关键区域做好符合相关环保要求的防渗措施；提高施工效率，缩短施工时间；工程结束后，做好施工场地的恢复工作。</w:t>
                  </w:r>
                </w:p>
              </w:tc>
            </w:tr>
            <w:tr w14:paraId="6EB32FBE">
              <w:trPr>
                <w:trHeight w:val="2567" w:hRule="atLeast"/>
                <w:jc w:val="center"/>
              </w:trPr>
              <w:tc>
                <w:tcPr>
                  <w:tcW w:w="370" w:type="pct"/>
                  <w:tcBorders>
                    <w:left w:val="single" w:color="auto" w:sz="4" w:space="0"/>
                  </w:tcBorders>
                  <w:tcMar>
                    <w:left w:w="0" w:type="dxa"/>
                    <w:right w:w="0" w:type="dxa"/>
                  </w:tcMar>
                  <w:vAlign w:val="center"/>
                </w:tcPr>
                <w:p w14:paraId="7BA195B0">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660" w:type="pct"/>
                  <w:tcMar>
                    <w:left w:w="0" w:type="dxa"/>
                    <w:right w:w="0" w:type="dxa"/>
                  </w:tcMar>
                  <w:vAlign w:val="center"/>
                </w:tcPr>
                <w:p w14:paraId="00F88976">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p>
              </w:tc>
              <w:tc>
                <w:tcPr>
                  <w:tcW w:w="3968" w:type="pct"/>
                  <w:tcBorders>
                    <w:right w:val="single" w:color="auto" w:sz="4" w:space="0"/>
                  </w:tcBorders>
                  <w:tcMar>
                    <w:left w:w="0" w:type="dxa"/>
                    <w:right w:w="0" w:type="dxa"/>
                  </w:tcMar>
                  <w:vAlign w:val="center"/>
                </w:tcPr>
                <w:p w14:paraId="59BE258B">
                  <w:pPr>
                    <w:pStyle w:val="32"/>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生活垃圾集中收集后委托第三方拉运至</w:t>
                  </w:r>
                  <w:r>
                    <w:rPr>
                      <w:rFonts w:hint="eastAsia" w:ascii="Times New Roman" w:hAnsi="Times New Roman" w:eastAsia="宋体" w:cs="Times New Roman"/>
                      <w:color w:val="auto"/>
                      <w:lang w:val="en-US" w:eastAsia="zh-CN"/>
                    </w:rPr>
                    <w:t>吉木萨尔县</w:t>
                  </w:r>
                  <w:r>
                    <w:rPr>
                      <w:rFonts w:hint="default" w:ascii="Times New Roman" w:hAnsi="Times New Roman" w:eastAsia="宋体" w:cs="Times New Roman"/>
                      <w:color w:val="auto"/>
                      <w:lang w:eastAsia="zh-CN"/>
                    </w:rPr>
                    <w:t>垃圾场处理。钻井过程中产生的钻井液及岩屑在井口采用固控工艺进行固液分离，分离出的液相优先回用于钻井液配制与循环使用；分离出的固相岩屑实行分类暂存与分流处置：</w:t>
                  </w:r>
                  <w:r>
                    <w:rPr>
                      <w:rFonts w:hint="eastAsia" w:ascii="Times New Roman" w:hAnsi="Times New Roman" w:eastAsia="宋体" w:cs="Times New Roman"/>
                      <w:color w:val="auto"/>
                      <w:lang w:val="en-US" w:eastAsia="zh-CN"/>
                    </w:rPr>
                    <w:t>钻井过程中</w:t>
                  </w:r>
                  <w:r>
                    <w:rPr>
                      <w:rFonts w:hint="default" w:ascii="Times New Roman" w:hAnsi="Times New Roman" w:eastAsia="宋体" w:cs="Times New Roman"/>
                      <w:color w:val="auto"/>
                      <w:lang w:eastAsia="zh-CN"/>
                    </w:rPr>
                    <w:t>产生的水基钻井岩屑不属于危险废物，</w:t>
                  </w:r>
                  <w:r>
                    <w:rPr>
                      <w:rFonts w:hint="eastAsia" w:ascii="Times New Roman" w:hAnsi="Times New Roman" w:eastAsia="宋体" w:cs="Times New Roman"/>
                      <w:color w:val="auto"/>
                      <w:lang w:val="en-US" w:eastAsia="zh-CN"/>
                    </w:rPr>
                    <w:t>委托具有</w:t>
                  </w:r>
                  <w:r>
                    <w:rPr>
                      <w:rFonts w:hint="default" w:ascii="Times New Roman" w:hAnsi="Times New Roman" w:eastAsia="宋体" w:cs="Times New Roman"/>
                      <w:color w:val="auto"/>
                      <w:lang w:eastAsia="zh-CN"/>
                    </w:rPr>
                    <w:t>相应处理能力的第三方</w:t>
                  </w:r>
                  <w:r>
                    <w:rPr>
                      <w:rFonts w:hint="eastAsia" w:ascii="Times New Roman" w:hAnsi="Times New Roman" w:eastAsia="宋体" w:cs="Times New Roman"/>
                      <w:color w:val="auto"/>
                      <w:lang w:val="en-US" w:eastAsia="zh-CN"/>
                    </w:rPr>
                    <w:t>环保</w:t>
                  </w:r>
                  <w:r>
                    <w:rPr>
                      <w:rFonts w:hint="default" w:ascii="Times New Roman" w:hAnsi="Times New Roman" w:eastAsia="宋体" w:cs="Times New Roman"/>
                      <w:color w:val="auto"/>
                      <w:lang w:eastAsia="zh-CN"/>
                    </w:rPr>
                    <w:t>单位进行集中处置，经检测达到《油气田钻井固体废物综合利用污染控制要求》（DB65/T3997-2017）相关标准限值后综合利用；产生的油基钻井岩屑属于危险废物，</w:t>
                  </w:r>
                  <w:r>
                    <w:rPr>
                      <w:rFonts w:hint="default" w:ascii="Times New Roman" w:hAnsi="Times New Roman" w:eastAsia="宋体" w:cs="Times New Roman"/>
                      <w:color w:val="auto"/>
                      <w:lang w:val="en-US" w:eastAsia="zh-CN"/>
                    </w:rPr>
                    <w:t>规范</w:t>
                  </w:r>
                  <w:r>
                    <w:rPr>
                      <w:rFonts w:hint="default" w:ascii="Times New Roman" w:hAnsi="Times New Roman" w:eastAsia="宋体" w:cs="Times New Roman"/>
                      <w:color w:val="auto"/>
                      <w:lang w:eastAsia="zh-CN"/>
                    </w:rPr>
                    <w:t>收集、防渗暂存，委托具有危险废物经营资质的单位</w:t>
                  </w:r>
                  <w:r>
                    <w:rPr>
                      <w:rFonts w:hint="eastAsia" w:ascii="Times New Roman" w:hAnsi="Times New Roman" w:eastAsia="宋体" w:cs="Times New Roman"/>
                      <w:color w:val="auto"/>
                      <w:lang w:val="en-US" w:eastAsia="zh-CN"/>
                    </w:rPr>
                    <w:t>及时</w:t>
                  </w:r>
                  <w:r>
                    <w:rPr>
                      <w:rFonts w:hint="default" w:ascii="Times New Roman" w:hAnsi="Times New Roman" w:eastAsia="宋体" w:cs="Times New Roman"/>
                      <w:color w:val="auto"/>
                      <w:lang w:eastAsia="zh-CN"/>
                    </w:rPr>
                    <w:t>规范处置</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日产日清</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。粘油废防渗材料、落地油、机械设备废油</w:t>
                  </w:r>
                  <w:r>
                    <w:rPr>
                      <w:rFonts w:hint="eastAsia" w:ascii="Times New Roman" w:hAnsi="Times New Roman" w:eastAsia="宋体" w:cs="Times New Roman"/>
                      <w:color w:val="auto"/>
                      <w:lang w:val="en-US" w:eastAsia="zh-CN"/>
                    </w:rPr>
                    <w:t>及废油桶</w:t>
                  </w:r>
                  <w:r>
                    <w:rPr>
                      <w:rFonts w:hint="default" w:ascii="Times New Roman" w:hAnsi="Times New Roman" w:eastAsia="宋体" w:cs="Times New Roman"/>
                      <w:color w:val="auto"/>
                      <w:lang w:eastAsia="zh-CN"/>
                    </w:rPr>
                    <w:t>委托有资质单位进行妥善处理。</w:t>
                  </w:r>
                </w:p>
              </w:tc>
            </w:tr>
            <w:tr w14:paraId="38B05E65">
              <w:trPr>
                <w:trHeight w:val="1260" w:hRule="atLeast"/>
                <w:jc w:val="center"/>
              </w:trPr>
              <w:tc>
                <w:tcPr>
                  <w:tcW w:w="370" w:type="pct"/>
                  <w:tcBorders>
                    <w:left w:val="single" w:color="auto" w:sz="4" w:space="0"/>
                  </w:tcBorders>
                  <w:tcMar>
                    <w:left w:w="0" w:type="dxa"/>
                    <w:right w:w="0" w:type="dxa"/>
                  </w:tcMar>
                  <w:vAlign w:val="center"/>
                </w:tcPr>
                <w:p w14:paraId="6B3B870E">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660" w:type="pct"/>
                  <w:tcMar>
                    <w:left w:w="0" w:type="dxa"/>
                    <w:right w:w="0" w:type="dxa"/>
                  </w:tcMar>
                  <w:vAlign w:val="center"/>
                </w:tcPr>
                <w:p w14:paraId="65B907D0">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生态环境</w:t>
                  </w:r>
                </w:p>
              </w:tc>
              <w:tc>
                <w:tcPr>
                  <w:tcW w:w="3968" w:type="pct"/>
                  <w:tcBorders>
                    <w:right w:val="single" w:color="auto" w:sz="4" w:space="0"/>
                  </w:tcBorders>
                  <w:tcMar>
                    <w:left w:w="0" w:type="dxa"/>
                    <w:right w:w="0" w:type="dxa"/>
                  </w:tcMar>
                  <w:vAlign w:val="center"/>
                </w:tcPr>
                <w:p w14:paraId="066DADC7">
                  <w:pPr>
                    <w:pStyle w:val="32"/>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14:paraId="706EBBC2">
              <w:trPr>
                <w:trHeight w:val="1946" w:hRule="atLeast"/>
                <w:jc w:val="center"/>
              </w:trPr>
              <w:tc>
                <w:tcPr>
                  <w:tcW w:w="370" w:type="pct"/>
                  <w:tcBorders>
                    <w:left w:val="single" w:color="auto" w:sz="4" w:space="0"/>
                  </w:tcBorders>
                  <w:tcMar>
                    <w:left w:w="0" w:type="dxa"/>
                    <w:right w:w="0" w:type="dxa"/>
                  </w:tcMar>
                  <w:vAlign w:val="center"/>
                </w:tcPr>
                <w:p w14:paraId="61221DE2">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660" w:type="pct"/>
                  <w:tcMar>
                    <w:left w:w="0" w:type="dxa"/>
                    <w:right w:w="0" w:type="dxa"/>
                  </w:tcMar>
                  <w:vAlign w:val="center"/>
                </w:tcPr>
                <w:p w14:paraId="74E15518">
                  <w:pPr>
                    <w:pStyle w:val="32"/>
                    <w:kinsoku/>
                    <w:rPr>
                      <w:rFonts w:hint="default" w:ascii="Times New Roman" w:hAnsi="Times New Roman" w:eastAsia="宋体" w:cs="Times New Roman"/>
                      <w:color w:val="auto"/>
                    </w:rPr>
                  </w:pPr>
                  <w:r>
                    <w:rPr>
                      <w:rFonts w:hint="default" w:ascii="Times New Roman" w:hAnsi="Times New Roman" w:eastAsia="宋体" w:cs="Times New Roman"/>
                      <w:color w:val="auto"/>
                    </w:rPr>
                    <w:t>环境管理</w:t>
                  </w:r>
                </w:p>
              </w:tc>
              <w:tc>
                <w:tcPr>
                  <w:tcW w:w="3968" w:type="pct"/>
                  <w:tcBorders>
                    <w:right w:val="single" w:color="auto" w:sz="4" w:space="0"/>
                  </w:tcBorders>
                  <w:tcMar>
                    <w:left w:w="0" w:type="dxa"/>
                    <w:right w:w="0" w:type="dxa"/>
                  </w:tcMar>
                  <w:vAlign w:val="center"/>
                </w:tcPr>
                <w:p w14:paraId="038A6C70">
                  <w:pPr>
                    <w:pStyle w:val="32"/>
                    <w:kinsoku/>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14:paraId="6325EEB8">
            <w:pPr>
              <w:pStyle w:val="23"/>
              <w:widowControl w:val="0"/>
              <w:kinsoku/>
              <w:spacing w:before="5" w:line="358"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2.环境监测</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检查</w:t>
            </w:r>
            <w:r>
              <w:rPr>
                <w:rFonts w:hint="default" w:ascii="Times New Roman" w:hAnsi="Times New Roman" w:eastAsia="宋体" w:cs="Times New Roman"/>
                <w:b/>
                <w:bCs/>
                <w:color w:val="auto"/>
                <w:sz w:val="24"/>
                <w:szCs w:val="24"/>
                <w:lang w:eastAsia="zh-CN"/>
              </w:rPr>
              <w:t>计划</w:t>
            </w:r>
          </w:p>
          <w:p w14:paraId="692A6DE4">
            <w:pPr>
              <w:pStyle w:val="23"/>
              <w:widowControl w:val="0"/>
              <w:kinsoku/>
              <w:spacing w:line="357" w:lineRule="auto"/>
              <w:ind w:left="6" w:firstLine="430"/>
              <w:jc w:val="both"/>
              <w:rPr>
                <w:rFonts w:hint="default" w:ascii="Times New Roman" w:hAnsi="Times New Roman" w:eastAsia="宋体" w:cs="Times New Roman"/>
                <w:color w:val="auto"/>
                <w:spacing w:val="-3"/>
                <w:sz w:val="24"/>
                <w:szCs w:val="24"/>
                <w:lang w:eastAsia="zh-CN"/>
              </w:rPr>
            </w:pPr>
            <w:r>
              <w:rPr>
                <w:rFonts w:ascii="宋体" w:hAnsi="宋体" w:eastAsia="宋体" w:cs="宋体"/>
                <w:color w:val="auto"/>
                <w:sz w:val="24"/>
                <w:szCs w:val="24"/>
              </w:rPr>
              <w:t>根据项目特点，本项目为陆地油气勘探评价井钻试工程，施工周期较短，环境影响具有阶段性。项目环境管理以施工期、试油期环境监测与环境检查为主，并结合封闭井恢复要求，对生态恢复情况开展跟踪检查。环境监测计划重点关注试油期无组织废气、钻井高噪声作业、异常工况下土壤环境影响，以及井场、生活营地、临时道路、沟渠和封闭井恢复区的生态恢复情况。</w:t>
            </w:r>
          </w:p>
          <w:p w14:paraId="1BC6C47C">
            <w:pPr>
              <w:pStyle w:val="23"/>
              <w:widowControl w:val="0"/>
              <w:kinsoku/>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表</w:t>
            </w:r>
            <w:r>
              <w:rPr>
                <w:rFonts w:hint="default" w:ascii="Times New Roman" w:hAnsi="Times New Roman" w:eastAsia="宋体" w:cs="Times New Roman"/>
                <w:b/>
                <w:bCs/>
                <w:color w:val="auto"/>
                <w:spacing w:val="5"/>
                <w:sz w:val="21"/>
                <w:szCs w:val="21"/>
                <w:lang w:eastAsia="zh-CN"/>
              </w:rPr>
              <w:t>5-3</w:t>
            </w:r>
            <w:r>
              <w:rPr>
                <w:rFonts w:hint="default" w:ascii="Times New Roman" w:hAnsi="Times New Roman" w:eastAsia="宋体" w:cs="Times New Roman"/>
                <w:b/>
                <w:bCs/>
                <w:color w:val="auto"/>
                <w:spacing w:val="5"/>
                <w:sz w:val="21"/>
                <w:szCs w:val="21"/>
              </w:rPr>
              <w:t>环境监测</w:t>
            </w:r>
            <w:r>
              <w:rPr>
                <w:rFonts w:hint="eastAsia" w:ascii="Times New Roman" w:hAnsi="Times New Roman" w:cs="Times New Roman"/>
                <w:b/>
                <w:bCs/>
                <w:color w:val="auto"/>
                <w:spacing w:val="5"/>
                <w:sz w:val="21"/>
                <w:szCs w:val="21"/>
                <w:lang w:val="en-US" w:eastAsia="zh-CN"/>
              </w:rPr>
              <w:t>/检查</w:t>
            </w:r>
            <w:r>
              <w:rPr>
                <w:rFonts w:hint="default" w:ascii="Times New Roman" w:hAnsi="Times New Roman" w:eastAsia="宋体" w:cs="Times New Roman"/>
                <w:b/>
                <w:bCs/>
                <w:color w:val="auto"/>
                <w:spacing w:val="5"/>
                <w:sz w:val="21"/>
                <w:szCs w:val="21"/>
              </w:rPr>
              <w:t>计划表</w:t>
            </w:r>
          </w:p>
          <w:tbl>
            <w:tblPr>
              <w:tblStyle w:val="22"/>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5"/>
              <w:gridCol w:w="1766"/>
              <w:gridCol w:w="1694"/>
              <w:gridCol w:w="2240"/>
              <w:gridCol w:w="1580"/>
            </w:tblGrid>
            <w:tr w14:paraId="7C272DF3">
              <w:trPr>
                <w:trHeight w:val="109" w:hRule="atLeast"/>
                <w:jc w:val="center"/>
              </w:trPr>
              <w:tc>
                <w:tcPr>
                  <w:tcW w:w="855" w:type="dxa"/>
                  <w:vAlign w:val="center"/>
                </w:tcPr>
                <w:p w14:paraId="336C77CE">
                  <w:pPr>
                    <w:pStyle w:val="23"/>
                    <w:kinsoku/>
                    <w:spacing w:before="167"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监测对象</w:t>
                  </w:r>
                </w:p>
              </w:tc>
              <w:tc>
                <w:tcPr>
                  <w:tcW w:w="1766" w:type="dxa"/>
                  <w:vAlign w:val="center"/>
                </w:tcPr>
                <w:p w14:paraId="633CDA7F">
                  <w:pPr>
                    <w:pStyle w:val="23"/>
                    <w:kinsoku/>
                    <w:spacing w:before="167"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监测频率</w:t>
                  </w:r>
                </w:p>
              </w:tc>
              <w:tc>
                <w:tcPr>
                  <w:tcW w:w="1694" w:type="dxa"/>
                  <w:vAlign w:val="center"/>
                </w:tcPr>
                <w:p w14:paraId="309730F9">
                  <w:pPr>
                    <w:pStyle w:val="23"/>
                    <w:kinsoku/>
                    <w:spacing w:before="168"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监测项目</w:t>
                  </w:r>
                </w:p>
              </w:tc>
              <w:tc>
                <w:tcPr>
                  <w:tcW w:w="2240" w:type="dxa"/>
                  <w:vAlign w:val="center"/>
                </w:tcPr>
                <w:p w14:paraId="333E9D72">
                  <w:pPr>
                    <w:pStyle w:val="23"/>
                    <w:kinsoku/>
                    <w:spacing w:before="167" w:line="229"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监测地点</w:t>
                  </w:r>
                </w:p>
              </w:tc>
              <w:tc>
                <w:tcPr>
                  <w:tcW w:w="1580" w:type="dxa"/>
                  <w:vAlign w:val="center"/>
                </w:tcPr>
                <w:p w14:paraId="042AE1DA">
                  <w:pPr>
                    <w:pStyle w:val="23"/>
                    <w:kinsoku/>
                    <w:spacing w:before="33" w:line="229"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lang w:eastAsia="zh-CN"/>
                    </w:rPr>
                    <w:t>监测时间</w:t>
                  </w:r>
                </w:p>
              </w:tc>
            </w:tr>
            <w:tr w14:paraId="5F855077">
              <w:trPr>
                <w:trHeight w:val="705" w:hRule="atLeast"/>
                <w:jc w:val="center"/>
              </w:trPr>
              <w:tc>
                <w:tcPr>
                  <w:tcW w:w="855" w:type="dxa"/>
                  <w:vAlign w:val="center"/>
                </w:tcPr>
                <w:p w14:paraId="061AC79B">
                  <w:pPr>
                    <w:pStyle w:val="23"/>
                    <w:kinsoku/>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大气</w:t>
                  </w:r>
                </w:p>
              </w:tc>
              <w:tc>
                <w:tcPr>
                  <w:tcW w:w="1766" w:type="dxa"/>
                  <w:vAlign w:val="center"/>
                </w:tcPr>
                <w:p w14:paraId="4C683064">
                  <w:pPr>
                    <w:pStyle w:val="23"/>
                    <w:kinsoku/>
                    <w:spacing w:before="168"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lang w:val="en-US" w:eastAsia="zh-CN"/>
                    </w:rPr>
                    <w:t>视情况</w:t>
                  </w:r>
                </w:p>
              </w:tc>
              <w:tc>
                <w:tcPr>
                  <w:tcW w:w="1694" w:type="dxa"/>
                  <w:vAlign w:val="center"/>
                </w:tcPr>
                <w:p w14:paraId="5415572D">
                  <w:pPr>
                    <w:kinsoku/>
                    <w:spacing w:before="204" w:line="195"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1"/>
                      <w:highlight w:val="none"/>
                      <w:lang w:eastAsia="zh-CN"/>
                    </w:rPr>
                    <w:t>非</w:t>
                  </w:r>
                  <w:r>
                    <w:rPr>
                      <w:rFonts w:hint="default" w:ascii="Times New Roman" w:hAnsi="Times New Roman" w:eastAsia="宋体" w:cs="Times New Roman"/>
                      <w:color w:val="auto"/>
                      <w:spacing w:val="-1"/>
                      <w:highlight w:val="none"/>
                    </w:rPr>
                    <w:t>甲烷总烃、H</w:t>
                  </w:r>
                  <w:r>
                    <w:rPr>
                      <w:rFonts w:hint="default" w:ascii="Times New Roman" w:hAnsi="Times New Roman" w:eastAsia="宋体" w:cs="Times New Roman"/>
                      <w:color w:val="auto"/>
                      <w:spacing w:val="-1"/>
                      <w:highlight w:val="none"/>
                      <w:vertAlign w:val="subscript"/>
                    </w:rPr>
                    <w:t>2</w:t>
                  </w:r>
                  <w:r>
                    <w:rPr>
                      <w:rFonts w:hint="default" w:ascii="Times New Roman" w:hAnsi="Times New Roman" w:eastAsia="宋体" w:cs="Times New Roman"/>
                      <w:color w:val="auto"/>
                      <w:spacing w:val="-1"/>
                      <w:highlight w:val="none"/>
                    </w:rPr>
                    <w:t>S</w:t>
                  </w:r>
                </w:p>
              </w:tc>
              <w:tc>
                <w:tcPr>
                  <w:tcW w:w="2240" w:type="dxa"/>
                  <w:vAlign w:val="center"/>
                </w:tcPr>
                <w:p w14:paraId="51BE33EF">
                  <w:pPr>
                    <w:pStyle w:val="23"/>
                    <w:kinsoku/>
                    <w:spacing w:before="169"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lang w:eastAsia="zh-CN"/>
                    </w:rPr>
                    <w:t>项目区</w:t>
                  </w:r>
                </w:p>
              </w:tc>
              <w:tc>
                <w:tcPr>
                  <w:tcW w:w="1580" w:type="dxa"/>
                  <w:vAlign w:val="center"/>
                </w:tcPr>
                <w:p w14:paraId="08DB48D2">
                  <w:pPr>
                    <w:pStyle w:val="23"/>
                    <w:kinsoku/>
                    <w:spacing w:before="35" w:line="228" w:lineRule="auto"/>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试油或异常工况时</w:t>
                  </w:r>
                </w:p>
              </w:tc>
            </w:tr>
            <w:tr w14:paraId="612A6F97">
              <w:trPr>
                <w:trHeight w:val="587" w:hRule="atLeast"/>
                <w:jc w:val="center"/>
              </w:trPr>
              <w:tc>
                <w:tcPr>
                  <w:tcW w:w="855" w:type="dxa"/>
                  <w:vAlign w:val="center"/>
                </w:tcPr>
                <w:p w14:paraId="186CDD91">
                  <w:pPr>
                    <w:pStyle w:val="23"/>
                    <w:kinsoku/>
                    <w:spacing w:before="51"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噪声</w:t>
                  </w:r>
                </w:p>
              </w:tc>
              <w:tc>
                <w:tcPr>
                  <w:tcW w:w="1766" w:type="dxa"/>
                  <w:vAlign w:val="center"/>
                </w:tcPr>
                <w:p w14:paraId="237CD294">
                  <w:pPr>
                    <w:pStyle w:val="23"/>
                    <w:kinsoku/>
                    <w:spacing w:before="50"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lang w:eastAsia="zh-CN"/>
                    </w:rPr>
                    <w:t>1次/钻井周期内</w:t>
                  </w:r>
                </w:p>
              </w:tc>
              <w:tc>
                <w:tcPr>
                  <w:tcW w:w="1694" w:type="dxa"/>
                  <w:vAlign w:val="center"/>
                </w:tcPr>
                <w:p w14:paraId="06A73583">
                  <w:pPr>
                    <w:pStyle w:val="23"/>
                    <w:kinsoku/>
                    <w:spacing w:before="50"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等效连续A声级</w:t>
                  </w:r>
                </w:p>
              </w:tc>
              <w:tc>
                <w:tcPr>
                  <w:tcW w:w="2240" w:type="dxa"/>
                  <w:vAlign w:val="center"/>
                </w:tcPr>
                <w:p w14:paraId="57BC897A">
                  <w:pPr>
                    <w:pStyle w:val="23"/>
                    <w:kinsoku/>
                    <w:spacing w:before="51" w:line="228"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pacing w:val="8"/>
                      <w:sz w:val="21"/>
                      <w:szCs w:val="21"/>
                      <w:highlight w:val="none"/>
                      <w:lang w:eastAsia="zh-CN"/>
                    </w:rPr>
                    <w:t>井场</w:t>
                  </w:r>
                  <w:r>
                    <w:rPr>
                      <w:rFonts w:hint="default" w:ascii="Times New Roman" w:hAnsi="Times New Roman" w:eastAsia="宋体" w:cs="Times New Roman"/>
                      <w:color w:val="auto"/>
                      <w:spacing w:val="8"/>
                      <w:sz w:val="21"/>
                      <w:szCs w:val="21"/>
                      <w:highlight w:val="none"/>
                      <w:lang w:val="en-US" w:eastAsia="zh-CN"/>
                    </w:rPr>
                    <w:t>边界</w:t>
                  </w:r>
                </w:p>
              </w:tc>
              <w:tc>
                <w:tcPr>
                  <w:tcW w:w="1580" w:type="dxa"/>
                  <w:vAlign w:val="center"/>
                </w:tcPr>
                <w:p w14:paraId="76F2F192">
                  <w:pPr>
                    <w:kinsoku/>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spacing w:val="6"/>
                      <w:highlight w:val="none"/>
                      <w:lang w:val="en-US" w:eastAsia="zh-CN"/>
                    </w:rPr>
                    <w:t>钻井高噪声作业阶段</w:t>
                  </w:r>
                </w:p>
              </w:tc>
            </w:tr>
            <w:tr w14:paraId="409BF1FD">
              <w:trPr>
                <w:trHeight w:val="685" w:hRule="atLeast"/>
                <w:jc w:val="center"/>
              </w:trPr>
              <w:tc>
                <w:tcPr>
                  <w:tcW w:w="855" w:type="dxa"/>
                  <w:vAlign w:val="center"/>
                </w:tcPr>
                <w:p w14:paraId="3407CFF2">
                  <w:pPr>
                    <w:pStyle w:val="23"/>
                    <w:kinsoku/>
                    <w:spacing w:before="168" w:line="22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土壤</w:t>
                  </w:r>
                </w:p>
              </w:tc>
              <w:tc>
                <w:tcPr>
                  <w:tcW w:w="1766" w:type="dxa"/>
                  <w:vAlign w:val="center"/>
                </w:tcPr>
                <w:p w14:paraId="2AC13375">
                  <w:pPr>
                    <w:pStyle w:val="23"/>
                    <w:kinsoku/>
                    <w:spacing w:before="33" w:line="228"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必要时</w:t>
                  </w:r>
                </w:p>
              </w:tc>
              <w:tc>
                <w:tcPr>
                  <w:tcW w:w="1694" w:type="dxa"/>
                  <w:vAlign w:val="center"/>
                </w:tcPr>
                <w:p w14:paraId="50DFE05A">
                  <w:pPr>
                    <w:pStyle w:val="23"/>
                    <w:kinsoku/>
                    <w:spacing w:before="169"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石油烃</w:t>
                  </w:r>
                </w:p>
              </w:tc>
              <w:tc>
                <w:tcPr>
                  <w:tcW w:w="2240" w:type="dxa"/>
                  <w:vAlign w:val="center"/>
                </w:tcPr>
                <w:p w14:paraId="37AEB629">
                  <w:pPr>
                    <w:pStyle w:val="23"/>
                    <w:kinsoku/>
                    <w:spacing w:before="169" w:line="228"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井场周边</w:t>
                  </w:r>
                </w:p>
              </w:tc>
              <w:tc>
                <w:tcPr>
                  <w:tcW w:w="1580" w:type="dxa"/>
                  <w:vAlign w:val="center"/>
                </w:tcPr>
                <w:p w14:paraId="448F1817">
                  <w:pPr>
                    <w:kinsoku/>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发生泄漏或异常后</w:t>
                  </w:r>
                </w:p>
              </w:tc>
            </w:tr>
            <w:tr w14:paraId="0A54FA18">
              <w:trPr>
                <w:trHeight w:val="685" w:hRule="atLeast"/>
                <w:jc w:val="center"/>
              </w:trPr>
              <w:tc>
                <w:tcPr>
                  <w:tcW w:w="855" w:type="dxa"/>
                  <w:vAlign w:val="center"/>
                </w:tcPr>
                <w:p w14:paraId="0EE1D360">
                  <w:pPr>
                    <w:pStyle w:val="23"/>
                    <w:kinsoku/>
                    <w:spacing w:before="168" w:line="229" w:lineRule="auto"/>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防渗设施</w:t>
                  </w:r>
                </w:p>
              </w:tc>
              <w:tc>
                <w:tcPr>
                  <w:tcW w:w="1766" w:type="dxa"/>
                  <w:vAlign w:val="center"/>
                </w:tcPr>
                <w:p w14:paraId="0AA4BB74">
                  <w:pPr>
                    <w:pStyle w:val="23"/>
                    <w:kinsoku/>
                    <w:spacing w:before="168" w:line="229" w:lineRule="auto"/>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定期检查</w:t>
                  </w:r>
                </w:p>
              </w:tc>
              <w:tc>
                <w:tcPr>
                  <w:tcW w:w="1694" w:type="dxa"/>
                  <w:vAlign w:val="center"/>
                </w:tcPr>
                <w:p w14:paraId="0DBCE5DE">
                  <w:pPr>
                    <w:pStyle w:val="23"/>
                    <w:kinsoku/>
                    <w:spacing w:before="168" w:line="229" w:lineRule="auto"/>
                    <w:jc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防渗膜危</w:t>
                  </w:r>
                  <w:r>
                    <w:rPr>
                      <w:rFonts w:hint="eastAsia"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废暂存</w:t>
                  </w:r>
                  <w:r>
                    <w:rPr>
                      <w:rFonts w:hint="eastAsia" w:ascii="Times New Roman" w:hAnsi="Times New Roman" w:eastAsia="宋体" w:cs="Times New Roman"/>
                      <w:color w:val="auto"/>
                      <w:spacing w:val="4"/>
                      <w:sz w:val="21"/>
                      <w:szCs w:val="21"/>
                      <w:highlight w:val="none"/>
                      <w:lang w:val="en-US" w:eastAsia="zh-CN"/>
                    </w:rPr>
                    <w:t>间</w:t>
                  </w:r>
                  <w:r>
                    <w:rPr>
                      <w:rFonts w:hint="default" w:ascii="Times New Roman" w:hAnsi="Times New Roman" w:eastAsia="宋体" w:cs="Times New Roman"/>
                      <w:color w:val="auto"/>
                      <w:spacing w:val="4"/>
                      <w:sz w:val="21"/>
                      <w:szCs w:val="21"/>
                      <w:highlight w:val="none"/>
                    </w:rPr>
                    <w:t>、储罐区等是否完好，是否存在跑冒滴漏</w:t>
                  </w:r>
                </w:p>
              </w:tc>
              <w:tc>
                <w:tcPr>
                  <w:tcW w:w="2240" w:type="dxa"/>
                  <w:vAlign w:val="center"/>
                </w:tcPr>
                <w:p w14:paraId="65A1CB6E">
                  <w:pPr>
                    <w:pStyle w:val="23"/>
                    <w:kinsoku/>
                    <w:spacing w:before="168" w:line="229" w:lineRule="auto"/>
                    <w:jc w:val="center"/>
                    <w:rPr>
                      <w:rFonts w:hint="default" w:ascii="Times New Roman" w:hAnsi="Times New Roman" w:eastAsia="宋体" w:cs="Times New Roman"/>
                      <w:color w:val="auto"/>
                      <w:spacing w:val="4"/>
                      <w:sz w:val="21"/>
                      <w:szCs w:val="21"/>
                      <w:highlight w:val="none"/>
                      <w:lang w:eastAsia="zh-CN"/>
                    </w:rPr>
                  </w:pPr>
                  <w:r>
                    <w:rPr>
                      <w:rFonts w:hint="default" w:ascii="Times New Roman" w:hAnsi="Times New Roman" w:eastAsia="宋体" w:cs="Times New Roman"/>
                      <w:color w:val="auto"/>
                      <w:spacing w:val="4"/>
                      <w:sz w:val="21"/>
                      <w:szCs w:val="21"/>
                      <w:highlight w:val="none"/>
                    </w:rPr>
                    <w:t>井场重点防渗区</w:t>
                  </w:r>
                </w:p>
              </w:tc>
              <w:tc>
                <w:tcPr>
                  <w:tcW w:w="1580" w:type="dxa"/>
                  <w:vAlign w:val="center"/>
                </w:tcPr>
                <w:p w14:paraId="66502FBE">
                  <w:pPr>
                    <w:pStyle w:val="23"/>
                    <w:kinsoku/>
                    <w:spacing w:before="168" w:line="229" w:lineRule="auto"/>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钻井</w:t>
                  </w:r>
                  <w:r>
                    <w:rPr>
                      <w:rFonts w:hint="default" w:ascii="Times New Roman" w:hAnsi="Times New Roman" w:eastAsia="宋体" w:cs="Times New Roman"/>
                      <w:color w:val="auto"/>
                      <w:spacing w:val="4"/>
                      <w:sz w:val="21"/>
                      <w:szCs w:val="21"/>
                      <w:highlight w:val="none"/>
                    </w:rPr>
                    <w:t>期、试油期</w:t>
                  </w:r>
                </w:p>
              </w:tc>
            </w:tr>
            <w:tr w14:paraId="0857F517">
              <w:trPr>
                <w:trHeight w:val="685" w:hRule="atLeast"/>
                <w:jc w:val="center"/>
              </w:trPr>
              <w:tc>
                <w:tcPr>
                  <w:tcW w:w="855" w:type="dxa"/>
                  <w:vAlign w:val="center"/>
                </w:tcPr>
                <w:p w14:paraId="408041C4">
                  <w:pPr>
                    <w:pStyle w:val="23"/>
                    <w:kinsoku/>
                    <w:spacing w:before="168" w:line="229" w:lineRule="auto"/>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生态恢复检查</w:t>
                  </w:r>
                </w:p>
              </w:tc>
              <w:tc>
                <w:tcPr>
                  <w:tcW w:w="1766" w:type="dxa"/>
                  <w:vAlign w:val="center"/>
                </w:tcPr>
                <w:p w14:paraId="2DE4FFC6">
                  <w:pPr>
                    <w:pStyle w:val="23"/>
                    <w:kinsoku/>
                    <w:spacing w:before="168" w:line="229" w:lineRule="auto"/>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施工结束后1次，必要时补充检查</w:t>
                  </w:r>
                </w:p>
              </w:tc>
              <w:tc>
                <w:tcPr>
                  <w:tcW w:w="1694" w:type="dxa"/>
                  <w:vAlign w:val="center"/>
                </w:tcPr>
                <w:p w14:paraId="472751AF">
                  <w:pPr>
                    <w:pStyle w:val="23"/>
                    <w:kinsoku/>
                    <w:spacing w:before="168" w:line="229" w:lineRule="auto"/>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井场清理、表土回覆、生活营地恢复、临时道路恢复、沟渠恢复、植被自然恢复情况</w:t>
                  </w:r>
                </w:p>
              </w:tc>
              <w:tc>
                <w:tcPr>
                  <w:tcW w:w="2240" w:type="dxa"/>
                  <w:vAlign w:val="center"/>
                </w:tcPr>
                <w:p w14:paraId="1791BAB5">
                  <w:pPr>
                    <w:pStyle w:val="23"/>
                    <w:kinsoku/>
                    <w:spacing w:before="168" w:line="229" w:lineRule="auto"/>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井场、生活营地、临时道路、沟渠占地区域</w:t>
                  </w:r>
                </w:p>
              </w:tc>
              <w:tc>
                <w:tcPr>
                  <w:tcW w:w="1580" w:type="dxa"/>
                  <w:vAlign w:val="center"/>
                </w:tcPr>
                <w:p w14:paraId="4158CECD">
                  <w:pPr>
                    <w:pStyle w:val="23"/>
                    <w:kinsoku/>
                    <w:spacing w:before="168" w:line="229" w:lineRule="auto"/>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施工结束后、恢复期</w:t>
                  </w:r>
                </w:p>
              </w:tc>
            </w:tr>
            <w:tr w14:paraId="4E4AF79B">
              <w:trPr>
                <w:trHeight w:val="685" w:hRule="atLeast"/>
                <w:jc w:val="center"/>
              </w:trPr>
              <w:tc>
                <w:tcPr>
                  <w:tcW w:w="855" w:type="dxa"/>
                  <w:vAlign w:val="center"/>
                </w:tcPr>
                <w:p w14:paraId="6900A029">
                  <w:pPr>
                    <w:pStyle w:val="23"/>
                    <w:kinsoku/>
                    <w:spacing w:before="168" w:line="229" w:lineRule="auto"/>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封闭井恢复检查</w:t>
                  </w:r>
                </w:p>
              </w:tc>
              <w:tc>
                <w:tcPr>
                  <w:tcW w:w="1766" w:type="dxa"/>
                  <w:vAlign w:val="center"/>
                </w:tcPr>
                <w:p w14:paraId="704E6D2F">
                  <w:pPr>
                    <w:pStyle w:val="23"/>
                    <w:kinsoku/>
                    <w:spacing w:before="168" w:line="229" w:lineRule="auto"/>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封井后1次，必要时补充检查</w:t>
                  </w:r>
                </w:p>
              </w:tc>
              <w:tc>
                <w:tcPr>
                  <w:tcW w:w="1694" w:type="dxa"/>
                  <w:vAlign w:val="center"/>
                </w:tcPr>
                <w:p w14:paraId="29270603">
                  <w:pPr>
                    <w:pStyle w:val="23"/>
                    <w:kinsoku/>
                    <w:spacing w:before="168" w:line="229" w:lineRule="auto"/>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井口封闭、场地平整、污染残留清理、表土回覆、植被恢复情况</w:t>
                  </w:r>
                </w:p>
              </w:tc>
              <w:tc>
                <w:tcPr>
                  <w:tcW w:w="2240" w:type="dxa"/>
                  <w:vAlign w:val="center"/>
                </w:tcPr>
                <w:p w14:paraId="492E0783">
                  <w:pPr>
                    <w:pStyle w:val="23"/>
                    <w:kinsoku/>
                    <w:spacing w:before="168" w:line="229" w:lineRule="auto"/>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封闭井井场及周边恢复区</w:t>
                  </w:r>
                </w:p>
              </w:tc>
              <w:tc>
                <w:tcPr>
                  <w:tcW w:w="1580" w:type="dxa"/>
                  <w:vAlign w:val="center"/>
                </w:tcPr>
                <w:p w14:paraId="649AD42B">
                  <w:pPr>
                    <w:pStyle w:val="23"/>
                    <w:kinsoku/>
                    <w:spacing w:before="168" w:line="229" w:lineRule="auto"/>
                    <w:jc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封井完成后</w:t>
                  </w:r>
                </w:p>
              </w:tc>
            </w:tr>
          </w:tbl>
          <w:p w14:paraId="6CE44597">
            <w:pPr>
              <w:pStyle w:val="27"/>
              <w:widowControl w:val="0"/>
              <w:kinsoku/>
              <w:ind w:firstLine="0" w:firstLineChars="0"/>
              <w:jc w:val="both"/>
              <w:rPr>
                <w:rFonts w:hint="default" w:ascii="Times New Roman" w:hAnsi="Times New Roman" w:eastAsia="宋体" w:cs="Times New Roman"/>
                <w:color w:val="auto"/>
                <w:lang w:eastAsia="zh-CN"/>
              </w:rPr>
            </w:pPr>
          </w:p>
        </w:tc>
      </w:tr>
      <w:tr w14:paraId="727E61B5">
        <w:trPr>
          <w:trHeight w:val="5383" w:hRule="atLeast"/>
          <w:jc w:val="center"/>
        </w:trPr>
        <w:tc>
          <w:tcPr>
            <w:tcW w:w="271" w:type="pct"/>
            <w:vAlign w:val="center"/>
          </w:tcPr>
          <w:p w14:paraId="28463F4E">
            <w:pPr>
              <w:widowControl w:val="0"/>
              <w:kinsoku/>
              <w:jc w:val="center"/>
              <w:rPr>
                <w:rFonts w:hint="default" w:ascii="Times New Roman" w:hAnsi="Times New Roman" w:eastAsia="宋体" w:cs="Times New Roman"/>
                <w:color w:val="auto"/>
              </w:rPr>
            </w:pPr>
            <w:r>
              <w:rPr>
                <w:rFonts w:hint="default" w:ascii="Times New Roman" w:hAnsi="Times New Roman" w:eastAsia="宋体" w:cs="Times New Roman"/>
                <w:bCs/>
                <w:color w:val="auto"/>
                <w:sz w:val="24"/>
                <w:szCs w:val="24"/>
              </w:rPr>
              <w:t>环保投资</w:t>
            </w:r>
          </w:p>
        </w:tc>
        <w:tc>
          <w:tcPr>
            <w:tcW w:w="4728" w:type="pct"/>
            <w:vAlign w:val="center"/>
          </w:tcPr>
          <w:p w14:paraId="29F76ADB">
            <w:pPr>
              <w:widowControl w:val="0"/>
              <w:kinsoku/>
              <w:spacing w:line="500" w:lineRule="exact"/>
              <w:ind w:firstLine="480" w:firstLineChars="200"/>
              <w:jc w:val="both"/>
              <w:rPr>
                <w:rFonts w:hint="default" w:ascii="Times New Roman" w:hAnsi="Times New Roman" w:eastAsia="宋体" w:cs="Times New Roman"/>
                <w:color w:val="auto"/>
                <w:sz w:val="24"/>
                <w:szCs w:val="24"/>
                <w:lang w:eastAsia="zh-CN"/>
              </w:rPr>
            </w:pPr>
            <w:bookmarkStart w:id="44" w:name="_Hlk136795979"/>
            <w:r>
              <w:rPr>
                <w:rFonts w:hint="default" w:ascii="Times New Roman" w:hAnsi="Times New Roman" w:eastAsia="宋体" w:cs="Times New Roman"/>
                <w:color w:val="auto"/>
                <w:sz w:val="24"/>
                <w:szCs w:val="24"/>
                <w:lang w:eastAsia="zh-CN"/>
              </w:rPr>
              <w:t>项目总投资</w:t>
            </w:r>
            <w:r>
              <w:rPr>
                <w:rFonts w:hint="eastAsia" w:ascii="Times New Roman" w:hAnsi="Times New Roman" w:eastAsia="宋体" w:cs="Times New Roman"/>
                <w:color w:val="auto"/>
                <w:sz w:val="24"/>
                <w:szCs w:val="24"/>
                <w:lang w:val="en-US" w:eastAsia="zh-CN"/>
              </w:rPr>
              <w:t>3600</w:t>
            </w:r>
            <w:r>
              <w:rPr>
                <w:rFonts w:hint="default" w:ascii="Times New Roman" w:hAnsi="Times New Roman" w:eastAsia="宋体" w:cs="Times New Roman"/>
                <w:color w:val="auto"/>
                <w:sz w:val="24"/>
                <w:szCs w:val="24"/>
                <w:lang w:eastAsia="zh-CN"/>
              </w:rPr>
              <w:t>万元，其中环保投资</w:t>
            </w:r>
            <w:r>
              <w:rPr>
                <w:rFonts w:hint="default" w:ascii="Times New Roman" w:hAnsi="Times New Roman" w:eastAsia="宋体" w:cs="Times New Roman"/>
                <w:color w:val="auto"/>
                <w:sz w:val="24"/>
                <w:szCs w:val="24"/>
                <w:lang w:val="en-US" w:eastAsia="zh-CN"/>
              </w:rPr>
              <w:t>268</w:t>
            </w:r>
            <w:r>
              <w:rPr>
                <w:rFonts w:hint="default" w:ascii="Times New Roman" w:hAnsi="Times New Roman" w:eastAsia="宋体" w:cs="Times New Roman"/>
                <w:color w:val="auto"/>
                <w:sz w:val="24"/>
                <w:szCs w:val="24"/>
                <w:lang w:eastAsia="zh-CN"/>
              </w:rPr>
              <w:t>万元，占工程总投资的</w:t>
            </w:r>
            <w:r>
              <w:rPr>
                <w:rFonts w:hint="eastAsia" w:ascii="Times New Roman" w:hAnsi="Times New Roman" w:eastAsia="宋体" w:cs="Times New Roman"/>
                <w:color w:val="auto"/>
                <w:sz w:val="24"/>
                <w:szCs w:val="24"/>
                <w:lang w:val="en-US" w:eastAsia="zh-CN"/>
              </w:rPr>
              <w:t>7.44</w:t>
            </w:r>
            <w:r>
              <w:rPr>
                <w:rFonts w:hint="default" w:ascii="Times New Roman" w:hAnsi="Times New Roman" w:eastAsia="宋体" w:cs="Times New Roman"/>
                <w:color w:val="auto"/>
                <w:sz w:val="24"/>
                <w:szCs w:val="24"/>
                <w:lang w:eastAsia="zh-CN"/>
              </w:rPr>
              <w:t>%。环保投资详见表5-4。</w:t>
            </w:r>
          </w:p>
          <w:p w14:paraId="13CB0D08">
            <w:pPr>
              <w:pStyle w:val="6"/>
              <w:widowControl w:val="0"/>
              <w:kinsoku/>
              <w:spacing w:line="240" w:lineRule="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表5-4 环保投资一览表</w:t>
            </w:r>
          </w:p>
          <w:bookmarkEnd w:id="44"/>
          <w:tbl>
            <w:tblPr>
              <w:tblStyle w:val="17"/>
              <w:tblW w:w="51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623"/>
              <w:gridCol w:w="4708"/>
              <w:gridCol w:w="964"/>
              <w:gridCol w:w="557"/>
            </w:tblGrid>
            <w:tr w14:paraId="166C639E">
              <w:trPr>
                <w:trHeight w:val="415" w:hRule="atLeast"/>
                <w:jc w:val="center"/>
              </w:trPr>
              <w:tc>
                <w:tcPr>
                  <w:tcW w:w="1273" w:type="pct"/>
                  <w:gridSpan w:val="2"/>
                  <w:tcBorders>
                    <w:top w:val="single" w:color="auto" w:sz="4" w:space="0"/>
                    <w:left w:val="single" w:color="auto" w:sz="0" w:space="0"/>
                  </w:tcBorders>
                  <w:tcMar>
                    <w:left w:w="0" w:type="dxa"/>
                    <w:right w:w="0" w:type="dxa"/>
                  </w:tcMar>
                  <w:vAlign w:val="center"/>
                </w:tcPr>
                <w:p w14:paraId="2089F049">
                  <w:pPr>
                    <w:kinsoku/>
                    <w:spacing w:line="30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工程名称</w:t>
                  </w:r>
                </w:p>
              </w:tc>
              <w:tc>
                <w:tcPr>
                  <w:tcW w:w="2816" w:type="pct"/>
                  <w:tcBorders>
                    <w:top w:val="single" w:color="auto" w:sz="4" w:space="0"/>
                  </w:tcBorders>
                  <w:tcMar>
                    <w:left w:w="0" w:type="dxa"/>
                    <w:right w:w="0" w:type="dxa"/>
                  </w:tcMar>
                  <w:vAlign w:val="center"/>
                </w:tcPr>
                <w:p w14:paraId="0991B533">
                  <w:pPr>
                    <w:kinsoku/>
                    <w:spacing w:line="300" w:lineRule="exact"/>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拟采取的环保措施</w:t>
                  </w:r>
                </w:p>
              </w:tc>
              <w:tc>
                <w:tcPr>
                  <w:tcW w:w="576" w:type="pct"/>
                  <w:tcBorders>
                    <w:top w:val="single" w:color="auto" w:sz="4" w:space="0"/>
                  </w:tcBorders>
                  <w:tcMar>
                    <w:left w:w="0" w:type="dxa"/>
                    <w:right w:w="0" w:type="dxa"/>
                  </w:tcMar>
                  <w:vAlign w:val="center"/>
                </w:tcPr>
                <w:p w14:paraId="1D9AFCC2">
                  <w:pPr>
                    <w:kinsoku/>
                    <w:spacing w:line="30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环保投资</w:t>
                  </w:r>
                </w:p>
                <w:p w14:paraId="444996F7">
                  <w:pPr>
                    <w:kinsoku/>
                    <w:spacing w:line="30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（万元）</w:t>
                  </w:r>
                </w:p>
              </w:tc>
              <w:tc>
                <w:tcPr>
                  <w:tcW w:w="333" w:type="pct"/>
                  <w:tcBorders>
                    <w:top w:val="single" w:color="auto" w:sz="4" w:space="0"/>
                    <w:right w:val="single" w:color="auto" w:sz="4" w:space="0"/>
                  </w:tcBorders>
                  <w:tcMar>
                    <w:left w:w="0" w:type="dxa"/>
                    <w:right w:w="0" w:type="dxa"/>
                  </w:tcMar>
                  <w:vAlign w:val="center"/>
                </w:tcPr>
                <w:p w14:paraId="09F37596">
                  <w:pPr>
                    <w:kinsoku/>
                    <w:spacing w:line="30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实施时间</w:t>
                  </w:r>
                </w:p>
              </w:tc>
            </w:tr>
            <w:tr w14:paraId="7009EE9B">
              <w:trPr>
                <w:trHeight w:val="380" w:hRule="atLeast"/>
                <w:jc w:val="center"/>
              </w:trPr>
              <w:tc>
                <w:tcPr>
                  <w:tcW w:w="302" w:type="pct"/>
                  <w:vMerge w:val="restart"/>
                  <w:tcBorders>
                    <w:left w:val="single" w:color="auto" w:sz="4" w:space="0"/>
                  </w:tcBorders>
                  <w:tcMar>
                    <w:left w:w="0" w:type="dxa"/>
                    <w:right w:w="0" w:type="dxa"/>
                  </w:tcMar>
                  <w:vAlign w:val="center"/>
                </w:tcPr>
                <w:p w14:paraId="7CAF500D">
                  <w:pPr>
                    <w:kinsoku/>
                    <w:spacing w:line="300" w:lineRule="exact"/>
                    <w:jc w:val="center"/>
                    <w:rPr>
                      <w:rFonts w:hint="default" w:ascii="Times New Roman" w:hAnsi="Times New Roman" w:eastAsia="宋体" w:cs="Times New Roman"/>
                      <w:color w:val="auto"/>
                    </w:rPr>
                  </w:pPr>
                  <w:bookmarkStart w:id="45" w:name="_Hlk180059680"/>
                  <w:r>
                    <w:rPr>
                      <w:rFonts w:hint="default" w:ascii="Times New Roman" w:hAnsi="Times New Roman" w:eastAsia="宋体" w:cs="Times New Roman"/>
                      <w:color w:val="auto"/>
                    </w:rPr>
                    <w:t>废气</w:t>
                  </w:r>
                </w:p>
              </w:tc>
              <w:tc>
                <w:tcPr>
                  <w:tcW w:w="970" w:type="pct"/>
                  <w:vAlign w:val="center"/>
                </w:tcPr>
                <w:p w14:paraId="3F714379">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试油伴生气</w:t>
                  </w:r>
                </w:p>
              </w:tc>
              <w:tc>
                <w:tcPr>
                  <w:tcW w:w="2816" w:type="pct"/>
                  <w:tcMar>
                    <w:left w:w="0" w:type="dxa"/>
                    <w:right w:w="0" w:type="dxa"/>
                  </w:tcMar>
                  <w:vAlign w:val="center"/>
                </w:tcPr>
                <w:p w14:paraId="623764A4">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经排气管线充分燃烧后排放。</w:t>
                  </w:r>
                </w:p>
              </w:tc>
              <w:tc>
                <w:tcPr>
                  <w:tcW w:w="576" w:type="pct"/>
                  <w:tcMar>
                    <w:left w:w="0" w:type="dxa"/>
                    <w:right w:w="0" w:type="dxa"/>
                  </w:tcMar>
                  <w:vAlign w:val="center"/>
                </w:tcPr>
                <w:p w14:paraId="5116462B">
                  <w:pPr>
                    <w:kinsoku/>
                    <w:spacing w:line="30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p>
              </w:tc>
              <w:tc>
                <w:tcPr>
                  <w:tcW w:w="333" w:type="pct"/>
                  <w:vMerge w:val="restart"/>
                  <w:tcBorders>
                    <w:right w:val="single" w:color="auto" w:sz="4" w:space="0"/>
                  </w:tcBorders>
                  <w:tcMar>
                    <w:left w:w="0" w:type="dxa"/>
                    <w:right w:w="0" w:type="dxa"/>
                  </w:tcMar>
                  <w:vAlign w:val="center"/>
                </w:tcPr>
                <w:p w14:paraId="09D5030A">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与钻井、试油期同步</w:t>
                  </w:r>
                </w:p>
              </w:tc>
            </w:tr>
            <w:tr w14:paraId="4259D5E4">
              <w:trPr>
                <w:trHeight w:val="415" w:hRule="atLeast"/>
                <w:jc w:val="center"/>
              </w:trPr>
              <w:tc>
                <w:tcPr>
                  <w:tcW w:w="302" w:type="pct"/>
                  <w:vMerge w:val="continue"/>
                  <w:tcBorders>
                    <w:left w:val="single" w:color="auto" w:sz="4" w:space="0"/>
                  </w:tcBorders>
                  <w:tcMar>
                    <w:left w:w="0" w:type="dxa"/>
                    <w:right w:w="0" w:type="dxa"/>
                  </w:tcMar>
                  <w:vAlign w:val="center"/>
                </w:tcPr>
                <w:p w14:paraId="0D33B5E4">
                  <w:pPr>
                    <w:kinsoku/>
                    <w:spacing w:line="300" w:lineRule="exact"/>
                    <w:jc w:val="center"/>
                    <w:rPr>
                      <w:rFonts w:hint="default" w:ascii="Times New Roman" w:hAnsi="Times New Roman" w:eastAsia="宋体" w:cs="Times New Roman"/>
                      <w:color w:val="auto"/>
                    </w:rPr>
                  </w:pPr>
                </w:p>
              </w:tc>
              <w:tc>
                <w:tcPr>
                  <w:tcW w:w="970" w:type="pct"/>
                  <w:vAlign w:val="center"/>
                </w:tcPr>
                <w:p w14:paraId="74B32AC2">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施工扬尘</w:t>
                  </w:r>
                </w:p>
              </w:tc>
              <w:tc>
                <w:tcPr>
                  <w:tcW w:w="2816" w:type="pct"/>
                  <w:tcMar>
                    <w:left w:w="0" w:type="dxa"/>
                    <w:right w:w="0" w:type="dxa"/>
                  </w:tcMar>
                  <w:vAlign w:val="center"/>
                </w:tcPr>
                <w:p w14:paraId="287F4D21">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物料覆盖、道路洒水抑尘、车辆冲洗/限速、裸土临时覆盖等等措施。</w:t>
                  </w:r>
                </w:p>
              </w:tc>
              <w:tc>
                <w:tcPr>
                  <w:tcW w:w="576" w:type="pct"/>
                  <w:tcMar>
                    <w:left w:w="0" w:type="dxa"/>
                    <w:right w:w="0" w:type="dxa"/>
                  </w:tcMar>
                  <w:vAlign w:val="center"/>
                </w:tcPr>
                <w:p w14:paraId="426B8FF7">
                  <w:pPr>
                    <w:kinsoku/>
                    <w:spacing w:line="30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333" w:type="pct"/>
                  <w:vMerge w:val="continue"/>
                  <w:tcBorders>
                    <w:right w:val="single" w:color="auto" w:sz="4" w:space="0"/>
                  </w:tcBorders>
                  <w:tcMar>
                    <w:left w:w="0" w:type="dxa"/>
                    <w:right w:w="0" w:type="dxa"/>
                  </w:tcMar>
                  <w:vAlign w:val="center"/>
                </w:tcPr>
                <w:p w14:paraId="29A116B6">
                  <w:pPr>
                    <w:kinsoku/>
                    <w:spacing w:line="300" w:lineRule="exact"/>
                    <w:jc w:val="center"/>
                    <w:rPr>
                      <w:rFonts w:hint="default" w:ascii="Times New Roman" w:hAnsi="Times New Roman" w:eastAsia="宋体" w:cs="Times New Roman"/>
                      <w:color w:val="auto"/>
                    </w:rPr>
                  </w:pPr>
                </w:p>
              </w:tc>
            </w:tr>
            <w:tr w14:paraId="4AB02A90">
              <w:trPr>
                <w:trHeight w:val="415" w:hRule="atLeast"/>
                <w:jc w:val="center"/>
              </w:trPr>
              <w:tc>
                <w:tcPr>
                  <w:tcW w:w="302" w:type="pct"/>
                  <w:vMerge w:val="restart"/>
                  <w:tcBorders>
                    <w:left w:val="single" w:color="auto" w:sz="4" w:space="0"/>
                  </w:tcBorders>
                  <w:tcMar>
                    <w:left w:w="0" w:type="dxa"/>
                    <w:right w:w="0" w:type="dxa"/>
                  </w:tcMar>
                  <w:vAlign w:val="center"/>
                </w:tcPr>
                <w:p w14:paraId="3B62B507">
                  <w:pPr>
                    <w:kinsoku/>
                    <w:spacing w:line="300" w:lineRule="exact"/>
                    <w:jc w:val="center"/>
                    <w:rPr>
                      <w:rFonts w:hint="default" w:ascii="Times New Roman" w:hAnsi="Times New Roman" w:eastAsia="宋体" w:cs="Times New Roman"/>
                      <w:color w:val="auto"/>
                    </w:rPr>
                  </w:pPr>
                  <w:bookmarkStart w:id="46" w:name="_Hlk189405565"/>
                  <w:r>
                    <w:rPr>
                      <w:rFonts w:hint="default" w:ascii="Times New Roman" w:hAnsi="Times New Roman" w:eastAsia="宋体" w:cs="Times New Roman"/>
                      <w:color w:val="auto"/>
                    </w:rPr>
                    <w:t>废水处理</w:t>
                  </w:r>
                </w:p>
              </w:tc>
              <w:tc>
                <w:tcPr>
                  <w:tcW w:w="970" w:type="pct"/>
                  <w:tcMar>
                    <w:left w:w="0" w:type="dxa"/>
                    <w:right w:w="0" w:type="dxa"/>
                  </w:tcMar>
                  <w:vAlign w:val="center"/>
                </w:tcPr>
                <w:p w14:paraId="7C2C31A3">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洗井废水、压裂返排液</w:t>
                  </w:r>
                </w:p>
              </w:tc>
              <w:tc>
                <w:tcPr>
                  <w:tcW w:w="2816" w:type="pct"/>
                  <w:tcMar>
                    <w:left w:w="0" w:type="dxa"/>
                    <w:right w:w="0" w:type="dxa"/>
                  </w:tcMar>
                  <w:vAlign w:val="center"/>
                </w:tcPr>
                <w:p w14:paraId="4706EC29">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由地面储罐收集后，依托</w:t>
                  </w:r>
                  <w:r>
                    <w:rPr>
                      <w:rFonts w:hint="default" w:ascii="Times New Roman" w:hAnsi="Times New Roman" w:eastAsia="宋体" w:cs="Times New Roman"/>
                      <w:color w:val="auto"/>
                      <w:lang w:val="en-US" w:eastAsia="zh-CN"/>
                    </w:rPr>
                    <w:t>吉康</w:t>
                  </w:r>
                  <w:r>
                    <w:rPr>
                      <w:rFonts w:hint="default" w:ascii="Times New Roman" w:hAnsi="Times New Roman" w:eastAsia="宋体" w:cs="Times New Roman"/>
                      <w:color w:val="auto"/>
                      <w:lang w:eastAsia="zh-CN"/>
                    </w:rPr>
                    <w:t>脱水站处理后回注。</w:t>
                  </w:r>
                </w:p>
              </w:tc>
              <w:tc>
                <w:tcPr>
                  <w:tcW w:w="576" w:type="pct"/>
                  <w:tcMar>
                    <w:left w:w="0" w:type="dxa"/>
                    <w:right w:w="0" w:type="dxa"/>
                  </w:tcMar>
                  <w:vAlign w:val="center"/>
                </w:tcPr>
                <w:p w14:paraId="06B16F54">
                  <w:pPr>
                    <w:kinsoku/>
                    <w:spacing w:line="30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w:t>
                  </w:r>
                </w:p>
              </w:tc>
              <w:tc>
                <w:tcPr>
                  <w:tcW w:w="333" w:type="pct"/>
                  <w:vMerge w:val="continue"/>
                  <w:tcBorders>
                    <w:right w:val="single" w:color="auto" w:sz="4" w:space="0"/>
                  </w:tcBorders>
                  <w:tcMar>
                    <w:left w:w="0" w:type="dxa"/>
                    <w:right w:w="0" w:type="dxa"/>
                  </w:tcMar>
                  <w:vAlign w:val="center"/>
                </w:tcPr>
                <w:p w14:paraId="6341A23B">
                  <w:pPr>
                    <w:kinsoku/>
                    <w:spacing w:line="300" w:lineRule="exact"/>
                    <w:jc w:val="center"/>
                    <w:rPr>
                      <w:rFonts w:hint="default" w:ascii="Times New Roman" w:hAnsi="Times New Roman" w:eastAsia="宋体" w:cs="Times New Roman"/>
                      <w:color w:val="auto"/>
                    </w:rPr>
                  </w:pPr>
                </w:p>
              </w:tc>
            </w:tr>
            <w:bookmarkEnd w:id="46"/>
            <w:tr w14:paraId="2EBF9AB5">
              <w:trPr>
                <w:trHeight w:val="453" w:hRule="atLeast"/>
                <w:jc w:val="center"/>
              </w:trPr>
              <w:tc>
                <w:tcPr>
                  <w:tcW w:w="302" w:type="pct"/>
                  <w:vMerge w:val="continue"/>
                  <w:tcBorders>
                    <w:left w:val="single" w:color="auto" w:sz="4" w:space="0"/>
                  </w:tcBorders>
                  <w:tcMar>
                    <w:left w:w="0" w:type="dxa"/>
                    <w:right w:w="0" w:type="dxa"/>
                  </w:tcMar>
                  <w:vAlign w:val="center"/>
                </w:tcPr>
                <w:p w14:paraId="76C1D90E">
                  <w:pPr>
                    <w:kinsoku/>
                    <w:spacing w:line="300" w:lineRule="exact"/>
                    <w:jc w:val="center"/>
                    <w:rPr>
                      <w:rFonts w:hint="default" w:ascii="Times New Roman" w:hAnsi="Times New Roman" w:eastAsia="宋体" w:cs="Times New Roman"/>
                      <w:color w:val="auto"/>
                    </w:rPr>
                  </w:pPr>
                </w:p>
              </w:tc>
              <w:tc>
                <w:tcPr>
                  <w:tcW w:w="970" w:type="pct"/>
                  <w:tcMar>
                    <w:left w:w="0" w:type="dxa"/>
                    <w:right w:w="0" w:type="dxa"/>
                  </w:tcMar>
                  <w:vAlign w:val="center"/>
                </w:tcPr>
                <w:p w14:paraId="39E8DE1B">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生活污水</w:t>
                  </w:r>
                </w:p>
              </w:tc>
              <w:tc>
                <w:tcPr>
                  <w:tcW w:w="2816" w:type="pct"/>
                  <w:tcMar>
                    <w:left w:w="0" w:type="dxa"/>
                    <w:right w:w="0" w:type="dxa"/>
                  </w:tcMar>
                  <w:vAlign w:val="center"/>
                </w:tcPr>
                <w:p w14:paraId="13BE4A60">
                  <w:pPr>
                    <w:kinsoku/>
                    <w:spacing w:line="300" w:lineRule="exact"/>
                    <w:jc w:val="center"/>
                    <w:rPr>
                      <w:rFonts w:hint="default" w:ascii="Times New Roman" w:hAnsi="Times New Roman" w:eastAsia="宋体" w:cs="Times New Roman"/>
                      <w:color w:val="auto"/>
                      <w:lang w:eastAsia="zh-CN"/>
                    </w:rPr>
                  </w:pPr>
                  <w:bookmarkStart w:id="47" w:name="_Hlk189405579"/>
                  <w:r>
                    <w:rPr>
                      <w:rFonts w:hint="default" w:ascii="Times New Roman" w:hAnsi="Times New Roman" w:eastAsia="宋体" w:cs="Times New Roman"/>
                      <w:color w:val="auto"/>
                      <w:lang w:eastAsia="zh-CN"/>
                    </w:rPr>
                    <w:t>设临时防渗收集池收集暂存，定期由施工队采用吸污车抽出并拉运至吉木萨尔县城污水处理厂处理</w:t>
                  </w:r>
                  <w:bookmarkEnd w:id="47"/>
                  <w:r>
                    <w:rPr>
                      <w:rFonts w:hint="default" w:ascii="Times New Roman" w:hAnsi="Times New Roman" w:eastAsia="宋体" w:cs="Times New Roman"/>
                      <w:color w:val="auto"/>
                      <w:lang w:eastAsia="zh-CN"/>
                    </w:rPr>
                    <w:t>。</w:t>
                  </w:r>
                </w:p>
              </w:tc>
              <w:tc>
                <w:tcPr>
                  <w:tcW w:w="576" w:type="pct"/>
                  <w:tcMar>
                    <w:left w:w="0" w:type="dxa"/>
                    <w:right w:w="0" w:type="dxa"/>
                  </w:tcMar>
                  <w:vAlign w:val="center"/>
                </w:tcPr>
                <w:p w14:paraId="352D8946">
                  <w:pPr>
                    <w:kinsoku/>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333" w:type="pct"/>
                  <w:vMerge w:val="continue"/>
                  <w:tcBorders>
                    <w:right w:val="single" w:color="auto" w:sz="4" w:space="0"/>
                  </w:tcBorders>
                  <w:tcMar>
                    <w:left w:w="0" w:type="dxa"/>
                    <w:right w:w="0" w:type="dxa"/>
                  </w:tcMar>
                  <w:vAlign w:val="center"/>
                </w:tcPr>
                <w:p w14:paraId="0F228247">
                  <w:pPr>
                    <w:kinsoku/>
                    <w:spacing w:line="300" w:lineRule="exact"/>
                    <w:jc w:val="center"/>
                    <w:rPr>
                      <w:rFonts w:hint="default" w:ascii="Times New Roman" w:hAnsi="Times New Roman" w:eastAsia="宋体" w:cs="Times New Roman"/>
                      <w:color w:val="auto"/>
                    </w:rPr>
                  </w:pPr>
                </w:p>
              </w:tc>
            </w:tr>
            <w:tr w14:paraId="72F11DEC">
              <w:trPr>
                <w:trHeight w:val="470" w:hRule="atLeast"/>
                <w:jc w:val="center"/>
              </w:trPr>
              <w:tc>
                <w:tcPr>
                  <w:tcW w:w="302" w:type="pct"/>
                  <w:vMerge w:val="restart"/>
                  <w:tcBorders>
                    <w:left w:val="single" w:color="auto" w:sz="4" w:space="0"/>
                  </w:tcBorders>
                  <w:tcMar>
                    <w:left w:w="0" w:type="dxa"/>
                    <w:right w:w="0" w:type="dxa"/>
                  </w:tcMar>
                  <w:vAlign w:val="center"/>
                </w:tcPr>
                <w:p w14:paraId="6C831FD3">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固废处置</w:t>
                  </w:r>
                </w:p>
              </w:tc>
              <w:tc>
                <w:tcPr>
                  <w:tcW w:w="970" w:type="pct"/>
                  <w:tcMar>
                    <w:left w:w="0" w:type="dxa"/>
                    <w:right w:w="0" w:type="dxa"/>
                  </w:tcMar>
                  <w:vAlign w:val="center"/>
                </w:tcPr>
                <w:p w14:paraId="14E1F6B7">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2816" w:type="pct"/>
                  <w:tcMar>
                    <w:left w:w="0" w:type="dxa"/>
                    <w:right w:w="0" w:type="dxa"/>
                  </w:tcMar>
                  <w:vAlign w:val="center"/>
                </w:tcPr>
                <w:p w14:paraId="66C39262">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设有垃圾箱集中</w:t>
                  </w:r>
                  <w:r>
                    <w:rPr>
                      <w:rFonts w:hint="default" w:ascii="Times New Roman" w:hAnsi="Times New Roman" w:eastAsia="宋体" w:cs="Times New Roman"/>
                      <w:color w:val="auto"/>
                      <w:highlight w:val="none"/>
                      <w:lang w:eastAsia="zh-CN"/>
                    </w:rPr>
                    <w:t>收集，委托第三方拉运至</w:t>
                  </w:r>
                  <w:r>
                    <w:rPr>
                      <w:rFonts w:hint="eastAsia" w:ascii="Times New Roman" w:hAnsi="Times New Roman" w:eastAsia="宋体" w:cs="Times New Roman"/>
                      <w:color w:val="auto"/>
                      <w:highlight w:val="none"/>
                      <w:lang w:val="en-US" w:eastAsia="zh-CN"/>
                    </w:rPr>
                    <w:t>吉木萨尔县</w:t>
                  </w:r>
                  <w:r>
                    <w:rPr>
                      <w:rFonts w:hint="default" w:ascii="Times New Roman" w:hAnsi="Times New Roman" w:eastAsia="宋体" w:cs="Times New Roman"/>
                      <w:color w:val="auto"/>
                      <w:highlight w:val="none"/>
                      <w:lang w:eastAsia="zh-CN"/>
                    </w:rPr>
                    <w:t>垃圾场处理</w:t>
                  </w:r>
                  <w:r>
                    <w:rPr>
                      <w:rFonts w:hint="default" w:ascii="Times New Roman" w:hAnsi="Times New Roman" w:eastAsia="宋体" w:cs="Times New Roman"/>
                      <w:color w:val="auto"/>
                      <w:lang w:eastAsia="zh-CN"/>
                    </w:rPr>
                    <w:t>。</w:t>
                  </w:r>
                </w:p>
              </w:tc>
              <w:tc>
                <w:tcPr>
                  <w:tcW w:w="576" w:type="pct"/>
                  <w:tcMar>
                    <w:left w:w="0" w:type="dxa"/>
                    <w:right w:w="0" w:type="dxa"/>
                  </w:tcMar>
                  <w:vAlign w:val="center"/>
                </w:tcPr>
                <w:p w14:paraId="61F77DEA">
                  <w:pPr>
                    <w:kinsoku/>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333" w:type="pct"/>
                  <w:vMerge w:val="continue"/>
                  <w:tcBorders>
                    <w:right w:val="single" w:color="auto" w:sz="4" w:space="0"/>
                  </w:tcBorders>
                  <w:tcMar>
                    <w:left w:w="0" w:type="dxa"/>
                    <w:right w:w="0" w:type="dxa"/>
                  </w:tcMar>
                  <w:vAlign w:val="center"/>
                </w:tcPr>
                <w:p w14:paraId="5FE5074C">
                  <w:pPr>
                    <w:kinsoku/>
                    <w:spacing w:line="300" w:lineRule="exact"/>
                    <w:jc w:val="center"/>
                    <w:rPr>
                      <w:rFonts w:hint="default" w:ascii="Times New Roman" w:hAnsi="Times New Roman" w:eastAsia="宋体" w:cs="Times New Roman"/>
                      <w:color w:val="auto"/>
                    </w:rPr>
                  </w:pPr>
                </w:p>
              </w:tc>
            </w:tr>
            <w:tr w14:paraId="0E75F168">
              <w:trPr>
                <w:trHeight w:val="502" w:hRule="atLeast"/>
                <w:jc w:val="center"/>
              </w:trPr>
              <w:tc>
                <w:tcPr>
                  <w:tcW w:w="302" w:type="pct"/>
                  <w:vMerge w:val="continue"/>
                  <w:tcBorders>
                    <w:left w:val="single" w:color="auto" w:sz="4" w:space="0"/>
                  </w:tcBorders>
                  <w:tcMar>
                    <w:left w:w="0" w:type="dxa"/>
                    <w:right w:w="0" w:type="dxa"/>
                  </w:tcMar>
                  <w:vAlign w:val="center"/>
                </w:tcPr>
                <w:p w14:paraId="74A3C77D">
                  <w:pPr>
                    <w:kinsoku/>
                    <w:spacing w:line="300" w:lineRule="exact"/>
                    <w:jc w:val="center"/>
                    <w:rPr>
                      <w:rFonts w:hint="default" w:ascii="Times New Roman" w:hAnsi="Times New Roman" w:eastAsia="宋体" w:cs="Times New Roman"/>
                      <w:color w:val="auto"/>
                    </w:rPr>
                  </w:pPr>
                </w:p>
              </w:tc>
              <w:tc>
                <w:tcPr>
                  <w:tcW w:w="970" w:type="pct"/>
                  <w:tcMar>
                    <w:left w:w="0" w:type="dxa"/>
                    <w:right w:w="0" w:type="dxa"/>
                  </w:tcMar>
                  <w:vAlign w:val="center"/>
                </w:tcPr>
                <w:p w14:paraId="6928F9A2">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钻井岩屑</w:t>
                  </w:r>
                </w:p>
              </w:tc>
              <w:tc>
                <w:tcPr>
                  <w:tcW w:w="2816" w:type="pct"/>
                  <w:tcMar>
                    <w:left w:w="0" w:type="dxa"/>
                    <w:right w:w="0" w:type="dxa"/>
                  </w:tcMar>
                  <w:vAlign w:val="center"/>
                </w:tcPr>
                <w:p w14:paraId="26A849FC">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钻井岩屑暂存于岩屑储罐中，钻井岩屑委托具有相应处置资质的单位处置。</w:t>
                  </w:r>
                </w:p>
              </w:tc>
              <w:tc>
                <w:tcPr>
                  <w:tcW w:w="576" w:type="pct"/>
                  <w:tcMar>
                    <w:left w:w="0" w:type="dxa"/>
                    <w:right w:w="0" w:type="dxa"/>
                  </w:tcMar>
                  <w:vAlign w:val="center"/>
                </w:tcPr>
                <w:p w14:paraId="0B05A520">
                  <w:pPr>
                    <w:kinsoku/>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w:t>
                  </w:r>
                </w:p>
              </w:tc>
              <w:tc>
                <w:tcPr>
                  <w:tcW w:w="333" w:type="pct"/>
                  <w:vMerge w:val="continue"/>
                  <w:tcBorders>
                    <w:right w:val="single" w:color="auto" w:sz="4" w:space="0"/>
                  </w:tcBorders>
                  <w:tcMar>
                    <w:left w:w="0" w:type="dxa"/>
                    <w:right w:w="0" w:type="dxa"/>
                  </w:tcMar>
                  <w:vAlign w:val="center"/>
                </w:tcPr>
                <w:p w14:paraId="2BAF9357">
                  <w:pPr>
                    <w:kinsoku/>
                    <w:spacing w:line="300" w:lineRule="exact"/>
                    <w:jc w:val="center"/>
                    <w:rPr>
                      <w:rFonts w:hint="default" w:ascii="Times New Roman" w:hAnsi="Times New Roman" w:eastAsia="宋体" w:cs="Times New Roman"/>
                      <w:color w:val="auto"/>
                    </w:rPr>
                  </w:pPr>
                </w:p>
              </w:tc>
            </w:tr>
            <w:tr w14:paraId="4B2E56C3">
              <w:trPr>
                <w:trHeight w:val="211" w:hRule="atLeast"/>
                <w:jc w:val="center"/>
              </w:trPr>
              <w:tc>
                <w:tcPr>
                  <w:tcW w:w="302" w:type="pct"/>
                  <w:vMerge w:val="continue"/>
                  <w:tcBorders>
                    <w:left w:val="single" w:color="auto" w:sz="4" w:space="0"/>
                  </w:tcBorders>
                  <w:tcMar>
                    <w:left w:w="0" w:type="dxa"/>
                    <w:right w:w="0" w:type="dxa"/>
                  </w:tcMar>
                  <w:vAlign w:val="center"/>
                </w:tcPr>
                <w:p w14:paraId="31FBD4AC">
                  <w:pPr>
                    <w:kinsoku/>
                    <w:spacing w:line="300" w:lineRule="exact"/>
                    <w:jc w:val="center"/>
                    <w:rPr>
                      <w:rFonts w:hint="default" w:ascii="Times New Roman" w:hAnsi="Times New Roman" w:eastAsia="宋体" w:cs="Times New Roman"/>
                      <w:color w:val="auto"/>
                    </w:rPr>
                  </w:pPr>
                </w:p>
              </w:tc>
              <w:tc>
                <w:tcPr>
                  <w:tcW w:w="970" w:type="pct"/>
                  <w:vMerge w:val="restart"/>
                  <w:tcMar>
                    <w:left w:w="0" w:type="dxa"/>
                    <w:right w:w="0" w:type="dxa"/>
                  </w:tcMar>
                  <w:vAlign w:val="center"/>
                </w:tcPr>
                <w:p w14:paraId="4427A612">
                  <w:pPr>
                    <w:kinsoku/>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bidi="ar"/>
                    </w:rPr>
                    <w:t>落地油、</w:t>
                  </w:r>
                  <w:r>
                    <w:rPr>
                      <w:rFonts w:hint="default" w:ascii="Times New Roman" w:hAnsi="Times New Roman" w:eastAsia="宋体" w:cs="Times New Roman"/>
                      <w:color w:val="auto"/>
                      <w:lang w:eastAsia="zh-CN"/>
                    </w:rPr>
                    <w:t>机械设备废油、废润滑油、废润滑油桶、废防渗材料等</w:t>
                  </w:r>
                </w:p>
              </w:tc>
              <w:tc>
                <w:tcPr>
                  <w:tcW w:w="2816" w:type="pct"/>
                  <w:tcMar>
                    <w:left w:w="0" w:type="dxa"/>
                    <w:right w:w="0" w:type="dxa"/>
                  </w:tcMar>
                  <w:vAlign w:val="center"/>
                </w:tcPr>
                <w:p w14:paraId="508BACF7">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钻井井场设置1座危险废物贮存点</w:t>
                  </w:r>
                </w:p>
              </w:tc>
              <w:tc>
                <w:tcPr>
                  <w:tcW w:w="576" w:type="pct"/>
                  <w:tcMar>
                    <w:left w:w="0" w:type="dxa"/>
                    <w:right w:w="0" w:type="dxa"/>
                  </w:tcMar>
                  <w:vAlign w:val="center"/>
                </w:tcPr>
                <w:p w14:paraId="11014535">
                  <w:pPr>
                    <w:kinsoku/>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333" w:type="pct"/>
                  <w:vMerge w:val="continue"/>
                  <w:tcBorders>
                    <w:right w:val="single" w:color="auto" w:sz="4" w:space="0"/>
                  </w:tcBorders>
                  <w:tcMar>
                    <w:left w:w="0" w:type="dxa"/>
                    <w:right w:w="0" w:type="dxa"/>
                  </w:tcMar>
                  <w:vAlign w:val="center"/>
                </w:tcPr>
                <w:p w14:paraId="31364BCD">
                  <w:pPr>
                    <w:kinsoku/>
                    <w:spacing w:line="300" w:lineRule="exact"/>
                    <w:jc w:val="center"/>
                    <w:rPr>
                      <w:rFonts w:hint="default" w:ascii="Times New Roman" w:hAnsi="Times New Roman" w:eastAsia="宋体" w:cs="Times New Roman"/>
                      <w:color w:val="auto"/>
                    </w:rPr>
                  </w:pPr>
                </w:p>
              </w:tc>
            </w:tr>
            <w:tr w14:paraId="56F60D4B">
              <w:trPr>
                <w:trHeight w:val="824" w:hRule="atLeast"/>
                <w:jc w:val="center"/>
              </w:trPr>
              <w:tc>
                <w:tcPr>
                  <w:tcW w:w="302" w:type="pct"/>
                  <w:vMerge w:val="continue"/>
                  <w:tcBorders>
                    <w:left w:val="single" w:color="auto" w:sz="4" w:space="0"/>
                  </w:tcBorders>
                  <w:tcMar>
                    <w:left w:w="0" w:type="dxa"/>
                    <w:right w:w="0" w:type="dxa"/>
                  </w:tcMar>
                  <w:vAlign w:val="center"/>
                </w:tcPr>
                <w:p w14:paraId="6242762F">
                  <w:pPr>
                    <w:kinsoku/>
                    <w:spacing w:line="300" w:lineRule="exact"/>
                    <w:jc w:val="center"/>
                    <w:rPr>
                      <w:rFonts w:hint="default" w:ascii="Times New Roman" w:hAnsi="Times New Roman" w:eastAsia="宋体" w:cs="Times New Roman"/>
                      <w:color w:val="auto"/>
                    </w:rPr>
                  </w:pPr>
                </w:p>
              </w:tc>
              <w:tc>
                <w:tcPr>
                  <w:tcW w:w="970" w:type="pct"/>
                  <w:vMerge w:val="continue"/>
                  <w:tcMar>
                    <w:left w:w="0" w:type="dxa"/>
                    <w:right w:w="0" w:type="dxa"/>
                  </w:tcMar>
                  <w:vAlign w:val="center"/>
                </w:tcPr>
                <w:p w14:paraId="02D6EDA0">
                  <w:pPr>
                    <w:kinsoku/>
                    <w:spacing w:line="300" w:lineRule="exact"/>
                    <w:jc w:val="center"/>
                    <w:rPr>
                      <w:rFonts w:hint="default" w:ascii="Times New Roman" w:hAnsi="Times New Roman" w:eastAsia="宋体" w:cs="Times New Roman"/>
                      <w:color w:val="auto"/>
                    </w:rPr>
                  </w:pPr>
                </w:p>
              </w:tc>
              <w:tc>
                <w:tcPr>
                  <w:tcW w:w="2816" w:type="pct"/>
                  <w:tcMar>
                    <w:left w:w="0" w:type="dxa"/>
                    <w:right w:w="0" w:type="dxa"/>
                  </w:tcMar>
                  <w:vAlign w:val="center"/>
                </w:tcPr>
                <w:p w14:paraId="22730F07">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用于施工过程中产生的沾油废防渗材料、废润滑油及废润滑油桶的暂存，各类危险废物定期交由具有相应危险废物处置资质的单位进行接收、转运和处置。</w:t>
                  </w:r>
                </w:p>
              </w:tc>
              <w:tc>
                <w:tcPr>
                  <w:tcW w:w="576" w:type="pct"/>
                  <w:tcMar>
                    <w:left w:w="0" w:type="dxa"/>
                    <w:right w:w="0" w:type="dxa"/>
                  </w:tcMar>
                  <w:vAlign w:val="center"/>
                </w:tcPr>
                <w:p w14:paraId="7671E847">
                  <w:pPr>
                    <w:kinsoku/>
                    <w:spacing w:line="300" w:lineRule="exact"/>
                    <w:jc w:val="center"/>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25</w:t>
                  </w:r>
                </w:p>
              </w:tc>
              <w:tc>
                <w:tcPr>
                  <w:tcW w:w="333" w:type="pct"/>
                  <w:vMerge w:val="continue"/>
                  <w:tcBorders>
                    <w:right w:val="single" w:color="auto" w:sz="4" w:space="0"/>
                  </w:tcBorders>
                  <w:tcMar>
                    <w:left w:w="0" w:type="dxa"/>
                    <w:right w:w="0" w:type="dxa"/>
                  </w:tcMar>
                  <w:vAlign w:val="center"/>
                </w:tcPr>
                <w:p w14:paraId="0567C230">
                  <w:pPr>
                    <w:kinsoku/>
                    <w:spacing w:line="300" w:lineRule="exact"/>
                    <w:jc w:val="center"/>
                    <w:rPr>
                      <w:rFonts w:hint="default" w:ascii="Times New Roman" w:hAnsi="Times New Roman" w:eastAsia="宋体" w:cs="Times New Roman"/>
                      <w:color w:val="auto"/>
                    </w:rPr>
                  </w:pPr>
                </w:p>
              </w:tc>
            </w:tr>
            <w:bookmarkEnd w:id="45"/>
            <w:tr w14:paraId="5A25AFDA">
              <w:trPr>
                <w:trHeight w:val="320" w:hRule="atLeast"/>
                <w:jc w:val="center"/>
              </w:trPr>
              <w:tc>
                <w:tcPr>
                  <w:tcW w:w="1273" w:type="pct"/>
                  <w:gridSpan w:val="2"/>
                  <w:tcBorders>
                    <w:left w:val="single" w:color="auto" w:sz="4" w:space="0"/>
                  </w:tcBorders>
                  <w:tcMar>
                    <w:left w:w="0" w:type="dxa"/>
                    <w:right w:w="0" w:type="dxa"/>
                  </w:tcMar>
                  <w:vAlign w:val="center"/>
                </w:tcPr>
                <w:p w14:paraId="41EDE44B">
                  <w:pPr>
                    <w:kinsoku/>
                    <w:spacing w:line="300" w:lineRule="exact"/>
                    <w:jc w:val="center"/>
                    <w:rPr>
                      <w:rFonts w:hint="default" w:ascii="Times New Roman" w:hAnsi="Times New Roman" w:eastAsia="宋体" w:cs="Times New Roman"/>
                      <w:color w:val="auto"/>
                      <w:lang w:eastAsia="zh-CN"/>
                    </w:rPr>
                  </w:pPr>
                  <w:bookmarkStart w:id="48" w:name="_Hlk180059585"/>
                  <w:r>
                    <w:rPr>
                      <w:rFonts w:hint="default" w:ascii="Times New Roman" w:hAnsi="Times New Roman" w:eastAsia="宋体" w:cs="Times New Roman"/>
                      <w:color w:val="auto"/>
                    </w:rPr>
                    <w:t>生态</w:t>
                  </w:r>
                  <w:r>
                    <w:rPr>
                      <w:rFonts w:hint="default" w:ascii="Times New Roman" w:hAnsi="Times New Roman" w:eastAsia="宋体" w:cs="Times New Roman"/>
                      <w:color w:val="auto"/>
                      <w:lang w:eastAsia="zh-CN"/>
                    </w:rPr>
                    <w:t>恢复</w:t>
                  </w:r>
                </w:p>
              </w:tc>
              <w:tc>
                <w:tcPr>
                  <w:tcW w:w="2816" w:type="pct"/>
                  <w:tcMar>
                    <w:left w:w="0" w:type="dxa"/>
                    <w:right w:w="0" w:type="dxa"/>
                  </w:tcMar>
                  <w:vAlign w:val="center"/>
                </w:tcPr>
                <w:p w14:paraId="0811A356">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对临时占地清理、平整</w:t>
                  </w:r>
                </w:p>
              </w:tc>
              <w:tc>
                <w:tcPr>
                  <w:tcW w:w="576" w:type="pct"/>
                  <w:tcMar>
                    <w:left w:w="0" w:type="dxa"/>
                    <w:right w:w="0" w:type="dxa"/>
                  </w:tcMar>
                  <w:vAlign w:val="center"/>
                </w:tcPr>
                <w:p w14:paraId="23586C2A">
                  <w:pPr>
                    <w:kinsoku/>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5</w:t>
                  </w:r>
                </w:p>
              </w:tc>
              <w:tc>
                <w:tcPr>
                  <w:tcW w:w="333" w:type="pct"/>
                  <w:vMerge w:val="continue"/>
                  <w:tcBorders>
                    <w:right w:val="single" w:color="auto" w:sz="4" w:space="0"/>
                  </w:tcBorders>
                  <w:tcMar>
                    <w:left w:w="0" w:type="dxa"/>
                    <w:right w:w="0" w:type="dxa"/>
                  </w:tcMar>
                  <w:vAlign w:val="center"/>
                </w:tcPr>
                <w:p w14:paraId="00CEFC6B">
                  <w:pPr>
                    <w:kinsoku/>
                    <w:spacing w:line="300" w:lineRule="exact"/>
                    <w:jc w:val="center"/>
                    <w:rPr>
                      <w:rFonts w:hint="default" w:ascii="Times New Roman" w:hAnsi="Times New Roman" w:eastAsia="宋体" w:cs="Times New Roman"/>
                      <w:color w:val="auto"/>
                    </w:rPr>
                  </w:pPr>
                </w:p>
              </w:tc>
            </w:tr>
            <w:tr w14:paraId="0CDCA104">
              <w:trPr>
                <w:trHeight w:val="211" w:hRule="atLeast"/>
                <w:jc w:val="center"/>
              </w:trPr>
              <w:tc>
                <w:tcPr>
                  <w:tcW w:w="302" w:type="pct"/>
                  <w:vMerge w:val="restart"/>
                  <w:tcBorders>
                    <w:left w:val="single" w:color="auto" w:sz="4" w:space="0"/>
                  </w:tcBorders>
                  <w:tcMar>
                    <w:left w:w="0" w:type="dxa"/>
                    <w:right w:w="0" w:type="dxa"/>
                  </w:tcMar>
                  <w:vAlign w:val="center"/>
                </w:tcPr>
                <w:p w14:paraId="5698A789">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独立费用</w:t>
                  </w:r>
                </w:p>
              </w:tc>
              <w:tc>
                <w:tcPr>
                  <w:tcW w:w="970" w:type="pct"/>
                  <w:vMerge w:val="restart"/>
                  <w:tcBorders>
                    <w:left w:val="single" w:color="auto" w:sz="4" w:space="0"/>
                  </w:tcBorders>
                  <w:tcMar>
                    <w:left w:w="0" w:type="dxa"/>
                    <w:right w:w="0" w:type="dxa"/>
                  </w:tcMar>
                  <w:vAlign w:val="center"/>
                </w:tcPr>
                <w:p w14:paraId="47E38163">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（根据《石油建设项目其他费用和相关费用计价方法与费用标准(2022版)》）</w:t>
                  </w:r>
                </w:p>
              </w:tc>
              <w:tc>
                <w:tcPr>
                  <w:tcW w:w="2816" w:type="pct"/>
                  <w:tcMar>
                    <w:left w:w="0" w:type="dxa"/>
                    <w:right w:w="0" w:type="dxa"/>
                  </w:tcMar>
                  <w:vAlign w:val="center"/>
                </w:tcPr>
                <w:p w14:paraId="2EBB9320">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环境影响评价</w:t>
                  </w:r>
                </w:p>
              </w:tc>
              <w:tc>
                <w:tcPr>
                  <w:tcW w:w="576" w:type="pct"/>
                  <w:tcMar>
                    <w:left w:w="0" w:type="dxa"/>
                    <w:right w:w="0" w:type="dxa"/>
                  </w:tcMar>
                  <w:vAlign w:val="center"/>
                </w:tcPr>
                <w:p w14:paraId="43A50674">
                  <w:pPr>
                    <w:kinsoku/>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c>
                <w:tcPr>
                  <w:tcW w:w="333" w:type="pct"/>
                  <w:vMerge w:val="continue"/>
                  <w:tcBorders>
                    <w:right w:val="single" w:color="auto" w:sz="4" w:space="0"/>
                  </w:tcBorders>
                  <w:tcMar>
                    <w:left w:w="0" w:type="dxa"/>
                    <w:right w:w="0" w:type="dxa"/>
                  </w:tcMar>
                  <w:vAlign w:val="center"/>
                </w:tcPr>
                <w:p w14:paraId="144A521C">
                  <w:pPr>
                    <w:kinsoku/>
                    <w:spacing w:line="300" w:lineRule="exact"/>
                    <w:jc w:val="center"/>
                    <w:rPr>
                      <w:rFonts w:hint="default" w:ascii="Times New Roman" w:hAnsi="Times New Roman" w:eastAsia="宋体" w:cs="Times New Roman"/>
                      <w:color w:val="auto"/>
                    </w:rPr>
                  </w:pPr>
                </w:p>
              </w:tc>
            </w:tr>
            <w:tr w14:paraId="40C29EAA">
              <w:trPr>
                <w:trHeight w:val="817" w:hRule="atLeast"/>
                <w:jc w:val="center"/>
              </w:trPr>
              <w:tc>
                <w:tcPr>
                  <w:tcW w:w="302" w:type="pct"/>
                  <w:vMerge w:val="continue"/>
                  <w:tcBorders>
                    <w:left w:val="single" w:color="auto" w:sz="4" w:space="0"/>
                  </w:tcBorders>
                  <w:tcMar>
                    <w:left w:w="0" w:type="dxa"/>
                    <w:right w:w="0" w:type="dxa"/>
                  </w:tcMar>
                  <w:vAlign w:val="center"/>
                </w:tcPr>
                <w:p w14:paraId="4AA4A1B5">
                  <w:pPr>
                    <w:kinsoku/>
                    <w:spacing w:line="300" w:lineRule="exact"/>
                    <w:jc w:val="center"/>
                    <w:rPr>
                      <w:rFonts w:hint="default" w:ascii="Times New Roman" w:hAnsi="Times New Roman" w:eastAsia="宋体" w:cs="Times New Roman"/>
                      <w:color w:val="auto"/>
                      <w:lang w:eastAsia="zh-CN"/>
                    </w:rPr>
                  </w:pPr>
                </w:p>
              </w:tc>
              <w:tc>
                <w:tcPr>
                  <w:tcW w:w="970" w:type="pct"/>
                  <w:vMerge w:val="continue"/>
                  <w:tcBorders>
                    <w:left w:val="single" w:color="auto" w:sz="4" w:space="0"/>
                  </w:tcBorders>
                  <w:tcMar>
                    <w:left w:w="0" w:type="dxa"/>
                    <w:right w:w="0" w:type="dxa"/>
                  </w:tcMar>
                  <w:vAlign w:val="center"/>
                </w:tcPr>
                <w:p w14:paraId="2DF3ED14">
                  <w:pPr>
                    <w:kinsoku/>
                    <w:spacing w:line="300" w:lineRule="exact"/>
                    <w:jc w:val="center"/>
                    <w:rPr>
                      <w:rFonts w:hint="default" w:ascii="Times New Roman" w:hAnsi="Times New Roman" w:eastAsia="宋体" w:cs="Times New Roman"/>
                      <w:color w:val="auto"/>
                      <w:lang w:eastAsia="zh-CN"/>
                    </w:rPr>
                  </w:pPr>
                </w:p>
              </w:tc>
              <w:tc>
                <w:tcPr>
                  <w:tcW w:w="2816" w:type="pct"/>
                  <w:tcMar>
                    <w:left w:w="0" w:type="dxa"/>
                    <w:right w:w="0" w:type="dxa"/>
                  </w:tcMar>
                  <w:vAlign w:val="center"/>
                </w:tcPr>
                <w:p w14:paraId="77216EFA">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环境保护竣工</w:t>
                  </w:r>
                  <w:r>
                    <w:rPr>
                      <w:rFonts w:hint="default" w:ascii="Times New Roman" w:hAnsi="Times New Roman" w:eastAsia="宋体" w:cs="Times New Roman"/>
                      <w:color w:val="auto"/>
                    </w:rPr>
                    <w:t>验收</w:t>
                  </w:r>
                </w:p>
              </w:tc>
              <w:tc>
                <w:tcPr>
                  <w:tcW w:w="576" w:type="pct"/>
                  <w:tcMar>
                    <w:left w:w="0" w:type="dxa"/>
                    <w:right w:w="0" w:type="dxa"/>
                  </w:tcMar>
                  <w:vAlign w:val="center"/>
                </w:tcPr>
                <w:p w14:paraId="73034862">
                  <w:pPr>
                    <w:kinsoku/>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w:t>
                  </w:r>
                </w:p>
              </w:tc>
              <w:tc>
                <w:tcPr>
                  <w:tcW w:w="333" w:type="pct"/>
                  <w:vMerge w:val="continue"/>
                  <w:tcBorders>
                    <w:right w:val="single" w:color="auto" w:sz="4" w:space="0"/>
                  </w:tcBorders>
                  <w:tcMar>
                    <w:left w:w="0" w:type="dxa"/>
                    <w:right w:w="0" w:type="dxa"/>
                  </w:tcMar>
                  <w:vAlign w:val="center"/>
                </w:tcPr>
                <w:p w14:paraId="2C8FBE50">
                  <w:pPr>
                    <w:kinsoku/>
                    <w:spacing w:line="300" w:lineRule="exact"/>
                    <w:jc w:val="center"/>
                    <w:rPr>
                      <w:rFonts w:hint="default" w:ascii="Times New Roman" w:hAnsi="Times New Roman" w:eastAsia="宋体" w:cs="Times New Roman"/>
                      <w:color w:val="auto"/>
                    </w:rPr>
                  </w:pPr>
                </w:p>
              </w:tc>
            </w:tr>
            <w:tr w14:paraId="26577418">
              <w:trPr>
                <w:trHeight w:val="225" w:hRule="atLeast"/>
                <w:jc w:val="center"/>
              </w:trPr>
              <w:tc>
                <w:tcPr>
                  <w:tcW w:w="302" w:type="pct"/>
                  <w:vMerge w:val="continue"/>
                  <w:tcBorders>
                    <w:left w:val="single" w:color="auto" w:sz="4" w:space="0"/>
                  </w:tcBorders>
                  <w:tcMar>
                    <w:left w:w="0" w:type="dxa"/>
                    <w:right w:w="0" w:type="dxa"/>
                  </w:tcMar>
                  <w:vAlign w:val="center"/>
                </w:tcPr>
                <w:p w14:paraId="57CE0E98">
                  <w:pPr>
                    <w:kinsoku/>
                    <w:spacing w:line="300" w:lineRule="exact"/>
                    <w:jc w:val="center"/>
                    <w:rPr>
                      <w:rFonts w:hint="default" w:ascii="Times New Roman" w:hAnsi="Times New Roman" w:eastAsia="宋体" w:cs="Times New Roman"/>
                      <w:color w:val="auto"/>
                      <w:lang w:eastAsia="zh-CN"/>
                    </w:rPr>
                  </w:pPr>
                </w:p>
              </w:tc>
              <w:tc>
                <w:tcPr>
                  <w:tcW w:w="970" w:type="pct"/>
                  <w:tcBorders>
                    <w:left w:val="single" w:color="auto" w:sz="4" w:space="0"/>
                  </w:tcBorders>
                  <w:tcMar>
                    <w:left w:w="0" w:type="dxa"/>
                    <w:right w:w="0" w:type="dxa"/>
                  </w:tcMar>
                  <w:vAlign w:val="center"/>
                </w:tcPr>
                <w:p w14:paraId="77F11EDC">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c>
                <w:tcPr>
                  <w:tcW w:w="2816" w:type="pct"/>
                  <w:tcMar>
                    <w:left w:w="0" w:type="dxa"/>
                    <w:right w:w="0" w:type="dxa"/>
                  </w:tcMar>
                  <w:vAlign w:val="center"/>
                </w:tcPr>
                <w:p w14:paraId="119DA382">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环境监测</w:t>
                  </w:r>
                </w:p>
              </w:tc>
              <w:tc>
                <w:tcPr>
                  <w:tcW w:w="576" w:type="pct"/>
                  <w:tcMar>
                    <w:left w:w="0" w:type="dxa"/>
                    <w:right w:w="0" w:type="dxa"/>
                  </w:tcMar>
                  <w:vAlign w:val="center"/>
                </w:tcPr>
                <w:p w14:paraId="1623FECB">
                  <w:pPr>
                    <w:kinsoku/>
                    <w:spacing w:line="30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333" w:type="pct"/>
                  <w:vMerge w:val="continue"/>
                  <w:tcBorders>
                    <w:right w:val="single" w:color="auto" w:sz="4" w:space="0"/>
                  </w:tcBorders>
                  <w:tcMar>
                    <w:left w:w="0" w:type="dxa"/>
                    <w:right w:w="0" w:type="dxa"/>
                  </w:tcMar>
                  <w:vAlign w:val="center"/>
                </w:tcPr>
                <w:p w14:paraId="15BE912E">
                  <w:pPr>
                    <w:kinsoku/>
                    <w:spacing w:line="300" w:lineRule="exact"/>
                    <w:jc w:val="center"/>
                    <w:rPr>
                      <w:rFonts w:hint="default" w:ascii="Times New Roman" w:hAnsi="Times New Roman" w:eastAsia="宋体" w:cs="Times New Roman"/>
                      <w:color w:val="auto"/>
                    </w:rPr>
                  </w:pPr>
                </w:p>
              </w:tc>
            </w:tr>
            <w:bookmarkEnd w:id="48"/>
            <w:tr w14:paraId="3AF6CE87">
              <w:trPr>
                <w:trHeight w:val="259" w:hRule="atLeast"/>
                <w:jc w:val="center"/>
              </w:trPr>
              <w:tc>
                <w:tcPr>
                  <w:tcW w:w="4090" w:type="pct"/>
                  <w:gridSpan w:val="3"/>
                  <w:tcBorders>
                    <w:left w:val="single" w:color="auto" w:sz="4" w:space="0"/>
                    <w:bottom w:val="single" w:color="auto" w:sz="4" w:space="0"/>
                  </w:tcBorders>
                  <w:tcMar>
                    <w:left w:w="0" w:type="dxa"/>
                    <w:right w:w="0" w:type="dxa"/>
                  </w:tcMar>
                  <w:vAlign w:val="center"/>
                </w:tcPr>
                <w:p w14:paraId="799ED964">
                  <w:pPr>
                    <w:kinsoku/>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576" w:type="pct"/>
                  <w:tcBorders>
                    <w:bottom w:val="single" w:color="auto" w:sz="4" w:space="0"/>
                  </w:tcBorders>
                  <w:tcMar>
                    <w:left w:w="0" w:type="dxa"/>
                    <w:right w:w="0" w:type="dxa"/>
                  </w:tcMar>
                  <w:vAlign w:val="center"/>
                </w:tcPr>
                <w:p w14:paraId="4728599E">
                  <w:pPr>
                    <w:kinsoku/>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268</w:t>
                  </w:r>
                </w:p>
              </w:tc>
              <w:tc>
                <w:tcPr>
                  <w:tcW w:w="333" w:type="pct"/>
                  <w:tcBorders>
                    <w:bottom w:val="single" w:color="auto" w:sz="4" w:space="0"/>
                    <w:right w:val="single" w:color="auto" w:sz="4" w:space="0"/>
                  </w:tcBorders>
                  <w:tcMar>
                    <w:left w:w="0" w:type="dxa"/>
                    <w:right w:w="0" w:type="dxa"/>
                  </w:tcMar>
                  <w:vAlign w:val="center"/>
                </w:tcPr>
                <w:p w14:paraId="6B7A8EAE">
                  <w:pPr>
                    <w:kinsoku/>
                    <w:spacing w:line="30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p>
              </w:tc>
            </w:tr>
          </w:tbl>
          <w:p w14:paraId="126ECBCA">
            <w:pPr>
              <w:pStyle w:val="8"/>
              <w:widowControl w:val="0"/>
              <w:kinsoku/>
              <w:jc w:val="both"/>
              <w:rPr>
                <w:rFonts w:hint="default" w:ascii="Times New Roman" w:hAnsi="Times New Roman" w:eastAsia="宋体" w:cs="Times New Roman"/>
                <w:color w:val="auto"/>
              </w:rPr>
            </w:pPr>
          </w:p>
          <w:p w14:paraId="7F18B901">
            <w:pPr>
              <w:pStyle w:val="8"/>
              <w:widowControl w:val="0"/>
              <w:kinsoku/>
              <w:jc w:val="both"/>
              <w:rPr>
                <w:rFonts w:hint="default" w:ascii="Times New Roman" w:hAnsi="Times New Roman" w:eastAsia="宋体" w:cs="Times New Roman"/>
                <w:color w:val="auto"/>
              </w:rPr>
            </w:pPr>
          </w:p>
        </w:tc>
      </w:tr>
    </w:tbl>
    <w:p w14:paraId="757750D1">
      <w:pPr>
        <w:pStyle w:val="3"/>
        <w:kinsoku/>
        <w:rPr>
          <w:rFonts w:ascii="Times New Roman" w:hAnsi="Times New Roman" w:cs="Times New Roman"/>
          <w:color w:val="auto"/>
        </w:rPr>
        <w:sectPr>
          <w:footerReference r:id="rId6" w:type="default"/>
          <w:pgSz w:w="11906" w:h="16838"/>
          <w:pgMar w:top="1440" w:right="1800" w:bottom="1440" w:left="1800" w:header="851" w:footer="992" w:gutter="0"/>
          <w:cols w:space="425" w:num="1"/>
          <w:docGrid w:type="lines" w:linePitch="312" w:charSpace="0"/>
        </w:sectPr>
      </w:pPr>
    </w:p>
    <w:p w14:paraId="7D6449B3">
      <w:pPr>
        <w:pStyle w:val="3"/>
        <w:kinsoku/>
        <w:rPr>
          <w:rFonts w:ascii="Times New Roman" w:hAnsi="Times New Roman" w:cs="Times New Roman" w:eastAsiaTheme="minorEastAsia"/>
          <w:color w:val="auto"/>
          <w:sz w:val="30"/>
          <w:szCs w:val="30"/>
          <w:lang w:eastAsia="zh-CN"/>
        </w:rPr>
      </w:pPr>
      <w:r>
        <w:rPr>
          <w:rFonts w:ascii="Times New Roman" w:hAnsi="Times New Roman" w:cs="Times New Roman" w:eastAsiaTheme="minorEastAsia"/>
          <w:color w:val="auto"/>
          <w:sz w:val="30"/>
          <w:szCs w:val="30"/>
          <w:lang w:eastAsia="zh-CN"/>
        </w:rPr>
        <w:t>六、生态环境保护措施监督检查清单</w:t>
      </w:r>
    </w:p>
    <w:tbl>
      <w:tblPr>
        <w:tblStyle w:val="17"/>
        <w:tblW w:w="51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9" w:type="dxa"/>
          <w:bottom w:w="0" w:type="dxa"/>
          <w:right w:w="79" w:type="dxa"/>
        </w:tblCellMar>
      </w:tblPr>
      <w:tblGrid>
        <w:gridCol w:w="1147"/>
        <w:gridCol w:w="3745"/>
        <w:gridCol w:w="1921"/>
        <w:gridCol w:w="1137"/>
        <w:gridCol w:w="726"/>
      </w:tblGrid>
      <w:tr w14:paraId="541AD564">
        <w:trPr>
          <w:trHeight w:val="34" w:hRule="atLeast"/>
          <w:jc w:val="center"/>
        </w:trPr>
        <w:tc>
          <w:tcPr>
            <w:tcW w:w="661" w:type="pct"/>
            <w:vMerge w:val="restart"/>
            <w:tcBorders>
              <w:tl2br w:val="single" w:color="auto" w:sz="4" w:space="0"/>
            </w:tcBorders>
          </w:tcPr>
          <w:p w14:paraId="0B6C47E6">
            <w:pPr>
              <w:pStyle w:val="15"/>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内容</w:t>
            </w:r>
          </w:p>
          <w:p w14:paraId="540EFD5F">
            <w:pPr>
              <w:pStyle w:val="15"/>
              <w:kinsoku/>
              <w:rPr>
                <w:rFonts w:hint="default" w:ascii="Times New Roman" w:hAnsi="Times New Roman" w:eastAsia="宋体" w:cs="Times New Roman"/>
                <w:b/>
                <w:bCs/>
                <w:color w:val="auto"/>
                <w:lang w:eastAsia="zh-CN"/>
              </w:rPr>
            </w:pPr>
          </w:p>
          <w:p w14:paraId="5E1B15E7">
            <w:pPr>
              <w:pStyle w:val="15"/>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要素</w:t>
            </w:r>
          </w:p>
        </w:tc>
        <w:tc>
          <w:tcPr>
            <w:tcW w:w="3265" w:type="pct"/>
            <w:gridSpan w:val="2"/>
            <w:vAlign w:val="center"/>
          </w:tcPr>
          <w:p w14:paraId="50242A70">
            <w:pPr>
              <w:pStyle w:val="15"/>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施工期</w:t>
            </w:r>
          </w:p>
        </w:tc>
        <w:tc>
          <w:tcPr>
            <w:tcW w:w="1073" w:type="pct"/>
            <w:gridSpan w:val="2"/>
            <w:vAlign w:val="center"/>
          </w:tcPr>
          <w:p w14:paraId="167CFDA1">
            <w:pPr>
              <w:pStyle w:val="15"/>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运营期</w:t>
            </w:r>
          </w:p>
        </w:tc>
      </w:tr>
      <w:tr w14:paraId="58B7DEB8">
        <w:trPr>
          <w:trHeight w:val="34" w:hRule="atLeast"/>
          <w:jc w:val="center"/>
        </w:trPr>
        <w:tc>
          <w:tcPr>
            <w:tcW w:w="661" w:type="pct"/>
            <w:vMerge w:val="continue"/>
          </w:tcPr>
          <w:p w14:paraId="2479373E">
            <w:pPr>
              <w:pStyle w:val="15"/>
              <w:kinsoku/>
              <w:rPr>
                <w:rFonts w:hint="default" w:ascii="Times New Roman" w:hAnsi="Times New Roman" w:eastAsia="宋体" w:cs="Times New Roman"/>
                <w:b/>
                <w:bCs/>
                <w:color w:val="auto"/>
              </w:rPr>
            </w:pPr>
          </w:p>
        </w:tc>
        <w:tc>
          <w:tcPr>
            <w:tcW w:w="2158" w:type="pct"/>
            <w:vAlign w:val="center"/>
          </w:tcPr>
          <w:p w14:paraId="59491E2A">
            <w:pPr>
              <w:pStyle w:val="15"/>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环境保护措施</w:t>
            </w:r>
          </w:p>
        </w:tc>
        <w:tc>
          <w:tcPr>
            <w:tcW w:w="1107" w:type="pct"/>
            <w:vAlign w:val="center"/>
          </w:tcPr>
          <w:p w14:paraId="65170686">
            <w:pPr>
              <w:pStyle w:val="15"/>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验收要求</w:t>
            </w:r>
          </w:p>
        </w:tc>
        <w:tc>
          <w:tcPr>
            <w:tcW w:w="655" w:type="pct"/>
            <w:vAlign w:val="center"/>
          </w:tcPr>
          <w:p w14:paraId="3F6237A5">
            <w:pPr>
              <w:pStyle w:val="15"/>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环境保护措施</w:t>
            </w:r>
          </w:p>
        </w:tc>
        <w:tc>
          <w:tcPr>
            <w:tcW w:w="418" w:type="pct"/>
            <w:vAlign w:val="center"/>
          </w:tcPr>
          <w:p w14:paraId="35FD7D2C">
            <w:pPr>
              <w:pStyle w:val="15"/>
              <w:kinsoku/>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验收要求</w:t>
            </w:r>
          </w:p>
        </w:tc>
      </w:tr>
      <w:tr w14:paraId="51411D75">
        <w:trPr>
          <w:trHeight w:val="34" w:hRule="atLeast"/>
          <w:jc w:val="center"/>
        </w:trPr>
        <w:tc>
          <w:tcPr>
            <w:tcW w:w="661" w:type="pct"/>
            <w:vAlign w:val="center"/>
          </w:tcPr>
          <w:p w14:paraId="20E81B9A">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陆生生态</w:t>
            </w:r>
          </w:p>
        </w:tc>
        <w:tc>
          <w:tcPr>
            <w:tcW w:w="2158" w:type="pct"/>
            <w:vAlign w:val="center"/>
          </w:tcPr>
          <w:p w14:paraId="0377A5DC">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lang w:eastAsia="zh-CN"/>
              </w:rPr>
              <w:instrText xml:space="preserve"> = 1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eastAsia="zh-CN"/>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eastAsia="zh-CN"/>
              </w:rPr>
              <w:t>选址尽量避开植被密集区域；严格划定路线，禁止乱碾乱轧；确保各环保设施正常运行，避免各种污染物对环境影响较小；②严格控制占地，严格规定各类工作人员的活动范围；③完井后施工机械、设备及时撤离，废水和固体废物全部妥善处置，现场禁止遗留；</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lang w:eastAsia="zh-CN"/>
              </w:rPr>
              <w:instrText xml:space="preserve"> = 4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eastAsia="zh-CN"/>
              </w:rPr>
              <w:t>④</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eastAsia="zh-CN"/>
              </w:rPr>
              <w:t>建设单位按照相关要求办理临时占地经济补偿协议；⑤施工结束后及时对场地进行清理、平整并压实；⑥合理安排施工时间，避免大风天气施工。项目在建设过程中，严格落实各项管理规定，不得对项目所在区域生态环境和环境质量造成影响。</w:t>
            </w:r>
          </w:p>
        </w:tc>
        <w:tc>
          <w:tcPr>
            <w:tcW w:w="1107" w:type="pct"/>
            <w:vAlign w:val="center"/>
          </w:tcPr>
          <w:p w14:paraId="2022A444">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验收内容：</w:t>
            </w:r>
            <w:r>
              <w:rPr>
                <w:rFonts w:hint="default" w:ascii="Times New Roman" w:hAnsi="Times New Roman" w:eastAsia="宋体" w:cs="Times New Roman"/>
                <w:color w:val="auto"/>
                <w:lang w:eastAsia="zh-CN"/>
              </w:rPr>
              <w:t>生态保护措施落实情况；现场无废水和固体废物遗留；井场及周边占地恢复情况；临时占地经济补偿协议办理情况。</w:t>
            </w:r>
          </w:p>
          <w:p w14:paraId="6C049925">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验收效果：</w:t>
            </w:r>
            <w:r>
              <w:rPr>
                <w:rFonts w:hint="default" w:ascii="Times New Roman" w:hAnsi="Times New Roman" w:eastAsia="宋体" w:cs="Times New Roman"/>
                <w:color w:val="auto"/>
                <w:lang w:eastAsia="zh-CN"/>
              </w:rPr>
              <w:t>施工结束后清理、平整并压实临时占地，以利于土壤、植被自然恢复。井场、生活营地和探临道路进行平整，井场无废水和固体废物遗留。</w:t>
            </w:r>
          </w:p>
        </w:tc>
        <w:tc>
          <w:tcPr>
            <w:tcW w:w="655" w:type="pct"/>
            <w:vMerge w:val="restart"/>
            <w:vAlign w:val="center"/>
          </w:tcPr>
          <w:p w14:paraId="0774157C">
            <w:pPr>
              <w:kinsoku/>
              <w:spacing w:line="34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根据试采结果决定新钻井是否转为生产井，若可转为生产井，则应当在产能开发建设前对其开展环境影响评价工作，编制环境影响评价文件。</w:t>
            </w:r>
          </w:p>
        </w:tc>
        <w:tc>
          <w:tcPr>
            <w:tcW w:w="418" w:type="pct"/>
            <w:vMerge w:val="restart"/>
            <w:vAlign w:val="center"/>
          </w:tcPr>
          <w:p w14:paraId="0B68DF09">
            <w:pPr>
              <w:kinsoku/>
              <w:spacing w:line="34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按照环评及批复等相关文件要求进行验收。</w:t>
            </w:r>
          </w:p>
        </w:tc>
      </w:tr>
      <w:tr w14:paraId="444F880E">
        <w:trPr>
          <w:trHeight w:val="60" w:hRule="atLeast"/>
          <w:jc w:val="center"/>
        </w:trPr>
        <w:tc>
          <w:tcPr>
            <w:tcW w:w="661" w:type="pct"/>
            <w:vAlign w:val="center"/>
          </w:tcPr>
          <w:p w14:paraId="4A13EC64">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水生生态</w:t>
            </w:r>
          </w:p>
        </w:tc>
        <w:tc>
          <w:tcPr>
            <w:tcW w:w="2158" w:type="pct"/>
            <w:vAlign w:val="center"/>
          </w:tcPr>
          <w:p w14:paraId="79609ED4">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107" w:type="pct"/>
            <w:vAlign w:val="center"/>
          </w:tcPr>
          <w:p w14:paraId="0ABA1771">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55" w:type="pct"/>
            <w:vMerge w:val="continue"/>
            <w:vAlign w:val="center"/>
          </w:tcPr>
          <w:p w14:paraId="2021F73C">
            <w:pPr>
              <w:kinsoku/>
              <w:spacing w:line="340" w:lineRule="exact"/>
              <w:jc w:val="center"/>
              <w:rPr>
                <w:rFonts w:hint="default" w:ascii="Times New Roman" w:hAnsi="Times New Roman" w:eastAsia="宋体" w:cs="Times New Roman"/>
                <w:color w:val="auto"/>
              </w:rPr>
            </w:pPr>
          </w:p>
        </w:tc>
        <w:tc>
          <w:tcPr>
            <w:tcW w:w="418" w:type="pct"/>
            <w:vMerge w:val="continue"/>
            <w:vAlign w:val="center"/>
          </w:tcPr>
          <w:p w14:paraId="52168094">
            <w:pPr>
              <w:kinsoku/>
              <w:spacing w:line="340" w:lineRule="exact"/>
              <w:jc w:val="center"/>
              <w:rPr>
                <w:rFonts w:hint="default" w:ascii="Times New Roman" w:hAnsi="Times New Roman" w:eastAsia="宋体" w:cs="Times New Roman"/>
                <w:color w:val="auto"/>
              </w:rPr>
            </w:pPr>
          </w:p>
        </w:tc>
      </w:tr>
      <w:tr w14:paraId="2C558B18">
        <w:trPr>
          <w:trHeight w:val="34" w:hRule="atLeast"/>
          <w:jc w:val="center"/>
        </w:trPr>
        <w:tc>
          <w:tcPr>
            <w:tcW w:w="661" w:type="pct"/>
            <w:vAlign w:val="center"/>
          </w:tcPr>
          <w:p w14:paraId="3A235635">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地表水环境</w:t>
            </w:r>
          </w:p>
        </w:tc>
        <w:tc>
          <w:tcPr>
            <w:tcW w:w="2158" w:type="pct"/>
            <w:vAlign w:val="center"/>
          </w:tcPr>
          <w:p w14:paraId="78AEEFEA">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107" w:type="pct"/>
            <w:vAlign w:val="center"/>
          </w:tcPr>
          <w:p w14:paraId="6A36DAD8">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55" w:type="pct"/>
            <w:vMerge w:val="continue"/>
            <w:vAlign w:val="center"/>
          </w:tcPr>
          <w:p w14:paraId="55766D9B">
            <w:pPr>
              <w:kinsoku/>
              <w:spacing w:line="340" w:lineRule="exact"/>
              <w:jc w:val="center"/>
              <w:rPr>
                <w:rFonts w:hint="default" w:ascii="Times New Roman" w:hAnsi="Times New Roman" w:eastAsia="宋体" w:cs="Times New Roman"/>
                <w:color w:val="auto"/>
              </w:rPr>
            </w:pPr>
          </w:p>
        </w:tc>
        <w:tc>
          <w:tcPr>
            <w:tcW w:w="418" w:type="pct"/>
            <w:vMerge w:val="continue"/>
            <w:vAlign w:val="center"/>
          </w:tcPr>
          <w:p w14:paraId="3B57A4AE">
            <w:pPr>
              <w:kinsoku/>
              <w:spacing w:line="340" w:lineRule="exact"/>
              <w:jc w:val="center"/>
              <w:rPr>
                <w:rFonts w:hint="default" w:ascii="Times New Roman" w:hAnsi="Times New Roman" w:eastAsia="宋体" w:cs="Times New Roman"/>
                <w:color w:val="auto"/>
              </w:rPr>
            </w:pPr>
          </w:p>
        </w:tc>
      </w:tr>
      <w:tr w14:paraId="457B4A2B">
        <w:trPr>
          <w:trHeight w:val="34" w:hRule="atLeast"/>
          <w:jc w:val="center"/>
        </w:trPr>
        <w:tc>
          <w:tcPr>
            <w:tcW w:w="661" w:type="pct"/>
            <w:vAlign w:val="center"/>
          </w:tcPr>
          <w:p w14:paraId="68C5D010">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地下水及土壤环境</w:t>
            </w:r>
          </w:p>
        </w:tc>
        <w:tc>
          <w:tcPr>
            <w:tcW w:w="2158" w:type="pct"/>
            <w:vAlign w:val="center"/>
          </w:tcPr>
          <w:p w14:paraId="07CBE66F">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施工期废水主要包括钻井废水（钻井液/泥浆体系废液）、洗井废水、压裂返排液及生活污水。钻井过程中产生的钻井废水按钻井液体系分阶段循环使用：井筒返出钻井液经“钻井液不落地”系统固液分离后，液相优先回用于相应体系钻井液的配制与循环利用，钻井期间不外排；钻井阶段结束后，无法继续回用的钻井液以废弃泥浆形式产生，与固相物料分类收集后统一外运处置。洗井废水和压裂返排液分别收集至专用储罐，采用罐车拉运至</w:t>
            </w:r>
            <w:r>
              <w:rPr>
                <w:rFonts w:hint="eastAsia" w:ascii="Times New Roman" w:hAnsi="Times New Roman" w:eastAsia="宋体" w:cs="Times New Roman"/>
                <w:color w:val="auto"/>
                <w:lang w:eastAsia="zh-CN"/>
              </w:rPr>
              <w:t>吉28脱水站</w:t>
            </w:r>
            <w:r>
              <w:rPr>
                <w:rFonts w:hint="default" w:ascii="Times New Roman" w:hAnsi="Times New Roman" w:eastAsia="宋体" w:cs="Times New Roman"/>
                <w:color w:val="auto"/>
                <w:lang w:eastAsia="zh-CN"/>
              </w:rPr>
              <w:t>处理，处理后水质达到《碎屑岩油藏注水水质指标技术要求及分析方法》（SY/T5329-2022）标准后全部回注油藏，不外排。</w:t>
            </w:r>
            <w:r>
              <w:rPr>
                <w:rFonts w:hint="default" w:ascii="Times New Roman" w:hAnsi="Times New Roman" w:eastAsia="宋体" w:cs="Times New Roman"/>
                <w:color w:val="auto"/>
                <w:lang w:eastAsia="zh-CN"/>
              </w:rPr>
              <w:br w:type="textWrapping"/>
            </w:r>
            <w:r>
              <w:rPr>
                <w:rFonts w:hint="default" w:ascii="Times New Roman" w:hAnsi="Times New Roman" w:eastAsia="宋体" w:cs="Times New Roman"/>
                <w:color w:val="auto"/>
                <w:lang w:eastAsia="zh-CN"/>
              </w:rPr>
              <w:t>本项目采用下套管注水泥固井工艺实施水泥固井，水泥浆在井筒内形成封隔，隔离含水层与目的层，减少钻井过程对地下水环境的影响。生活营地设置</w:t>
            </w:r>
            <w:r>
              <w:rPr>
                <w:rFonts w:hint="eastAsia" w:ascii="Times New Roman" w:hAnsi="Times New Roman" w:eastAsia="宋体" w:cs="Times New Roman"/>
                <w:color w:val="auto"/>
                <w:lang w:eastAsia="zh-CN"/>
              </w:rPr>
              <w:t>防渗收集池</w:t>
            </w:r>
            <w:r>
              <w:rPr>
                <w:rFonts w:hint="default" w:ascii="Times New Roman" w:hAnsi="Times New Roman" w:eastAsia="宋体" w:cs="Times New Roman"/>
                <w:color w:val="auto"/>
                <w:lang w:eastAsia="zh-CN"/>
              </w:rPr>
              <w:t>收集生活污水，定期由吸污车清运至</w:t>
            </w:r>
            <w:r>
              <w:rPr>
                <w:rFonts w:hint="eastAsia" w:ascii="Times New Roman" w:hAnsi="Times New Roman" w:eastAsia="宋体" w:cs="Times New Roman"/>
                <w:color w:val="auto"/>
                <w:lang w:val="en-US" w:eastAsia="zh-CN"/>
              </w:rPr>
              <w:t>吉木萨尔县</w:t>
            </w:r>
            <w:r>
              <w:rPr>
                <w:rFonts w:hint="default" w:ascii="Times New Roman" w:hAnsi="Times New Roman" w:eastAsia="宋体" w:cs="Times New Roman"/>
                <w:color w:val="auto"/>
                <w:lang w:eastAsia="zh-CN"/>
              </w:rPr>
              <w:t>市政污水处理厂处理，严禁就地排放。</w:t>
            </w:r>
          </w:p>
        </w:tc>
        <w:tc>
          <w:tcPr>
            <w:tcW w:w="1107" w:type="pct"/>
            <w:vAlign w:val="center"/>
          </w:tcPr>
          <w:p w14:paraId="3453E407">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验收内容：</w:t>
            </w:r>
            <w:r>
              <w:rPr>
                <w:rFonts w:hint="default" w:ascii="Times New Roman" w:hAnsi="Times New Roman" w:eastAsia="宋体" w:cs="Times New Roman"/>
                <w:color w:val="auto"/>
                <w:lang w:eastAsia="zh-CN"/>
              </w:rPr>
              <w:t>①生活污水签订清运协议；②洗井废水和压裂返排液现场无遗留。</w:t>
            </w:r>
          </w:p>
          <w:p w14:paraId="115FA0C2">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验收效果：</w:t>
            </w:r>
            <w:r>
              <w:rPr>
                <w:rFonts w:hint="default" w:ascii="Times New Roman" w:hAnsi="Times New Roman" w:eastAsia="宋体" w:cs="Times New Roman"/>
                <w:color w:val="auto"/>
                <w:lang w:eastAsia="zh-CN"/>
              </w:rPr>
              <w:t>验收时现场无遗留问题。</w:t>
            </w:r>
          </w:p>
        </w:tc>
        <w:tc>
          <w:tcPr>
            <w:tcW w:w="655" w:type="pct"/>
            <w:vMerge w:val="continue"/>
            <w:vAlign w:val="center"/>
          </w:tcPr>
          <w:p w14:paraId="1CA6FF81">
            <w:pPr>
              <w:kinsoku/>
              <w:spacing w:line="340" w:lineRule="exact"/>
              <w:jc w:val="center"/>
              <w:rPr>
                <w:rFonts w:hint="default" w:ascii="Times New Roman" w:hAnsi="Times New Roman" w:eastAsia="宋体" w:cs="Times New Roman"/>
                <w:color w:val="auto"/>
                <w:lang w:eastAsia="zh-CN"/>
              </w:rPr>
            </w:pPr>
          </w:p>
        </w:tc>
        <w:tc>
          <w:tcPr>
            <w:tcW w:w="418" w:type="pct"/>
            <w:vMerge w:val="continue"/>
            <w:vAlign w:val="center"/>
          </w:tcPr>
          <w:p w14:paraId="4DA4C736">
            <w:pPr>
              <w:kinsoku/>
              <w:spacing w:line="340" w:lineRule="exact"/>
              <w:jc w:val="center"/>
              <w:rPr>
                <w:rFonts w:hint="default" w:ascii="Times New Roman" w:hAnsi="Times New Roman" w:eastAsia="宋体" w:cs="Times New Roman"/>
                <w:color w:val="auto"/>
                <w:lang w:eastAsia="zh-CN"/>
              </w:rPr>
            </w:pPr>
          </w:p>
        </w:tc>
      </w:tr>
      <w:tr w14:paraId="36995C03">
        <w:trPr>
          <w:trHeight w:val="34" w:hRule="atLeast"/>
          <w:jc w:val="center"/>
        </w:trPr>
        <w:tc>
          <w:tcPr>
            <w:tcW w:w="661" w:type="pct"/>
            <w:vAlign w:val="center"/>
          </w:tcPr>
          <w:p w14:paraId="25D92E83">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2158" w:type="pct"/>
            <w:vAlign w:val="center"/>
          </w:tcPr>
          <w:p w14:paraId="17DA17BB">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在设备选型上要求采用低噪声的设备，施工设备定期检查维修，对噪声较大的设备采取基础减震措施；加强施工场地管理，合理疏导进入施工区的车辆，禁止运输车辆随意高声鸣笛。</w:t>
            </w:r>
          </w:p>
        </w:tc>
        <w:tc>
          <w:tcPr>
            <w:tcW w:w="1107" w:type="pct"/>
            <w:vAlign w:val="center"/>
          </w:tcPr>
          <w:p w14:paraId="24CD26FE">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55" w:type="pct"/>
            <w:vMerge w:val="continue"/>
            <w:vAlign w:val="center"/>
          </w:tcPr>
          <w:p w14:paraId="6D5DB1BE">
            <w:pPr>
              <w:kinsoku/>
              <w:spacing w:line="340" w:lineRule="exact"/>
              <w:jc w:val="center"/>
              <w:rPr>
                <w:rFonts w:hint="default" w:ascii="Times New Roman" w:hAnsi="Times New Roman" w:eastAsia="宋体" w:cs="Times New Roman"/>
                <w:color w:val="auto"/>
              </w:rPr>
            </w:pPr>
          </w:p>
        </w:tc>
        <w:tc>
          <w:tcPr>
            <w:tcW w:w="418" w:type="pct"/>
            <w:vMerge w:val="continue"/>
            <w:vAlign w:val="center"/>
          </w:tcPr>
          <w:p w14:paraId="3E78AD33">
            <w:pPr>
              <w:kinsoku/>
              <w:spacing w:line="340" w:lineRule="exact"/>
              <w:jc w:val="center"/>
              <w:rPr>
                <w:rFonts w:hint="default" w:ascii="Times New Roman" w:hAnsi="Times New Roman" w:eastAsia="宋体" w:cs="Times New Roman"/>
                <w:color w:val="auto"/>
              </w:rPr>
            </w:pPr>
          </w:p>
        </w:tc>
      </w:tr>
      <w:tr w14:paraId="32A57A01">
        <w:trPr>
          <w:trHeight w:val="34" w:hRule="atLeast"/>
          <w:jc w:val="center"/>
        </w:trPr>
        <w:tc>
          <w:tcPr>
            <w:tcW w:w="661" w:type="pct"/>
            <w:vAlign w:val="center"/>
          </w:tcPr>
          <w:p w14:paraId="346BBACE">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振动</w:t>
            </w:r>
          </w:p>
        </w:tc>
        <w:tc>
          <w:tcPr>
            <w:tcW w:w="2158" w:type="pct"/>
            <w:vAlign w:val="center"/>
          </w:tcPr>
          <w:p w14:paraId="23EA30E7">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107" w:type="pct"/>
            <w:vAlign w:val="center"/>
          </w:tcPr>
          <w:p w14:paraId="6A62CD01">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55" w:type="pct"/>
            <w:vMerge w:val="continue"/>
            <w:vAlign w:val="center"/>
          </w:tcPr>
          <w:p w14:paraId="6B5F9D51">
            <w:pPr>
              <w:kinsoku/>
              <w:spacing w:line="340" w:lineRule="exact"/>
              <w:jc w:val="center"/>
              <w:rPr>
                <w:rFonts w:hint="default" w:ascii="Times New Roman" w:hAnsi="Times New Roman" w:eastAsia="宋体" w:cs="Times New Roman"/>
                <w:color w:val="auto"/>
              </w:rPr>
            </w:pPr>
          </w:p>
        </w:tc>
        <w:tc>
          <w:tcPr>
            <w:tcW w:w="418" w:type="pct"/>
            <w:vMerge w:val="continue"/>
            <w:vAlign w:val="center"/>
          </w:tcPr>
          <w:p w14:paraId="4E23133A">
            <w:pPr>
              <w:kinsoku/>
              <w:spacing w:line="340" w:lineRule="exact"/>
              <w:jc w:val="center"/>
              <w:rPr>
                <w:rFonts w:hint="default" w:ascii="Times New Roman" w:hAnsi="Times New Roman" w:eastAsia="宋体" w:cs="Times New Roman"/>
                <w:color w:val="auto"/>
              </w:rPr>
            </w:pPr>
          </w:p>
        </w:tc>
      </w:tr>
      <w:tr w14:paraId="515688AE">
        <w:trPr>
          <w:trHeight w:val="34" w:hRule="atLeast"/>
          <w:jc w:val="center"/>
        </w:trPr>
        <w:tc>
          <w:tcPr>
            <w:tcW w:w="661" w:type="pct"/>
            <w:vAlign w:val="center"/>
          </w:tcPr>
          <w:p w14:paraId="11463B5A">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大气环境</w:t>
            </w:r>
          </w:p>
        </w:tc>
        <w:tc>
          <w:tcPr>
            <w:tcW w:w="2158" w:type="pct"/>
            <w:vAlign w:val="center"/>
          </w:tcPr>
          <w:p w14:paraId="4E5FAE02">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施工现场运输车辆低速慢行，不得超载，易起尘物料在运输、存放时加盖遮盖物，最大限度防止扬尘扩散；使用符合国家标准的柴油并加强机械、车辆的维护，施工期井场边界</w:t>
            </w:r>
            <w:r>
              <w:rPr>
                <w:rFonts w:hint="default" w:ascii="Times New Roman" w:hAnsi="Times New Roman" w:eastAsia="宋体" w:cs="Times New Roman"/>
                <w:color w:val="auto"/>
                <w:lang w:val="en-US" w:eastAsia="zh-CN"/>
              </w:rPr>
              <w:t>备用</w:t>
            </w:r>
            <w:r>
              <w:rPr>
                <w:rFonts w:hint="default" w:ascii="Times New Roman" w:hAnsi="Times New Roman" w:eastAsia="宋体" w:cs="Times New Roman"/>
                <w:color w:val="auto"/>
                <w:lang w:eastAsia="zh-CN"/>
              </w:rPr>
              <w:t>柴油机、发电机烟气排放的污染物须满足《大气污染物综合排放标准》(GB16297-1996)中的最高允许排放浓度标准要求；</w:t>
            </w:r>
            <w:r>
              <w:rPr>
                <w:rFonts w:hint="default" w:ascii="Times New Roman" w:hAnsi="Times New Roman" w:eastAsia="宋体" w:cs="Times New Roman"/>
                <w:color w:val="auto"/>
                <w:lang w:val="en-US" w:eastAsia="zh-CN"/>
              </w:rPr>
              <w:t>试油期伴生气经排气管线充分燃烧后排放，试油期井场边界非甲烷总烃参照</w:t>
            </w:r>
            <w:r>
              <w:rPr>
                <w:rFonts w:hint="default" w:ascii="Times New Roman" w:hAnsi="Times New Roman" w:eastAsia="宋体" w:cs="Times New Roman"/>
                <w:color w:val="auto"/>
                <w:lang w:eastAsia="zh-CN"/>
              </w:rPr>
              <w:t>执行《陆上石油天然气开采工业大气污染物排放标准》（GB39728-2020）中边界浓度限值要求。</w:t>
            </w:r>
          </w:p>
        </w:tc>
        <w:tc>
          <w:tcPr>
            <w:tcW w:w="1107" w:type="pct"/>
            <w:vAlign w:val="center"/>
          </w:tcPr>
          <w:p w14:paraId="47A3530D">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验收效果：</w:t>
            </w:r>
            <w:r>
              <w:rPr>
                <w:rFonts w:hint="default" w:ascii="Times New Roman" w:hAnsi="Times New Roman" w:eastAsia="宋体" w:cs="Times New Roman"/>
                <w:color w:val="auto"/>
                <w:lang w:eastAsia="zh-CN"/>
              </w:rPr>
              <w:t>验收时现场无施工遗留问题。</w:t>
            </w:r>
          </w:p>
        </w:tc>
        <w:tc>
          <w:tcPr>
            <w:tcW w:w="655" w:type="pct"/>
            <w:vMerge w:val="continue"/>
            <w:vAlign w:val="center"/>
          </w:tcPr>
          <w:p w14:paraId="5FB5E8C5">
            <w:pPr>
              <w:kinsoku/>
              <w:spacing w:line="340" w:lineRule="exact"/>
              <w:jc w:val="center"/>
              <w:rPr>
                <w:rFonts w:hint="default" w:ascii="Times New Roman" w:hAnsi="Times New Roman" w:eastAsia="宋体" w:cs="Times New Roman"/>
                <w:color w:val="auto"/>
                <w:lang w:eastAsia="zh-CN"/>
              </w:rPr>
            </w:pPr>
          </w:p>
        </w:tc>
        <w:tc>
          <w:tcPr>
            <w:tcW w:w="418" w:type="pct"/>
            <w:vMerge w:val="continue"/>
            <w:vAlign w:val="center"/>
          </w:tcPr>
          <w:p w14:paraId="60AFBF9B">
            <w:pPr>
              <w:kinsoku/>
              <w:spacing w:line="340" w:lineRule="exact"/>
              <w:jc w:val="center"/>
              <w:rPr>
                <w:rFonts w:hint="default" w:ascii="Times New Roman" w:hAnsi="Times New Roman" w:eastAsia="宋体" w:cs="Times New Roman"/>
                <w:color w:val="auto"/>
                <w:lang w:eastAsia="zh-CN"/>
              </w:rPr>
            </w:pPr>
          </w:p>
        </w:tc>
      </w:tr>
      <w:tr w14:paraId="72544EFD">
        <w:trPr>
          <w:trHeight w:val="638" w:hRule="atLeast"/>
          <w:jc w:val="center"/>
        </w:trPr>
        <w:tc>
          <w:tcPr>
            <w:tcW w:w="661" w:type="pct"/>
            <w:vAlign w:val="center"/>
          </w:tcPr>
          <w:p w14:paraId="7FC66036">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p>
        </w:tc>
        <w:tc>
          <w:tcPr>
            <w:tcW w:w="2158" w:type="pct"/>
            <w:vAlign w:val="center"/>
          </w:tcPr>
          <w:p w14:paraId="7865F21F">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①钻井岩屑（含钻井泥浆固相）：钻井过程中产生的钻井岩屑经“钻</w:t>
            </w:r>
            <w:r>
              <w:rPr>
                <w:rFonts w:hint="default" w:ascii="Times New Roman" w:hAnsi="Times New Roman" w:eastAsia="宋体" w:cs="Times New Roman"/>
                <w:color w:val="auto"/>
              </w:rPr>
              <w:t>井液不落地”系统处理，实现固液分离。分离出的固相岩屑按钻井阶段及钻井液体</w:t>
            </w:r>
            <w:r>
              <w:rPr>
                <w:rFonts w:hint="default" w:ascii="Times New Roman" w:hAnsi="Times New Roman" w:eastAsia="宋体" w:cs="Times New Roman"/>
                <w:color w:val="auto"/>
                <w:lang w:eastAsia="zh-CN"/>
              </w:rPr>
              <w:t>系分类管理：</w:t>
            </w:r>
            <w:r>
              <w:rPr>
                <w:rFonts w:hint="eastAsia" w:ascii="Times New Roman" w:hAnsi="Times New Roman" w:eastAsia="宋体" w:cs="Times New Roman"/>
                <w:color w:val="auto"/>
                <w:lang w:val="en-US" w:eastAsia="zh-CN"/>
              </w:rPr>
              <w:t>钻井过程中</w:t>
            </w:r>
            <w:r>
              <w:rPr>
                <w:rFonts w:hint="default" w:ascii="Times New Roman" w:hAnsi="Times New Roman" w:eastAsia="宋体" w:cs="Times New Roman"/>
                <w:color w:val="auto"/>
                <w:lang w:eastAsia="zh-CN"/>
              </w:rPr>
              <w:t>产生的水基钻井岩屑不属于危险废物，</w:t>
            </w:r>
            <w:r>
              <w:rPr>
                <w:rFonts w:hint="eastAsia" w:ascii="Times New Roman" w:hAnsi="Times New Roman" w:eastAsia="宋体" w:cs="Times New Roman"/>
                <w:color w:val="auto"/>
                <w:lang w:val="en-US" w:eastAsia="zh-CN"/>
              </w:rPr>
              <w:t>委托具有</w:t>
            </w:r>
            <w:r>
              <w:rPr>
                <w:rFonts w:hint="default" w:ascii="Times New Roman" w:hAnsi="Times New Roman" w:eastAsia="宋体" w:cs="Times New Roman"/>
                <w:color w:val="auto"/>
                <w:lang w:eastAsia="zh-CN"/>
              </w:rPr>
              <w:t>相应处理能力的第三方</w:t>
            </w:r>
            <w:r>
              <w:rPr>
                <w:rFonts w:hint="eastAsia" w:ascii="Times New Roman" w:hAnsi="Times New Roman" w:eastAsia="宋体" w:cs="Times New Roman"/>
                <w:color w:val="auto"/>
                <w:lang w:val="en-US" w:eastAsia="zh-CN"/>
              </w:rPr>
              <w:t>环保</w:t>
            </w:r>
            <w:r>
              <w:rPr>
                <w:rFonts w:hint="default" w:ascii="Times New Roman" w:hAnsi="Times New Roman" w:eastAsia="宋体" w:cs="Times New Roman"/>
                <w:color w:val="auto"/>
                <w:lang w:eastAsia="zh-CN"/>
              </w:rPr>
              <w:t>单位进行集中处置，经检测达到《油气田钻井固体废物综合利用污染控制要求》（DB65/T3997-2017）相关标准限值后综合利用；产生的油基钻井岩屑属于危险废物，</w:t>
            </w:r>
            <w:r>
              <w:rPr>
                <w:rFonts w:hint="default" w:ascii="Times New Roman" w:hAnsi="Times New Roman" w:eastAsia="宋体" w:cs="Times New Roman"/>
                <w:color w:val="auto"/>
                <w:lang w:val="en-US" w:eastAsia="zh-CN"/>
              </w:rPr>
              <w:t>规范</w:t>
            </w:r>
            <w:r>
              <w:rPr>
                <w:rFonts w:hint="default" w:ascii="Times New Roman" w:hAnsi="Times New Roman" w:eastAsia="宋体" w:cs="Times New Roman"/>
                <w:color w:val="auto"/>
                <w:lang w:eastAsia="zh-CN"/>
              </w:rPr>
              <w:t>收集、防渗暂存，委托具有危险废物经营资质的单位</w:t>
            </w:r>
            <w:r>
              <w:rPr>
                <w:rFonts w:hint="eastAsia" w:ascii="Times New Roman" w:hAnsi="Times New Roman" w:eastAsia="宋体" w:cs="Times New Roman"/>
                <w:color w:val="auto"/>
                <w:lang w:val="en-US" w:eastAsia="zh-CN"/>
              </w:rPr>
              <w:t>及时</w:t>
            </w:r>
            <w:r>
              <w:rPr>
                <w:rFonts w:hint="default" w:ascii="Times New Roman" w:hAnsi="Times New Roman" w:eastAsia="宋体" w:cs="Times New Roman"/>
                <w:color w:val="auto"/>
                <w:lang w:eastAsia="zh-CN"/>
              </w:rPr>
              <w:t>规范处置</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日产日清</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；③落地油100%回收，集中收集后委托有危险废物处理资质单位进行处置。④机械设备废油、废油桶暂存至危险废物贮存</w:t>
            </w:r>
            <w:r>
              <w:rPr>
                <w:rFonts w:hint="default" w:ascii="Times New Roman" w:hAnsi="Times New Roman" w:eastAsia="宋体" w:cs="Times New Roman"/>
                <w:color w:val="auto"/>
                <w:lang w:val="en-US" w:eastAsia="zh-CN"/>
              </w:rPr>
              <w:t>点</w:t>
            </w:r>
            <w:r>
              <w:rPr>
                <w:rFonts w:hint="default" w:ascii="Times New Roman" w:hAnsi="Times New Roman" w:eastAsia="宋体" w:cs="Times New Roman"/>
                <w:color w:val="auto"/>
                <w:lang w:eastAsia="zh-CN"/>
              </w:rPr>
              <w:t>，委托有危险</w:t>
            </w:r>
            <w:r>
              <w:rPr>
                <w:rFonts w:hint="default" w:ascii="Times New Roman" w:hAnsi="Times New Roman" w:eastAsia="宋体" w:cs="Times New Roman"/>
                <w:color w:val="auto"/>
                <w:highlight w:val="none"/>
                <w:lang w:eastAsia="zh-CN"/>
              </w:rPr>
              <w:t>废物处理资质单位进行处置</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⑤生活垃圾集中收集后委托第三方拉运至</w:t>
            </w:r>
            <w:r>
              <w:rPr>
                <w:rFonts w:hint="eastAsia" w:ascii="Times New Roman" w:hAnsi="Times New Roman" w:eastAsia="宋体" w:cs="Times New Roman"/>
                <w:color w:val="auto"/>
                <w:highlight w:val="none"/>
                <w:lang w:val="en-US" w:eastAsia="zh-CN"/>
              </w:rPr>
              <w:t>吉木萨尔县</w:t>
            </w:r>
            <w:r>
              <w:rPr>
                <w:rFonts w:hint="default" w:ascii="Times New Roman" w:hAnsi="Times New Roman" w:eastAsia="宋体" w:cs="Times New Roman"/>
                <w:color w:val="auto"/>
                <w:highlight w:val="none"/>
                <w:lang w:eastAsia="zh-CN"/>
              </w:rPr>
              <w:t>垃圾场处理。</w:t>
            </w:r>
          </w:p>
        </w:tc>
        <w:tc>
          <w:tcPr>
            <w:tcW w:w="1107" w:type="pct"/>
            <w:vAlign w:val="center"/>
          </w:tcPr>
          <w:p w14:paraId="7A068EDD">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验收内容：</w:t>
            </w:r>
            <w:r>
              <w:rPr>
                <w:rFonts w:hint="default" w:ascii="Times New Roman" w:hAnsi="Times New Roman" w:eastAsia="宋体" w:cs="Times New Roman"/>
                <w:color w:val="auto"/>
                <w:lang w:eastAsia="zh-CN"/>
              </w:rPr>
              <w:t>①一开水基岩屑委托处置记录，二开油基岩屑危险废物管理和转运情况；②废防渗材料、落地油和沾油废防渗材料、机械设备废油与废油桶贮存于危废贮存点后定期委托有危险废物处理资质单位进行处置并签订处置协议，查阅危险废物台账，检查现场是否有遗留；③生活垃圾签订接收协议。④现场是否存在固体废物遗留或混装现象。</w:t>
            </w:r>
          </w:p>
          <w:p w14:paraId="68A39B02">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验收效果：</w:t>
            </w:r>
            <w:r>
              <w:rPr>
                <w:rFonts w:hint="default" w:ascii="Times New Roman" w:hAnsi="Times New Roman" w:eastAsia="宋体" w:cs="Times New Roman"/>
                <w:color w:val="auto"/>
                <w:lang w:eastAsia="zh-CN"/>
              </w:rPr>
              <w:t>各类固体废物均按规定分类收集、规范暂存并及时转运处置，现场未发现固体废物遗留或环境污染问题。</w:t>
            </w:r>
          </w:p>
        </w:tc>
        <w:tc>
          <w:tcPr>
            <w:tcW w:w="655" w:type="pct"/>
            <w:vMerge w:val="continue"/>
            <w:vAlign w:val="center"/>
          </w:tcPr>
          <w:p w14:paraId="677E9D20">
            <w:pPr>
              <w:kinsoku/>
              <w:spacing w:line="340" w:lineRule="exact"/>
              <w:jc w:val="center"/>
              <w:rPr>
                <w:rFonts w:hint="default" w:ascii="Times New Roman" w:hAnsi="Times New Roman" w:eastAsia="宋体" w:cs="Times New Roman"/>
                <w:color w:val="auto"/>
                <w:lang w:eastAsia="zh-CN"/>
              </w:rPr>
            </w:pPr>
          </w:p>
        </w:tc>
        <w:tc>
          <w:tcPr>
            <w:tcW w:w="418" w:type="pct"/>
            <w:vMerge w:val="continue"/>
            <w:vAlign w:val="center"/>
          </w:tcPr>
          <w:p w14:paraId="7F5EC90F">
            <w:pPr>
              <w:kinsoku/>
              <w:spacing w:line="340" w:lineRule="exact"/>
              <w:jc w:val="center"/>
              <w:rPr>
                <w:rFonts w:hint="default" w:ascii="Times New Roman" w:hAnsi="Times New Roman" w:eastAsia="宋体" w:cs="Times New Roman"/>
                <w:color w:val="auto"/>
                <w:lang w:eastAsia="zh-CN"/>
              </w:rPr>
            </w:pPr>
          </w:p>
        </w:tc>
      </w:tr>
      <w:tr w14:paraId="34CF1C4C">
        <w:trPr>
          <w:trHeight w:val="60" w:hRule="atLeast"/>
          <w:jc w:val="center"/>
        </w:trPr>
        <w:tc>
          <w:tcPr>
            <w:tcW w:w="661" w:type="pct"/>
            <w:vAlign w:val="center"/>
          </w:tcPr>
          <w:p w14:paraId="27673A92">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电磁环境</w:t>
            </w:r>
          </w:p>
        </w:tc>
        <w:tc>
          <w:tcPr>
            <w:tcW w:w="2158" w:type="pct"/>
            <w:vAlign w:val="center"/>
          </w:tcPr>
          <w:p w14:paraId="3E3EB3DA">
            <w:pPr>
              <w:kinsoku/>
              <w:spacing w:line="34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107" w:type="pct"/>
            <w:vAlign w:val="center"/>
          </w:tcPr>
          <w:p w14:paraId="0686909C">
            <w:pPr>
              <w:kinsoku/>
              <w:spacing w:line="34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55" w:type="pct"/>
            <w:vMerge w:val="continue"/>
            <w:vAlign w:val="center"/>
          </w:tcPr>
          <w:p w14:paraId="73665F0D">
            <w:pPr>
              <w:kinsoku/>
              <w:spacing w:line="340" w:lineRule="exact"/>
              <w:jc w:val="center"/>
              <w:rPr>
                <w:rFonts w:hint="default" w:ascii="Times New Roman" w:hAnsi="Times New Roman" w:eastAsia="宋体" w:cs="Times New Roman"/>
                <w:color w:val="auto"/>
              </w:rPr>
            </w:pPr>
          </w:p>
        </w:tc>
        <w:tc>
          <w:tcPr>
            <w:tcW w:w="418" w:type="pct"/>
            <w:vMerge w:val="continue"/>
            <w:vAlign w:val="center"/>
          </w:tcPr>
          <w:p w14:paraId="39596045">
            <w:pPr>
              <w:kinsoku/>
              <w:spacing w:line="340" w:lineRule="exact"/>
              <w:jc w:val="center"/>
              <w:rPr>
                <w:rFonts w:hint="default" w:ascii="Times New Roman" w:hAnsi="Times New Roman" w:eastAsia="宋体" w:cs="Times New Roman"/>
                <w:color w:val="auto"/>
              </w:rPr>
            </w:pPr>
          </w:p>
        </w:tc>
      </w:tr>
      <w:tr w14:paraId="4EA24661">
        <w:trPr>
          <w:trHeight w:val="2350" w:hRule="atLeast"/>
          <w:jc w:val="center"/>
        </w:trPr>
        <w:tc>
          <w:tcPr>
            <w:tcW w:w="661" w:type="pct"/>
            <w:vAlign w:val="center"/>
          </w:tcPr>
          <w:p w14:paraId="087D524D">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w:t>
            </w:r>
          </w:p>
        </w:tc>
        <w:tc>
          <w:tcPr>
            <w:tcW w:w="2158" w:type="pct"/>
            <w:vAlign w:val="center"/>
          </w:tcPr>
          <w:p w14:paraId="4ACAFA69">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施工时应严格执行相关风险防范措施和规章制度，严禁违规操作加强设备维修与巡检，避免储罐泄漏事故的发生；②在井口安装井控装置，杜绝井喷的发生；防止污染地下水和土壤；③定期检查固井质量，发现固井质量不合格应及时采取措施，保证固井质量合格；④柴油罐、原油罐等储罐底部铺设防渗材料或设置围堰，加强各类储罐及放喷管线的日常管理及安全检查；⑤将本项目纳入《中国石油天然气股份有限公司吐哈油田分公司准东采油管理区突发环境事件应急预案》管理体系，并落实相关应急响应措施。</w:t>
            </w:r>
          </w:p>
        </w:tc>
        <w:tc>
          <w:tcPr>
            <w:tcW w:w="1107" w:type="pct"/>
            <w:vAlign w:val="center"/>
          </w:tcPr>
          <w:p w14:paraId="67F56EF3">
            <w:pPr>
              <w:kinsoku/>
              <w:spacing w:line="34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55" w:type="pct"/>
            <w:vMerge w:val="continue"/>
            <w:vAlign w:val="center"/>
          </w:tcPr>
          <w:p w14:paraId="4DAE5431">
            <w:pPr>
              <w:kinsoku/>
              <w:spacing w:line="340" w:lineRule="exact"/>
              <w:jc w:val="center"/>
              <w:rPr>
                <w:rFonts w:hint="default" w:ascii="Times New Roman" w:hAnsi="Times New Roman" w:eastAsia="宋体" w:cs="Times New Roman"/>
                <w:color w:val="auto"/>
              </w:rPr>
            </w:pPr>
          </w:p>
        </w:tc>
        <w:tc>
          <w:tcPr>
            <w:tcW w:w="418" w:type="pct"/>
            <w:vMerge w:val="continue"/>
            <w:vAlign w:val="center"/>
          </w:tcPr>
          <w:p w14:paraId="33E0B591">
            <w:pPr>
              <w:kinsoku/>
              <w:spacing w:line="340" w:lineRule="exact"/>
              <w:jc w:val="center"/>
              <w:rPr>
                <w:rFonts w:hint="default" w:ascii="Times New Roman" w:hAnsi="Times New Roman" w:eastAsia="宋体" w:cs="Times New Roman"/>
                <w:color w:val="auto"/>
              </w:rPr>
            </w:pPr>
          </w:p>
        </w:tc>
      </w:tr>
      <w:tr w14:paraId="3E5D02F0">
        <w:trPr>
          <w:trHeight w:val="34" w:hRule="atLeast"/>
          <w:jc w:val="center"/>
        </w:trPr>
        <w:tc>
          <w:tcPr>
            <w:tcW w:w="661" w:type="pct"/>
            <w:vAlign w:val="center"/>
          </w:tcPr>
          <w:p w14:paraId="4272D4C0">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环境监测</w:t>
            </w:r>
          </w:p>
        </w:tc>
        <w:tc>
          <w:tcPr>
            <w:tcW w:w="2158" w:type="pct"/>
            <w:vAlign w:val="center"/>
          </w:tcPr>
          <w:p w14:paraId="4A58979A">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工程为钻井及试油阶段项目，施工周期较短，环境影响具有阶段性。施工和试油期间钻机、动力设备等投入运行，建设单位应对各阶段产生的废气、废水、固体废物及生态扰动落实全过程环境管理，通过现场巡查检查、台账记录与必要的阶段性监测，确保各项环保措施有效实施，降低对周边环境的影响。</w:t>
            </w:r>
            <w:r>
              <w:rPr>
                <w:rFonts w:hint="default" w:ascii="Times New Roman" w:hAnsi="Times New Roman" w:eastAsia="宋体" w:cs="Times New Roman"/>
                <w:color w:val="auto"/>
                <w:lang w:eastAsia="zh-CN"/>
              </w:rPr>
              <w:br w:type="textWrapping"/>
            </w:r>
            <w:r>
              <w:rPr>
                <w:rFonts w:hint="default" w:ascii="Times New Roman" w:hAnsi="Times New Roman" w:eastAsia="宋体" w:cs="Times New Roman"/>
                <w:color w:val="auto"/>
                <w:lang w:eastAsia="zh-CN"/>
              </w:rPr>
              <w:t>本项目监测以施工期为主：在钻井/试油等高噪声作业阶段开展井场边界噪声监测；对固体废物（钻井岩屑、危废等）执行分类收集、暂存、转运联单及台账管理；对钻井液及返排液等废水实行</w:t>
            </w:r>
            <w:r>
              <w:rPr>
                <w:rFonts w:hint="default" w:ascii="Times New Roman" w:hAnsi="Times New Roman" w:eastAsia="宋体" w:cs="Times New Roman"/>
                <w:color w:val="auto"/>
                <w:lang w:val="en-US" w:eastAsia="zh-CN"/>
              </w:rPr>
              <w:t>规范</w:t>
            </w:r>
            <w:r>
              <w:rPr>
                <w:rFonts w:hint="default" w:ascii="Times New Roman" w:hAnsi="Times New Roman" w:eastAsia="宋体" w:cs="Times New Roman"/>
                <w:color w:val="auto"/>
                <w:lang w:eastAsia="zh-CN"/>
              </w:rPr>
              <w:t>收集并外运至脱水站处理后回注油藏，不设置外排口，日常以过程检查为主。若发生异常工况或环境突发事件（如泄漏、井控异常等），应及时开展应急监测。监测工作由具备相应资质（CMA）的第三方监测单位承担，并形成完整记录归档。</w:t>
            </w:r>
          </w:p>
        </w:tc>
        <w:tc>
          <w:tcPr>
            <w:tcW w:w="1107" w:type="pct"/>
            <w:vAlign w:val="center"/>
          </w:tcPr>
          <w:p w14:paraId="43BCBE38">
            <w:pPr>
              <w:kinsoku/>
              <w:spacing w:line="34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55" w:type="pct"/>
            <w:vMerge w:val="continue"/>
            <w:vAlign w:val="center"/>
          </w:tcPr>
          <w:p w14:paraId="3ADA4AED">
            <w:pPr>
              <w:kinsoku/>
              <w:spacing w:line="340" w:lineRule="exact"/>
              <w:jc w:val="center"/>
              <w:rPr>
                <w:rFonts w:hint="default" w:ascii="Times New Roman" w:hAnsi="Times New Roman" w:eastAsia="宋体" w:cs="Times New Roman"/>
                <w:color w:val="auto"/>
              </w:rPr>
            </w:pPr>
          </w:p>
        </w:tc>
        <w:tc>
          <w:tcPr>
            <w:tcW w:w="418" w:type="pct"/>
            <w:vMerge w:val="continue"/>
            <w:vAlign w:val="center"/>
          </w:tcPr>
          <w:p w14:paraId="6379451B">
            <w:pPr>
              <w:kinsoku/>
              <w:spacing w:line="340" w:lineRule="exact"/>
              <w:jc w:val="center"/>
              <w:rPr>
                <w:rFonts w:hint="default" w:ascii="Times New Roman" w:hAnsi="Times New Roman" w:eastAsia="宋体" w:cs="Times New Roman"/>
                <w:color w:val="auto"/>
              </w:rPr>
            </w:pPr>
          </w:p>
        </w:tc>
      </w:tr>
      <w:tr w14:paraId="10D717CA">
        <w:trPr>
          <w:trHeight w:val="90" w:hRule="atLeast"/>
          <w:jc w:val="center"/>
        </w:trPr>
        <w:tc>
          <w:tcPr>
            <w:tcW w:w="661" w:type="pct"/>
            <w:vAlign w:val="center"/>
          </w:tcPr>
          <w:p w14:paraId="11467AC5">
            <w:pPr>
              <w:kinsoku/>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其他</w:t>
            </w:r>
          </w:p>
        </w:tc>
        <w:tc>
          <w:tcPr>
            <w:tcW w:w="2158" w:type="pct"/>
            <w:vAlign w:val="center"/>
          </w:tcPr>
          <w:p w14:paraId="57E09947">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p>
        </w:tc>
        <w:tc>
          <w:tcPr>
            <w:tcW w:w="1107" w:type="pct"/>
            <w:vAlign w:val="center"/>
          </w:tcPr>
          <w:p w14:paraId="5E651E18">
            <w:pPr>
              <w:kinsoku/>
              <w:spacing w:line="340" w:lineRule="exac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环境管理制度是否建立并完善，环保机构及人员是否设置到位；是否保留必要的影像资料。</w:t>
            </w:r>
          </w:p>
        </w:tc>
        <w:tc>
          <w:tcPr>
            <w:tcW w:w="655" w:type="pct"/>
            <w:vMerge w:val="continue"/>
            <w:vAlign w:val="center"/>
          </w:tcPr>
          <w:p w14:paraId="68406EBC">
            <w:pPr>
              <w:kinsoku/>
              <w:spacing w:line="340" w:lineRule="exact"/>
              <w:jc w:val="center"/>
              <w:rPr>
                <w:rFonts w:hint="default" w:ascii="Times New Roman" w:hAnsi="Times New Roman" w:eastAsia="宋体" w:cs="Times New Roman"/>
                <w:color w:val="auto"/>
                <w:lang w:eastAsia="zh-CN"/>
              </w:rPr>
            </w:pPr>
          </w:p>
        </w:tc>
        <w:tc>
          <w:tcPr>
            <w:tcW w:w="418" w:type="pct"/>
            <w:vMerge w:val="continue"/>
            <w:vAlign w:val="center"/>
          </w:tcPr>
          <w:p w14:paraId="0AE51158">
            <w:pPr>
              <w:kinsoku/>
              <w:spacing w:line="340" w:lineRule="exact"/>
              <w:jc w:val="center"/>
              <w:rPr>
                <w:rFonts w:hint="default" w:ascii="Times New Roman" w:hAnsi="Times New Roman" w:eastAsia="宋体" w:cs="Times New Roman"/>
                <w:color w:val="auto"/>
                <w:lang w:eastAsia="zh-CN"/>
              </w:rPr>
            </w:pPr>
          </w:p>
        </w:tc>
      </w:tr>
    </w:tbl>
    <w:p w14:paraId="26B86A6A">
      <w:pPr>
        <w:pStyle w:val="8"/>
        <w:kinsoku/>
        <w:rPr>
          <w:rFonts w:ascii="Times New Roman" w:hAnsi="Times New Roman" w:cs="Times New Roman"/>
          <w:color w:val="auto"/>
          <w:lang w:eastAsia="zh-CN"/>
        </w:rPr>
        <w:sectPr>
          <w:pgSz w:w="11906" w:h="16838"/>
          <w:pgMar w:top="1440" w:right="1800" w:bottom="1440" w:left="1800" w:header="851" w:footer="992" w:gutter="0"/>
          <w:cols w:space="425" w:num="1"/>
          <w:docGrid w:type="lines" w:linePitch="312" w:charSpace="0"/>
        </w:sectPr>
      </w:pPr>
    </w:p>
    <w:p w14:paraId="0BD729AC">
      <w:pPr>
        <w:kinsoku/>
        <w:spacing w:line="360" w:lineRule="auto"/>
        <w:jc w:val="center"/>
        <w:outlineLvl w:val="0"/>
        <w:rPr>
          <w:rFonts w:ascii="Times New Roman" w:hAnsi="Times New Roman" w:cs="Times New Roman"/>
          <w:color w:val="auto"/>
        </w:rPr>
      </w:pPr>
      <w:r>
        <w:rPr>
          <w:rFonts w:ascii="Times New Roman" w:hAnsi="Times New Roman" w:cs="Times New Roman" w:eastAsiaTheme="minorEastAsia"/>
          <w:b/>
          <w:color w:val="auto"/>
          <w:kern w:val="44"/>
          <w:sz w:val="30"/>
          <w:szCs w:val="30"/>
        </w:rPr>
        <w:t>七、结论</w:t>
      </w:r>
    </w:p>
    <w:tbl>
      <w:tblPr>
        <w:tblStyle w:val="22"/>
        <w:tblW w:w="8635"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35"/>
      </w:tblGrid>
      <w:tr w14:paraId="68590BED">
        <w:trPr>
          <w:trHeight w:val="12484" w:hRule="atLeast"/>
          <w:jc w:val="center"/>
        </w:trPr>
        <w:tc>
          <w:tcPr>
            <w:tcW w:w="8635" w:type="dxa"/>
          </w:tcPr>
          <w:p w14:paraId="586651B2">
            <w:pPr>
              <w:pStyle w:val="23"/>
              <w:kinsoku/>
              <w:spacing w:before="117" w:line="361" w:lineRule="auto"/>
              <w:ind w:left="117" w:right="106" w:firstLine="480"/>
              <w:jc w:val="both"/>
              <w:rPr>
                <w:rFonts w:ascii="Times New Roman" w:hAnsi="Times New Roman" w:cs="Times New Roman"/>
                <w:color w:val="auto"/>
                <w:sz w:val="24"/>
                <w:szCs w:val="24"/>
                <w:lang w:eastAsia="zh-CN"/>
              </w:rPr>
            </w:pPr>
            <w:r>
              <w:rPr>
                <w:rFonts w:ascii="Times New Roman" w:hAnsi="Times New Roman" w:cs="Times New Roman"/>
                <w:color w:val="auto"/>
                <w:spacing w:val="-3"/>
                <w:sz w:val="24"/>
                <w:szCs w:val="24"/>
                <w:lang w:eastAsia="zh-CN"/>
              </w:rPr>
              <w:t>本工程符合国家产业政策，选址较为合理，项目建设符合达标排放、总量控制及维持环境质量原则；符合风险防范措施要求。通过加强管理，污染物无害处理，及时恢复原貌等措施，在各项污染治理措施实施且确保全部污染物达标排放的前提下，本次项目的建设从环境影响角度而言，项目实施是可行的。</w:t>
            </w:r>
          </w:p>
        </w:tc>
      </w:tr>
    </w:tbl>
    <w:p w14:paraId="06921006">
      <w:pPr>
        <w:pStyle w:val="8"/>
        <w:kinsoku/>
        <w:rPr>
          <w:rFonts w:ascii="Times New Roman" w:hAnsi="Times New Roman" w:cs="Times New Roman"/>
          <w:color w:val="auto"/>
          <w:sz w:val="21"/>
          <w:lang w:eastAsia="zh-CN"/>
        </w:rPr>
      </w:pPr>
    </w:p>
    <w:sectPr>
      <w:footerReference r:id="rId7" w:type="default"/>
      <w:pgSz w:w="11900" w:h="16840"/>
      <w:pgMar w:top="1440" w:right="1803" w:bottom="1440" w:left="1803" w:header="850"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0000000000000000000"/>
    <w:charset w:val="86"/>
    <w:family w:val="modern"/>
    <w:pitch w:val="default"/>
    <w:sig w:usb0="00000000" w:usb1="00000000" w:usb2="00000000" w:usb3="00000000" w:csb0="00040000" w:csb1="00000000"/>
  </w:font>
  <w:font w:name="方正小标宋_GBK">
    <w:altName w:val="汉仪书宋二KW"/>
    <w:panose1 w:val="00000000000000000000"/>
    <w:charset w:val="86"/>
    <w:family w:val="script"/>
    <w:pitch w:val="default"/>
    <w:sig w:usb0="00000000" w:usb1="00000000" w:usb2="00082016" w:usb3="00000000" w:csb0="00040001" w:csb1="00000000"/>
  </w:font>
  <w:font w:name="楷体_GB2312">
    <w:altName w:val="汉仪楷体简"/>
    <w:panose1 w:val="00000000000000000000"/>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Webdings">
    <w:panose1 w:val="05030102010509060703"/>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59D26">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FE6E5">
    <w:pPr>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posOffset>2617470</wp:posOffset>
              </wp:positionH>
              <wp:positionV relativeFrom="paragraph">
                <wp:posOffset>-228600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B08D6">
                          <w:pPr>
                            <w:pStyle w:val="13"/>
                            <w:rPr>
                              <w:rFonts w:ascii="Times New Roman" w:hAnsi="Times New Roman" w:eastAsia="宋体" w:cs="Times New Roman"/>
                              <w:sz w:val="21"/>
                            </w:rPr>
                          </w:pPr>
                          <w:r>
                            <w:rPr>
                              <w:rFonts w:ascii="Times New Roman" w:hAnsi="Times New Roman" w:eastAsia="宋体" w:cs="Times New Roman"/>
                              <w:sz w:val="21"/>
                            </w:rPr>
                            <w:fldChar w:fldCharType="begin"/>
                          </w:r>
                          <w:r>
                            <w:rPr>
                              <w:rFonts w:ascii="Times New Roman" w:hAnsi="Times New Roman" w:eastAsia="宋体" w:cs="Times New Roman"/>
                              <w:sz w:val="21"/>
                            </w:rPr>
                            <w:instrText xml:space="preserve"> PAGE  \* MERGEFORMAT </w:instrText>
                          </w:r>
                          <w:r>
                            <w:rPr>
                              <w:rFonts w:ascii="Times New Roman" w:hAnsi="Times New Roman" w:eastAsia="宋体" w:cs="Times New Roman"/>
                              <w:sz w:val="21"/>
                            </w:rPr>
                            <w:fldChar w:fldCharType="separate"/>
                          </w:r>
                          <w:r>
                            <w:rPr>
                              <w:rFonts w:ascii="Times New Roman" w:hAnsi="Times New Roman" w:eastAsia="宋体" w:cs="Times New Roman"/>
                              <w:sz w:val="21"/>
                            </w:rPr>
                            <w:t>2</w:t>
                          </w:r>
                          <w:r>
                            <w:rPr>
                              <w:rFonts w:ascii="Times New Roman" w:hAnsi="Times New Roman" w:eastAsia="宋体" w:cs="Times New Roman"/>
                              <w:sz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6.1pt;margin-top:-18pt;height:144pt;width:144pt;mso-position-horizontal-relative:margin;mso-wrap-style:none;z-index:251659264;mso-width-relative:page;mso-height-relative:page;" filled="f" stroked="f" coordsize="21600,21600" o:gfxdata="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eqe32AAAAAsBAAAPAAAAAAAAAAEAIAAAACIAAABkcnMvZG93bnJldi54bWxQSwECFAAU&#10;AAAACACHTuJAjNcOfCoCAABVBAAADgAAAAAAAAABACAAAAAnAQAAZHJzL2Uyb0RvYy54bWxQSwUG&#10;AAAAAAYABgBZAQAAwwUAAAAA&#10;">
              <v:fill on="f" focussize="0,0"/>
              <v:stroke on="f" weight="0.5pt"/>
              <v:imagedata o:title=""/>
              <o:lock v:ext="edit" aspectratio="f"/>
              <v:textbox inset="0mm,0mm,0mm,0mm" style="mso-fit-shape-to-text:t;">
                <w:txbxContent>
                  <w:p w14:paraId="717B08D6">
                    <w:pPr>
                      <w:pStyle w:val="13"/>
                      <w:rPr>
                        <w:rFonts w:ascii="Times New Roman" w:hAnsi="Times New Roman" w:eastAsia="宋体" w:cs="Times New Roman"/>
                        <w:sz w:val="21"/>
                      </w:rPr>
                    </w:pPr>
                    <w:r>
                      <w:rPr>
                        <w:rFonts w:ascii="Times New Roman" w:hAnsi="Times New Roman" w:eastAsia="宋体" w:cs="Times New Roman"/>
                        <w:sz w:val="21"/>
                      </w:rPr>
                      <w:fldChar w:fldCharType="begin"/>
                    </w:r>
                    <w:r>
                      <w:rPr>
                        <w:rFonts w:ascii="Times New Roman" w:hAnsi="Times New Roman" w:eastAsia="宋体" w:cs="Times New Roman"/>
                        <w:sz w:val="21"/>
                      </w:rPr>
                      <w:instrText xml:space="preserve"> PAGE  \* MERGEFORMAT </w:instrText>
                    </w:r>
                    <w:r>
                      <w:rPr>
                        <w:rFonts w:ascii="Times New Roman" w:hAnsi="Times New Roman" w:eastAsia="宋体" w:cs="Times New Roman"/>
                        <w:sz w:val="21"/>
                      </w:rPr>
                      <w:fldChar w:fldCharType="separate"/>
                    </w:r>
                    <w:r>
                      <w:rPr>
                        <w:rFonts w:ascii="Times New Roman" w:hAnsi="Times New Roman" w:eastAsia="宋体" w:cs="Times New Roman"/>
                        <w:sz w:val="21"/>
                      </w:rPr>
                      <w:t>2</w:t>
                    </w:r>
                    <w:r>
                      <w:rPr>
                        <w:rFonts w:ascii="Times New Roman" w:hAnsi="Times New Roman" w:eastAsia="宋体" w:cs="Times New Roman"/>
                        <w:sz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A653">
    <w:pPr>
      <w:spacing w:line="176" w:lineRule="auto"/>
      <w:ind w:left="45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9166E">
                          <w:pPr>
                            <w:pStyle w:val="1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DC9166E">
                    <w:pPr>
                      <w:pStyle w:val="1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B299">
    <w:pPr>
      <w:jc w:val="right"/>
      <w:rPr>
        <w:rFonts w:hint="eastAsia" w:ascii="宋体" w:hAnsi="宋体" w:eastAsia="宋体" w:cs="宋体"/>
        <w:sz w:val="26"/>
        <w:szCs w:val="26"/>
      </w:rPr>
    </w:pPr>
    <w:r>
      <w:rPr>
        <w:sz w:val="2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4F896">
                          <w:pPr>
                            <w:pStyle w:val="13"/>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E24F896">
                    <w:pPr>
                      <w:pStyle w:val="13"/>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688B">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F469D9"/>
    <w:multiLevelType w:val="singleLevel"/>
    <w:tmpl w:val="A3F469D9"/>
    <w:lvl w:ilvl="0" w:tentative="0">
      <w:start w:val="1"/>
      <w:numFmt w:val="decimal"/>
      <w:lvlText w:val="%1."/>
      <w:lvlJc w:val="left"/>
      <w:pPr>
        <w:tabs>
          <w:tab w:val="left" w:pos="312"/>
        </w:tabs>
      </w:pPr>
    </w:lvl>
  </w:abstractNum>
  <w:abstractNum w:abstractNumId="1">
    <w:nsid w:val="BC0AF283"/>
    <w:multiLevelType w:val="singleLevel"/>
    <w:tmpl w:val="BC0AF283"/>
    <w:lvl w:ilvl="0" w:tentative="0">
      <w:start w:val="4"/>
      <w:numFmt w:val="decimal"/>
      <w:lvlText w:val="%1."/>
      <w:lvlJc w:val="left"/>
      <w:pPr>
        <w:tabs>
          <w:tab w:val="left" w:pos="312"/>
        </w:tabs>
      </w:pPr>
    </w:lvl>
  </w:abstractNum>
  <w:abstractNum w:abstractNumId="2">
    <w:nsid w:val="C52127BF"/>
    <w:multiLevelType w:val="singleLevel"/>
    <w:tmpl w:val="C52127BF"/>
    <w:lvl w:ilvl="0" w:tentative="0">
      <w:start w:val="2"/>
      <w:numFmt w:val="decimal"/>
      <w:suff w:val="nothing"/>
      <w:lvlText w:val="（%1）"/>
      <w:lvlJc w:val="left"/>
    </w:lvl>
  </w:abstractNum>
  <w:abstractNum w:abstractNumId="3">
    <w:nsid w:val="D8DAE98E"/>
    <w:multiLevelType w:val="singleLevel"/>
    <w:tmpl w:val="D8DAE98E"/>
    <w:lvl w:ilvl="0" w:tentative="0">
      <w:start w:val="8"/>
      <w:numFmt w:val="decimal"/>
      <w:suff w:val="nothing"/>
      <w:lvlText w:val="（%1）"/>
      <w:lvlJc w:val="left"/>
    </w:lvl>
  </w:abstractNum>
  <w:abstractNum w:abstractNumId="4">
    <w:nsid w:val="160EB033"/>
    <w:multiLevelType w:val="singleLevel"/>
    <w:tmpl w:val="160EB033"/>
    <w:lvl w:ilvl="0" w:tentative="0">
      <w:start w:val="9"/>
      <w:numFmt w:val="decimal"/>
      <w:lvlText w:val="%1."/>
      <w:lvlJc w:val="left"/>
      <w:pPr>
        <w:tabs>
          <w:tab w:val="left" w:pos="312"/>
        </w:tabs>
      </w:pPr>
    </w:lvl>
  </w:abstractNum>
  <w:abstractNum w:abstractNumId="5">
    <w:nsid w:val="1D6817A2"/>
    <w:multiLevelType w:val="singleLevel"/>
    <w:tmpl w:val="1D6817A2"/>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6">
    <w:nsid w:val="259BB888"/>
    <w:multiLevelType w:val="singleLevel"/>
    <w:tmpl w:val="259BB888"/>
    <w:lvl w:ilvl="0" w:tentative="0">
      <w:start w:val="1"/>
      <w:numFmt w:val="chineseCounting"/>
      <w:suff w:val="nothing"/>
      <w:lvlText w:val="%1、"/>
      <w:lvlJc w:val="left"/>
      <w:rPr>
        <w:rFonts w:hint="eastAsia"/>
      </w:rPr>
    </w:lvl>
  </w:abstractNum>
  <w:abstractNum w:abstractNumId="7">
    <w:nsid w:val="37C54A46"/>
    <w:multiLevelType w:val="singleLevel"/>
    <w:tmpl w:val="37C54A46"/>
    <w:lvl w:ilvl="0" w:tentative="0">
      <w:start w:val="1"/>
      <w:numFmt w:val="decimal"/>
      <w:lvlText w:val="%1."/>
      <w:lvlJc w:val="left"/>
      <w:pPr>
        <w:tabs>
          <w:tab w:val="left" w:pos="312"/>
        </w:tabs>
      </w:pPr>
    </w:lvl>
  </w:abstractNum>
  <w:abstractNum w:abstractNumId="8">
    <w:nsid w:val="4D7761CD"/>
    <w:multiLevelType w:val="singleLevel"/>
    <w:tmpl w:val="4D7761CD"/>
    <w:lvl w:ilvl="0" w:tentative="0">
      <w:start w:val="3"/>
      <w:numFmt w:val="decimal"/>
      <w:lvlText w:val="%1."/>
      <w:lvlJc w:val="left"/>
      <w:pPr>
        <w:tabs>
          <w:tab w:val="left" w:pos="312"/>
        </w:tabs>
      </w:pPr>
    </w:lvl>
  </w:abstractNum>
  <w:abstractNum w:abstractNumId="9">
    <w:nsid w:val="5FBE88CC"/>
    <w:multiLevelType w:val="singleLevel"/>
    <w:tmpl w:val="5FBE88CC"/>
    <w:lvl w:ilvl="0" w:tentative="0">
      <w:start w:val="1"/>
      <w:numFmt w:val="decimal"/>
      <w:suff w:val="nothing"/>
      <w:lvlText w:val="（%1）"/>
      <w:lvlJc w:val="left"/>
    </w:lvl>
  </w:abstractNum>
  <w:num w:numId="1">
    <w:abstractNumId w:val="5"/>
  </w:num>
  <w:num w:numId="2">
    <w:abstractNumId w:val="6"/>
  </w:num>
  <w:num w:numId="3">
    <w:abstractNumId w:val="8"/>
  </w:num>
  <w:num w:numId="4">
    <w:abstractNumId w:val="2"/>
  </w:num>
  <w:num w:numId="5">
    <w:abstractNumId w:val="7"/>
  </w:num>
  <w:num w:numId="6">
    <w:abstractNumId w:val="9"/>
  </w:num>
  <w:num w:numId="7">
    <w:abstractNumId w:val="3"/>
  </w:num>
  <w:num w:numId="8">
    <w:abstractNumId w:val="4"/>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ZDJkZTY5YTRhOTQ1OTRkYTc3MGJiMzgzZjQxZjI4MzEifQ=="/>
  </w:docVars>
  <w:rsids>
    <w:rsidRoot w:val="00172A27"/>
    <w:rsid w:val="000504BE"/>
    <w:rsid w:val="00075A58"/>
    <w:rsid w:val="000921CE"/>
    <w:rsid w:val="00092E67"/>
    <w:rsid w:val="000B7725"/>
    <w:rsid w:val="0015634E"/>
    <w:rsid w:val="0016362C"/>
    <w:rsid w:val="00172A27"/>
    <w:rsid w:val="001E57F7"/>
    <w:rsid w:val="001E6476"/>
    <w:rsid w:val="001F076F"/>
    <w:rsid w:val="00203E00"/>
    <w:rsid w:val="00237B13"/>
    <w:rsid w:val="0029664E"/>
    <w:rsid w:val="00296707"/>
    <w:rsid w:val="002D1EDF"/>
    <w:rsid w:val="002E6CDB"/>
    <w:rsid w:val="002F75C1"/>
    <w:rsid w:val="0034431D"/>
    <w:rsid w:val="003938E4"/>
    <w:rsid w:val="003C1BFA"/>
    <w:rsid w:val="003C1CA4"/>
    <w:rsid w:val="003C3014"/>
    <w:rsid w:val="004663DD"/>
    <w:rsid w:val="004E460D"/>
    <w:rsid w:val="00546770"/>
    <w:rsid w:val="005716CC"/>
    <w:rsid w:val="005758C7"/>
    <w:rsid w:val="005856C3"/>
    <w:rsid w:val="005B134C"/>
    <w:rsid w:val="006645B8"/>
    <w:rsid w:val="00682605"/>
    <w:rsid w:val="006A4FB4"/>
    <w:rsid w:val="006A6197"/>
    <w:rsid w:val="006B31C3"/>
    <w:rsid w:val="007346A6"/>
    <w:rsid w:val="00762ECA"/>
    <w:rsid w:val="007B3914"/>
    <w:rsid w:val="007B3ED8"/>
    <w:rsid w:val="007E03D3"/>
    <w:rsid w:val="007E4A55"/>
    <w:rsid w:val="008015FA"/>
    <w:rsid w:val="00882EC4"/>
    <w:rsid w:val="008C51C1"/>
    <w:rsid w:val="009374B2"/>
    <w:rsid w:val="00960BD2"/>
    <w:rsid w:val="009B2E95"/>
    <w:rsid w:val="009D3EDB"/>
    <w:rsid w:val="00A44342"/>
    <w:rsid w:val="00A758F7"/>
    <w:rsid w:val="00A96CA4"/>
    <w:rsid w:val="00AC2FA9"/>
    <w:rsid w:val="00AD6EA2"/>
    <w:rsid w:val="00B57DB9"/>
    <w:rsid w:val="00B67208"/>
    <w:rsid w:val="00C301D0"/>
    <w:rsid w:val="00C705F8"/>
    <w:rsid w:val="00C86A7E"/>
    <w:rsid w:val="00C950CA"/>
    <w:rsid w:val="00CA5DC7"/>
    <w:rsid w:val="00CF038F"/>
    <w:rsid w:val="00CF6DC1"/>
    <w:rsid w:val="00D074CA"/>
    <w:rsid w:val="00D264E6"/>
    <w:rsid w:val="00D4295E"/>
    <w:rsid w:val="00D52DF3"/>
    <w:rsid w:val="00D70BF4"/>
    <w:rsid w:val="00DD70D0"/>
    <w:rsid w:val="00DF78EB"/>
    <w:rsid w:val="00E05428"/>
    <w:rsid w:val="00E21DF1"/>
    <w:rsid w:val="00FE39D7"/>
    <w:rsid w:val="00FE5CAC"/>
    <w:rsid w:val="010D7DD7"/>
    <w:rsid w:val="011C4E4A"/>
    <w:rsid w:val="01201F55"/>
    <w:rsid w:val="01395BF5"/>
    <w:rsid w:val="018D072B"/>
    <w:rsid w:val="019A3EBD"/>
    <w:rsid w:val="01C5349F"/>
    <w:rsid w:val="01FA184C"/>
    <w:rsid w:val="02564BEC"/>
    <w:rsid w:val="02DC2156"/>
    <w:rsid w:val="02EB406C"/>
    <w:rsid w:val="03157E45"/>
    <w:rsid w:val="032A4C70"/>
    <w:rsid w:val="033E4BBF"/>
    <w:rsid w:val="03944E95"/>
    <w:rsid w:val="03A25B62"/>
    <w:rsid w:val="04A171B4"/>
    <w:rsid w:val="04AF1EC4"/>
    <w:rsid w:val="04D23811"/>
    <w:rsid w:val="051F15AE"/>
    <w:rsid w:val="05265EEB"/>
    <w:rsid w:val="05720B50"/>
    <w:rsid w:val="05A14728"/>
    <w:rsid w:val="05B0119F"/>
    <w:rsid w:val="06344057"/>
    <w:rsid w:val="06497B03"/>
    <w:rsid w:val="0699220F"/>
    <w:rsid w:val="06AE392B"/>
    <w:rsid w:val="06B93618"/>
    <w:rsid w:val="06E94E42"/>
    <w:rsid w:val="070E6655"/>
    <w:rsid w:val="071043F5"/>
    <w:rsid w:val="071C5217"/>
    <w:rsid w:val="07260BAC"/>
    <w:rsid w:val="078A03D3"/>
    <w:rsid w:val="07996868"/>
    <w:rsid w:val="079979A2"/>
    <w:rsid w:val="07AF7E3A"/>
    <w:rsid w:val="07D66425"/>
    <w:rsid w:val="07DD4B51"/>
    <w:rsid w:val="07EF2DEB"/>
    <w:rsid w:val="083131ED"/>
    <w:rsid w:val="088F5575"/>
    <w:rsid w:val="088F72E1"/>
    <w:rsid w:val="0900542F"/>
    <w:rsid w:val="092F76BF"/>
    <w:rsid w:val="093079A7"/>
    <w:rsid w:val="09310546"/>
    <w:rsid w:val="095D6A21"/>
    <w:rsid w:val="097C01EF"/>
    <w:rsid w:val="098C700B"/>
    <w:rsid w:val="09BC683E"/>
    <w:rsid w:val="0A1977EC"/>
    <w:rsid w:val="0A3705E1"/>
    <w:rsid w:val="0A6A0048"/>
    <w:rsid w:val="0A8729A8"/>
    <w:rsid w:val="0A8B5E02"/>
    <w:rsid w:val="0A9450C5"/>
    <w:rsid w:val="0A984BB5"/>
    <w:rsid w:val="0AC47B10"/>
    <w:rsid w:val="0ADA51CD"/>
    <w:rsid w:val="0B4A371F"/>
    <w:rsid w:val="0B5C1166"/>
    <w:rsid w:val="0B640F3B"/>
    <w:rsid w:val="0B6C5BA6"/>
    <w:rsid w:val="0B955598"/>
    <w:rsid w:val="0BC31187"/>
    <w:rsid w:val="0BF220E7"/>
    <w:rsid w:val="0C1049B5"/>
    <w:rsid w:val="0C2D757F"/>
    <w:rsid w:val="0C4E4A99"/>
    <w:rsid w:val="0C831895"/>
    <w:rsid w:val="0CDD0FA5"/>
    <w:rsid w:val="0D3122B2"/>
    <w:rsid w:val="0D4A1CA3"/>
    <w:rsid w:val="0D687E79"/>
    <w:rsid w:val="0D906017"/>
    <w:rsid w:val="0D9D2967"/>
    <w:rsid w:val="0DE85E53"/>
    <w:rsid w:val="0E2350DD"/>
    <w:rsid w:val="0E280A8B"/>
    <w:rsid w:val="0EA97F9C"/>
    <w:rsid w:val="0F2014D7"/>
    <w:rsid w:val="0FAE09D7"/>
    <w:rsid w:val="0FCC70AF"/>
    <w:rsid w:val="0FF705D0"/>
    <w:rsid w:val="0FF87EA4"/>
    <w:rsid w:val="100B407B"/>
    <w:rsid w:val="10120F66"/>
    <w:rsid w:val="101E2E6A"/>
    <w:rsid w:val="102C283E"/>
    <w:rsid w:val="103213D7"/>
    <w:rsid w:val="103425BC"/>
    <w:rsid w:val="10433815"/>
    <w:rsid w:val="105842F0"/>
    <w:rsid w:val="10675755"/>
    <w:rsid w:val="106D0892"/>
    <w:rsid w:val="109E5824"/>
    <w:rsid w:val="10A5781E"/>
    <w:rsid w:val="10FC5772"/>
    <w:rsid w:val="115C2CF7"/>
    <w:rsid w:val="11616084"/>
    <w:rsid w:val="1178761E"/>
    <w:rsid w:val="11906F6E"/>
    <w:rsid w:val="11A958FA"/>
    <w:rsid w:val="11F3162F"/>
    <w:rsid w:val="122338FE"/>
    <w:rsid w:val="12A91C97"/>
    <w:rsid w:val="13491142"/>
    <w:rsid w:val="13AA5959"/>
    <w:rsid w:val="13BA0C00"/>
    <w:rsid w:val="13D824C6"/>
    <w:rsid w:val="147072F3"/>
    <w:rsid w:val="150A2963"/>
    <w:rsid w:val="152A4FA3"/>
    <w:rsid w:val="157F329D"/>
    <w:rsid w:val="15EA64E1"/>
    <w:rsid w:val="15F01D49"/>
    <w:rsid w:val="15F508CB"/>
    <w:rsid w:val="162714E3"/>
    <w:rsid w:val="163063CC"/>
    <w:rsid w:val="163C6D3C"/>
    <w:rsid w:val="169F72CB"/>
    <w:rsid w:val="16A448E1"/>
    <w:rsid w:val="16A95739"/>
    <w:rsid w:val="16DF3B6C"/>
    <w:rsid w:val="1730295E"/>
    <w:rsid w:val="173A339B"/>
    <w:rsid w:val="185D172B"/>
    <w:rsid w:val="18636D79"/>
    <w:rsid w:val="18E84F59"/>
    <w:rsid w:val="195066E0"/>
    <w:rsid w:val="19D43730"/>
    <w:rsid w:val="19DC576F"/>
    <w:rsid w:val="1A187AC0"/>
    <w:rsid w:val="1A1D1D3F"/>
    <w:rsid w:val="1A3775FF"/>
    <w:rsid w:val="1AC148E7"/>
    <w:rsid w:val="1B4D5264"/>
    <w:rsid w:val="1B5B127F"/>
    <w:rsid w:val="1B7A228B"/>
    <w:rsid w:val="1BAF2522"/>
    <w:rsid w:val="1BC670A8"/>
    <w:rsid w:val="1BDF01FB"/>
    <w:rsid w:val="1BFB1448"/>
    <w:rsid w:val="1C077DEC"/>
    <w:rsid w:val="1C47643B"/>
    <w:rsid w:val="1CA130B4"/>
    <w:rsid w:val="1CBF2475"/>
    <w:rsid w:val="1D33076D"/>
    <w:rsid w:val="1D784489"/>
    <w:rsid w:val="1D7A1413"/>
    <w:rsid w:val="1D951428"/>
    <w:rsid w:val="1DAB29F9"/>
    <w:rsid w:val="1DAC0C4B"/>
    <w:rsid w:val="1DB72B3A"/>
    <w:rsid w:val="1DC62916"/>
    <w:rsid w:val="1E0B7995"/>
    <w:rsid w:val="1E7E1EBC"/>
    <w:rsid w:val="1E893A4C"/>
    <w:rsid w:val="1EA47B74"/>
    <w:rsid w:val="1EE066D3"/>
    <w:rsid w:val="1F327ABD"/>
    <w:rsid w:val="1F417171"/>
    <w:rsid w:val="1F443106"/>
    <w:rsid w:val="1F494278"/>
    <w:rsid w:val="1FEC17D3"/>
    <w:rsid w:val="1FF71804"/>
    <w:rsid w:val="20104A4D"/>
    <w:rsid w:val="2093163A"/>
    <w:rsid w:val="20B17216"/>
    <w:rsid w:val="20CD4236"/>
    <w:rsid w:val="20F87D04"/>
    <w:rsid w:val="20FF72E4"/>
    <w:rsid w:val="213D7E0C"/>
    <w:rsid w:val="214473ED"/>
    <w:rsid w:val="21511635"/>
    <w:rsid w:val="217C03FE"/>
    <w:rsid w:val="2191122E"/>
    <w:rsid w:val="21C67E02"/>
    <w:rsid w:val="21E41F66"/>
    <w:rsid w:val="22031056"/>
    <w:rsid w:val="22B755C4"/>
    <w:rsid w:val="22D476BC"/>
    <w:rsid w:val="22E76282"/>
    <w:rsid w:val="22EE0645"/>
    <w:rsid w:val="235B72E4"/>
    <w:rsid w:val="23C26914"/>
    <w:rsid w:val="23CD5478"/>
    <w:rsid w:val="23D5432C"/>
    <w:rsid w:val="23DF233A"/>
    <w:rsid w:val="23F01166"/>
    <w:rsid w:val="23F52231"/>
    <w:rsid w:val="245E4EEC"/>
    <w:rsid w:val="249C309C"/>
    <w:rsid w:val="24A3267C"/>
    <w:rsid w:val="24AD7352"/>
    <w:rsid w:val="25304740"/>
    <w:rsid w:val="25A8248F"/>
    <w:rsid w:val="25B52240"/>
    <w:rsid w:val="25DB3A7F"/>
    <w:rsid w:val="25E940BF"/>
    <w:rsid w:val="25E96933"/>
    <w:rsid w:val="26067703"/>
    <w:rsid w:val="261D1FBA"/>
    <w:rsid w:val="264A7253"/>
    <w:rsid w:val="26597496"/>
    <w:rsid w:val="26920BFA"/>
    <w:rsid w:val="26AD333E"/>
    <w:rsid w:val="26AF355A"/>
    <w:rsid w:val="26D055EC"/>
    <w:rsid w:val="26D905D7"/>
    <w:rsid w:val="26DA2456"/>
    <w:rsid w:val="26DD4EC1"/>
    <w:rsid w:val="270F1AAE"/>
    <w:rsid w:val="27181100"/>
    <w:rsid w:val="27351CB2"/>
    <w:rsid w:val="27572868"/>
    <w:rsid w:val="27897907"/>
    <w:rsid w:val="27940A85"/>
    <w:rsid w:val="27FD1D81"/>
    <w:rsid w:val="288C7FD1"/>
    <w:rsid w:val="28DC615D"/>
    <w:rsid w:val="29207CF7"/>
    <w:rsid w:val="297B340B"/>
    <w:rsid w:val="29D60DFE"/>
    <w:rsid w:val="29EF0897"/>
    <w:rsid w:val="2A17569E"/>
    <w:rsid w:val="2A30050E"/>
    <w:rsid w:val="2A587A65"/>
    <w:rsid w:val="2A5C5F6F"/>
    <w:rsid w:val="2A614B6C"/>
    <w:rsid w:val="2AB82BD0"/>
    <w:rsid w:val="2ACB0237"/>
    <w:rsid w:val="2B035C23"/>
    <w:rsid w:val="2B0F45C8"/>
    <w:rsid w:val="2B17347C"/>
    <w:rsid w:val="2B275DB5"/>
    <w:rsid w:val="2B482BD6"/>
    <w:rsid w:val="2B4A5938"/>
    <w:rsid w:val="2B93322F"/>
    <w:rsid w:val="2BA03472"/>
    <w:rsid w:val="2BEE0B7E"/>
    <w:rsid w:val="2C0309D0"/>
    <w:rsid w:val="2C0C1B4C"/>
    <w:rsid w:val="2C11611D"/>
    <w:rsid w:val="2C1361B6"/>
    <w:rsid w:val="2C29790B"/>
    <w:rsid w:val="2C791CD0"/>
    <w:rsid w:val="2CA376BD"/>
    <w:rsid w:val="2CCB09C2"/>
    <w:rsid w:val="2CD63C1A"/>
    <w:rsid w:val="2CEF2903"/>
    <w:rsid w:val="2CFB18D4"/>
    <w:rsid w:val="2D12039F"/>
    <w:rsid w:val="2D26488F"/>
    <w:rsid w:val="2D2D6F87"/>
    <w:rsid w:val="2D2F2EE4"/>
    <w:rsid w:val="2D4B565F"/>
    <w:rsid w:val="2D5C5ABE"/>
    <w:rsid w:val="2D662499"/>
    <w:rsid w:val="2D803D0D"/>
    <w:rsid w:val="2D8950BC"/>
    <w:rsid w:val="2D99461C"/>
    <w:rsid w:val="2DC31699"/>
    <w:rsid w:val="2E3D144C"/>
    <w:rsid w:val="2E684FF5"/>
    <w:rsid w:val="2E903C71"/>
    <w:rsid w:val="2EA85434"/>
    <w:rsid w:val="2EC11C97"/>
    <w:rsid w:val="2ED22555"/>
    <w:rsid w:val="2EE6563F"/>
    <w:rsid w:val="2F0116F1"/>
    <w:rsid w:val="2F2B5748"/>
    <w:rsid w:val="2F697D76"/>
    <w:rsid w:val="2F6A6270"/>
    <w:rsid w:val="2F754C15"/>
    <w:rsid w:val="2FA0417A"/>
    <w:rsid w:val="2FA8323D"/>
    <w:rsid w:val="30063D65"/>
    <w:rsid w:val="300C6A54"/>
    <w:rsid w:val="301D7787"/>
    <w:rsid w:val="30731155"/>
    <w:rsid w:val="307B625B"/>
    <w:rsid w:val="312243DD"/>
    <w:rsid w:val="313905F0"/>
    <w:rsid w:val="313F54DB"/>
    <w:rsid w:val="317938E9"/>
    <w:rsid w:val="31C53C32"/>
    <w:rsid w:val="31D245A1"/>
    <w:rsid w:val="31E16592"/>
    <w:rsid w:val="3227225E"/>
    <w:rsid w:val="324B3593"/>
    <w:rsid w:val="32917863"/>
    <w:rsid w:val="32B9494F"/>
    <w:rsid w:val="32D44EC9"/>
    <w:rsid w:val="32D85BE7"/>
    <w:rsid w:val="32DC04D1"/>
    <w:rsid w:val="32FD6730"/>
    <w:rsid w:val="330819F8"/>
    <w:rsid w:val="333252F7"/>
    <w:rsid w:val="339C4E66"/>
    <w:rsid w:val="33A855B9"/>
    <w:rsid w:val="342C3B37"/>
    <w:rsid w:val="343E7CCC"/>
    <w:rsid w:val="34727975"/>
    <w:rsid w:val="34790D04"/>
    <w:rsid w:val="353B237C"/>
    <w:rsid w:val="355359F9"/>
    <w:rsid w:val="357C1A51"/>
    <w:rsid w:val="35BB3BDF"/>
    <w:rsid w:val="36111DCE"/>
    <w:rsid w:val="368D6CE8"/>
    <w:rsid w:val="369F2A69"/>
    <w:rsid w:val="36B6623F"/>
    <w:rsid w:val="36BB51F4"/>
    <w:rsid w:val="36DF7544"/>
    <w:rsid w:val="37155300"/>
    <w:rsid w:val="37160A8C"/>
    <w:rsid w:val="378B147A"/>
    <w:rsid w:val="37B1205E"/>
    <w:rsid w:val="37C30C14"/>
    <w:rsid w:val="37CE1367"/>
    <w:rsid w:val="37FF59C4"/>
    <w:rsid w:val="38212EAA"/>
    <w:rsid w:val="38561A88"/>
    <w:rsid w:val="385E093C"/>
    <w:rsid w:val="38D13A7E"/>
    <w:rsid w:val="38FD63A7"/>
    <w:rsid w:val="39475874"/>
    <w:rsid w:val="394915ED"/>
    <w:rsid w:val="3981130E"/>
    <w:rsid w:val="398E2D3B"/>
    <w:rsid w:val="399C7446"/>
    <w:rsid w:val="39A15A80"/>
    <w:rsid w:val="39D202DA"/>
    <w:rsid w:val="39E13DEF"/>
    <w:rsid w:val="39E55A9C"/>
    <w:rsid w:val="3A1219DE"/>
    <w:rsid w:val="3A3758E9"/>
    <w:rsid w:val="3A376690"/>
    <w:rsid w:val="3A376E6F"/>
    <w:rsid w:val="3A881CA1"/>
    <w:rsid w:val="3A893407"/>
    <w:rsid w:val="3AA27206"/>
    <w:rsid w:val="3AA928FB"/>
    <w:rsid w:val="3AEE101F"/>
    <w:rsid w:val="3AEE1AC1"/>
    <w:rsid w:val="3B066997"/>
    <w:rsid w:val="3B672905"/>
    <w:rsid w:val="3B6C15C2"/>
    <w:rsid w:val="3B7A69BA"/>
    <w:rsid w:val="3B7D37CF"/>
    <w:rsid w:val="3B893F22"/>
    <w:rsid w:val="3B9A612F"/>
    <w:rsid w:val="3B9F54F4"/>
    <w:rsid w:val="3BAE5737"/>
    <w:rsid w:val="3BD866A3"/>
    <w:rsid w:val="3BFD046C"/>
    <w:rsid w:val="3C017F5D"/>
    <w:rsid w:val="3C137C90"/>
    <w:rsid w:val="3C634773"/>
    <w:rsid w:val="3C8F5568"/>
    <w:rsid w:val="3CA8487C"/>
    <w:rsid w:val="3D7824A0"/>
    <w:rsid w:val="3D9C2ADA"/>
    <w:rsid w:val="3DA05553"/>
    <w:rsid w:val="3DC00792"/>
    <w:rsid w:val="3DD1395F"/>
    <w:rsid w:val="3E235CFC"/>
    <w:rsid w:val="3E23723A"/>
    <w:rsid w:val="3E497999"/>
    <w:rsid w:val="3EAD1133"/>
    <w:rsid w:val="3ED8395B"/>
    <w:rsid w:val="3F670307"/>
    <w:rsid w:val="3F756DAC"/>
    <w:rsid w:val="3FEC74D2"/>
    <w:rsid w:val="3FED77F5"/>
    <w:rsid w:val="3FF37BBC"/>
    <w:rsid w:val="400E0E9A"/>
    <w:rsid w:val="405100E3"/>
    <w:rsid w:val="40A55471"/>
    <w:rsid w:val="41006A35"/>
    <w:rsid w:val="41371D0B"/>
    <w:rsid w:val="414546A9"/>
    <w:rsid w:val="41732F67"/>
    <w:rsid w:val="41CE6B33"/>
    <w:rsid w:val="41F30A12"/>
    <w:rsid w:val="422D2A24"/>
    <w:rsid w:val="42927B60"/>
    <w:rsid w:val="42C10446"/>
    <w:rsid w:val="42EF6939"/>
    <w:rsid w:val="42F870FB"/>
    <w:rsid w:val="43044172"/>
    <w:rsid w:val="430D5439"/>
    <w:rsid w:val="43242A3E"/>
    <w:rsid w:val="433B01F8"/>
    <w:rsid w:val="4383394D"/>
    <w:rsid w:val="43857FF6"/>
    <w:rsid w:val="438D1543"/>
    <w:rsid w:val="43A63197"/>
    <w:rsid w:val="43EF2D90"/>
    <w:rsid w:val="44293C1E"/>
    <w:rsid w:val="44297AAF"/>
    <w:rsid w:val="44933678"/>
    <w:rsid w:val="44B97745"/>
    <w:rsid w:val="44D07B86"/>
    <w:rsid w:val="44E93C84"/>
    <w:rsid w:val="44EF3FD1"/>
    <w:rsid w:val="44FA7C3F"/>
    <w:rsid w:val="45091972"/>
    <w:rsid w:val="451172DF"/>
    <w:rsid w:val="45184A87"/>
    <w:rsid w:val="45202030"/>
    <w:rsid w:val="45444DD9"/>
    <w:rsid w:val="456652D4"/>
    <w:rsid w:val="45832866"/>
    <w:rsid w:val="45A04A0E"/>
    <w:rsid w:val="460743C1"/>
    <w:rsid w:val="46710529"/>
    <w:rsid w:val="467147E6"/>
    <w:rsid w:val="46844BE7"/>
    <w:rsid w:val="47535603"/>
    <w:rsid w:val="47680EBB"/>
    <w:rsid w:val="478D08F6"/>
    <w:rsid w:val="4799373F"/>
    <w:rsid w:val="4799729B"/>
    <w:rsid w:val="47A53100"/>
    <w:rsid w:val="48027536"/>
    <w:rsid w:val="480768FB"/>
    <w:rsid w:val="48280889"/>
    <w:rsid w:val="48480CC1"/>
    <w:rsid w:val="48515DC8"/>
    <w:rsid w:val="487A5757"/>
    <w:rsid w:val="489B1DE1"/>
    <w:rsid w:val="48A4239B"/>
    <w:rsid w:val="495A617C"/>
    <w:rsid w:val="49670780"/>
    <w:rsid w:val="49675E97"/>
    <w:rsid w:val="497D499A"/>
    <w:rsid w:val="49970D05"/>
    <w:rsid w:val="49F44C5D"/>
    <w:rsid w:val="4A474C35"/>
    <w:rsid w:val="4A49144C"/>
    <w:rsid w:val="4A586ABE"/>
    <w:rsid w:val="4A627E06"/>
    <w:rsid w:val="4A6A35E0"/>
    <w:rsid w:val="4A7E6C1C"/>
    <w:rsid w:val="4AB740F4"/>
    <w:rsid w:val="4ACF6B37"/>
    <w:rsid w:val="4B0B4954"/>
    <w:rsid w:val="4B736055"/>
    <w:rsid w:val="4BAC42C6"/>
    <w:rsid w:val="4BBA0128"/>
    <w:rsid w:val="4BCB5E91"/>
    <w:rsid w:val="4BF03B4A"/>
    <w:rsid w:val="4C034147"/>
    <w:rsid w:val="4C4507B6"/>
    <w:rsid w:val="4C511572"/>
    <w:rsid w:val="4C51283A"/>
    <w:rsid w:val="4C5F34F9"/>
    <w:rsid w:val="4C8326E8"/>
    <w:rsid w:val="4D0D7BAE"/>
    <w:rsid w:val="4D1D096E"/>
    <w:rsid w:val="4D2A2D10"/>
    <w:rsid w:val="4D4923C3"/>
    <w:rsid w:val="4D9660BF"/>
    <w:rsid w:val="4E077B07"/>
    <w:rsid w:val="4E7A7D39"/>
    <w:rsid w:val="4E995D0F"/>
    <w:rsid w:val="4ECF7A46"/>
    <w:rsid w:val="4F1B712F"/>
    <w:rsid w:val="4F4E12B3"/>
    <w:rsid w:val="4F746032"/>
    <w:rsid w:val="4F895E47"/>
    <w:rsid w:val="4F9D768D"/>
    <w:rsid w:val="4FD1492B"/>
    <w:rsid w:val="4FE05C03"/>
    <w:rsid w:val="500634BB"/>
    <w:rsid w:val="500F0A42"/>
    <w:rsid w:val="50151DD1"/>
    <w:rsid w:val="501E6ED7"/>
    <w:rsid w:val="50496B61"/>
    <w:rsid w:val="50630D8E"/>
    <w:rsid w:val="50855C6C"/>
    <w:rsid w:val="50C23D07"/>
    <w:rsid w:val="50E0418D"/>
    <w:rsid w:val="5119321E"/>
    <w:rsid w:val="517D19DC"/>
    <w:rsid w:val="5198577B"/>
    <w:rsid w:val="51C4760A"/>
    <w:rsid w:val="51FD2B1C"/>
    <w:rsid w:val="525207C6"/>
    <w:rsid w:val="52860D64"/>
    <w:rsid w:val="52AB2578"/>
    <w:rsid w:val="52DA3D53"/>
    <w:rsid w:val="52F97788"/>
    <w:rsid w:val="531620E8"/>
    <w:rsid w:val="53430A03"/>
    <w:rsid w:val="53461CD2"/>
    <w:rsid w:val="53B10578"/>
    <w:rsid w:val="53DE6ECE"/>
    <w:rsid w:val="53EE2F9F"/>
    <w:rsid w:val="53F341D7"/>
    <w:rsid w:val="53F44044"/>
    <w:rsid w:val="5422686A"/>
    <w:rsid w:val="543C5B7E"/>
    <w:rsid w:val="543E6C31"/>
    <w:rsid w:val="545F2D48"/>
    <w:rsid w:val="547C34DE"/>
    <w:rsid w:val="55004DFD"/>
    <w:rsid w:val="5507618C"/>
    <w:rsid w:val="5511700B"/>
    <w:rsid w:val="55342CF9"/>
    <w:rsid w:val="558A46C7"/>
    <w:rsid w:val="558E2409"/>
    <w:rsid w:val="559D43FA"/>
    <w:rsid w:val="56114DE8"/>
    <w:rsid w:val="563049D1"/>
    <w:rsid w:val="568B06F7"/>
    <w:rsid w:val="56900687"/>
    <w:rsid w:val="56C1680E"/>
    <w:rsid w:val="56F05B65"/>
    <w:rsid w:val="56F178E3"/>
    <w:rsid w:val="572760AF"/>
    <w:rsid w:val="57347641"/>
    <w:rsid w:val="574A6804"/>
    <w:rsid w:val="577642E5"/>
    <w:rsid w:val="57C122E3"/>
    <w:rsid w:val="57E427B4"/>
    <w:rsid w:val="57E71897"/>
    <w:rsid w:val="57F64F51"/>
    <w:rsid w:val="5829466B"/>
    <w:rsid w:val="582F759C"/>
    <w:rsid w:val="58CA2895"/>
    <w:rsid w:val="59135C8B"/>
    <w:rsid w:val="59341153"/>
    <w:rsid w:val="59CA59DA"/>
    <w:rsid w:val="59CC10D9"/>
    <w:rsid w:val="5A026F22"/>
    <w:rsid w:val="5A2D687B"/>
    <w:rsid w:val="5A366BCB"/>
    <w:rsid w:val="5A89319F"/>
    <w:rsid w:val="5ABA15AB"/>
    <w:rsid w:val="5AC95C92"/>
    <w:rsid w:val="5ACE14FA"/>
    <w:rsid w:val="5ADB41DE"/>
    <w:rsid w:val="5AF977F4"/>
    <w:rsid w:val="5B044F1C"/>
    <w:rsid w:val="5B0F6A1C"/>
    <w:rsid w:val="5B170F9B"/>
    <w:rsid w:val="5B5973D3"/>
    <w:rsid w:val="5B752BA3"/>
    <w:rsid w:val="5B955B74"/>
    <w:rsid w:val="5B9F0763"/>
    <w:rsid w:val="5BD2106B"/>
    <w:rsid w:val="5C4E28F2"/>
    <w:rsid w:val="5C5E240A"/>
    <w:rsid w:val="5C621EFA"/>
    <w:rsid w:val="5C9B61CC"/>
    <w:rsid w:val="5CFB309E"/>
    <w:rsid w:val="5D227715"/>
    <w:rsid w:val="5D284EF1"/>
    <w:rsid w:val="5D340046"/>
    <w:rsid w:val="5D4D552D"/>
    <w:rsid w:val="5D552D03"/>
    <w:rsid w:val="5DA77949"/>
    <w:rsid w:val="5DAD3649"/>
    <w:rsid w:val="5DAD53F7"/>
    <w:rsid w:val="5E0A6C17"/>
    <w:rsid w:val="5E224037"/>
    <w:rsid w:val="5E4E5AD0"/>
    <w:rsid w:val="5EBD5B0D"/>
    <w:rsid w:val="5EE74938"/>
    <w:rsid w:val="5EEF62A0"/>
    <w:rsid w:val="5EF72140"/>
    <w:rsid w:val="5F0279C4"/>
    <w:rsid w:val="5F0C439F"/>
    <w:rsid w:val="5F65716A"/>
    <w:rsid w:val="5FB00D41"/>
    <w:rsid w:val="5FDB0725"/>
    <w:rsid w:val="5FEA2EB1"/>
    <w:rsid w:val="5FF31A0F"/>
    <w:rsid w:val="5FFC08B7"/>
    <w:rsid w:val="60193217"/>
    <w:rsid w:val="6071095D"/>
    <w:rsid w:val="607E36A7"/>
    <w:rsid w:val="60E2116F"/>
    <w:rsid w:val="60F161C4"/>
    <w:rsid w:val="60F5158E"/>
    <w:rsid w:val="60FD7796"/>
    <w:rsid w:val="60FF4D92"/>
    <w:rsid w:val="610339F0"/>
    <w:rsid w:val="61113EEE"/>
    <w:rsid w:val="611539DF"/>
    <w:rsid w:val="611B187D"/>
    <w:rsid w:val="61206DDD"/>
    <w:rsid w:val="613423BA"/>
    <w:rsid w:val="618E08DE"/>
    <w:rsid w:val="619A2136"/>
    <w:rsid w:val="61FA4982"/>
    <w:rsid w:val="620819A6"/>
    <w:rsid w:val="62144416"/>
    <w:rsid w:val="621A4DB8"/>
    <w:rsid w:val="62203C3B"/>
    <w:rsid w:val="62290BDA"/>
    <w:rsid w:val="624A23DF"/>
    <w:rsid w:val="624B062F"/>
    <w:rsid w:val="627110E9"/>
    <w:rsid w:val="62A82630"/>
    <w:rsid w:val="62D937D9"/>
    <w:rsid w:val="632A4FD2"/>
    <w:rsid w:val="63793376"/>
    <w:rsid w:val="63A811D2"/>
    <w:rsid w:val="640A312F"/>
    <w:rsid w:val="643028DD"/>
    <w:rsid w:val="64487FBE"/>
    <w:rsid w:val="646031C3"/>
    <w:rsid w:val="64790728"/>
    <w:rsid w:val="64A46FA1"/>
    <w:rsid w:val="64B81251"/>
    <w:rsid w:val="64C36792"/>
    <w:rsid w:val="651F4987"/>
    <w:rsid w:val="657234C5"/>
    <w:rsid w:val="65845CFD"/>
    <w:rsid w:val="65A1330E"/>
    <w:rsid w:val="65B705C0"/>
    <w:rsid w:val="65BF660F"/>
    <w:rsid w:val="65CD0D2C"/>
    <w:rsid w:val="65ED4E63"/>
    <w:rsid w:val="66051B61"/>
    <w:rsid w:val="660B3602"/>
    <w:rsid w:val="66173D55"/>
    <w:rsid w:val="662A22BF"/>
    <w:rsid w:val="66682803"/>
    <w:rsid w:val="666B2582"/>
    <w:rsid w:val="66905E93"/>
    <w:rsid w:val="66A55805"/>
    <w:rsid w:val="66E225B5"/>
    <w:rsid w:val="671B1D7A"/>
    <w:rsid w:val="672D7CE1"/>
    <w:rsid w:val="67386679"/>
    <w:rsid w:val="675D60DF"/>
    <w:rsid w:val="6789494D"/>
    <w:rsid w:val="67C023A9"/>
    <w:rsid w:val="67CD5013"/>
    <w:rsid w:val="67DE2886"/>
    <w:rsid w:val="6818192D"/>
    <w:rsid w:val="681C0CB6"/>
    <w:rsid w:val="68283D64"/>
    <w:rsid w:val="68903A00"/>
    <w:rsid w:val="69085BD7"/>
    <w:rsid w:val="693E784B"/>
    <w:rsid w:val="693F6886"/>
    <w:rsid w:val="694F1A58"/>
    <w:rsid w:val="69531548"/>
    <w:rsid w:val="69E76134"/>
    <w:rsid w:val="69F36887"/>
    <w:rsid w:val="6A132A85"/>
    <w:rsid w:val="6A336578"/>
    <w:rsid w:val="6A3C36B5"/>
    <w:rsid w:val="6A3F6237"/>
    <w:rsid w:val="6A6D488B"/>
    <w:rsid w:val="6AC05EC9"/>
    <w:rsid w:val="6ACF41E0"/>
    <w:rsid w:val="6BA442DD"/>
    <w:rsid w:val="6BA65974"/>
    <w:rsid w:val="6C1C0317"/>
    <w:rsid w:val="6C1F5711"/>
    <w:rsid w:val="6C205B8C"/>
    <w:rsid w:val="6C4839A8"/>
    <w:rsid w:val="6C8670B3"/>
    <w:rsid w:val="6CAE232B"/>
    <w:rsid w:val="6CB467A2"/>
    <w:rsid w:val="6CDB6E8A"/>
    <w:rsid w:val="6CF25111"/>
    <w:rsid w:val="6D2A25C0"/>
    <w:rsid w:val="6D2D5427"/>
    <w:rsid w:val="6D436E52"/>
    <w:rsid w:val="6D5238C5"/>
    <w:rsid w:val="6D68758C"/>
    <w:rsid w:val="6D7D5A70"/>
    <w:rsid w:val="6D995997"/>
    <w:rsid w:val="6E0B2F3E"/>
    <w:rsid w:val="6E2614F9"/>
    <w:rsid w:val="6E39349F"/>
    <w:rsid w:val="6E4B5340"/>
    <w:rsid w:val="6E7361E8"/>
    <w:rsid w:val="6ED625D8"/>
    <w:rsid w:val="6EFF182A"/>
    <w:rsid w:val="6F1522E3"/>
    <w:rsid w:val="6F1D10D4"/>
    <w:rsid w:val="6F8208AB"/>
    <w:rsid w:val="6F902776"/>
    <w:rsid w:val="6FAA3E8C"/>
    <w:rsid w:val="6FC07921"/>
    <w:rsid w:val="6FF11ABB"/>
    <w:rsid w:val="6FFB6495"/>
    <w:rsid w:val="70226E34"/>
    <w:rsid w:val="708B4813"/>
    <w:rsid w:val="70977C7B"/>
    <w:rsid w:val="70A97C9F"/>
    <w:rsid w:val="71390B1C"/>
    <w:rsid w:val="71695543"/>
    <w:rsid w:val="71BB412E"/>
    <w:rsid w:val="71EC4552"/>
    <w:rsid w:val="7249798C"/>
    <w:rsid w:val="72757BBD"/>
    <w:rsid w:val="72C24A8D"/>
    <w:rsid w:val="72D92CB0"/>
    <w:rsid w:val="72DA05E4"/>
    <w:rsid w:val="73090EC9"/>
    <w:rsid w:val="731A30D6"/>
    <w:rsid w:val="731E21D2"/>
    <w:rsid w:val="734E2D80"/>
    <w:rsid w:val="73637E23"/>
    <w:rsid w:val="73871C90"/>
    <w:rsid w:val="73B40854"/>
    <w:rsid w:val="73CF47A1"/>
    <w:rsid w:val="73E3171A"/>
    <w:rsid w:val="73EB6821"/>
    <w:rsid w:val="742A7349"/>
    <w:rsid w:val="74354085"/>
    <w:rsid w:val="74534AF2"/>
    <w:rsid w:val="745B3729"/>
    <w:rsid w:val="74B65081"/>
    <w:rsid w:val="74C652C4"/>
    <w:rsid w:val="74C9421C"/>
    <w:rsid w:val="74CE603C"/>
    <w:rsid w:val="74F87447"/>
    <w:rsid w:val="74FA4F6E"/>
    <w:rsid w:val="750202C6"/>
    <w:rsid w:val="754D7D39"/>
    <w:rsid w:val="75B56D5E"/>
    <w:rsid w:val="75E92B3C"/>
    <w:rsid w:val="76004806"/>
    <w:rsid w:val="765E777E"/>
    <w:rsid w:val="766F7295"/>
    <w:rsid w:val="76867A1D"/>
    <w:rsid w:val="76B5726C"/>
    <w:rsid w:val="76C40B40"/>
    <w:rsid w:val="76F679B7"/>
    <w:rsid w:val="772E53A2"/>
    <w:rsid w:val="77585F7B"/>
    <w:rsid w:val="778B3146"/>
    <w:rsid w:val="77CB499F"/>
    <w:rsid w:val="78121064"/>
    <w:rsid w:val="782335EF"/>
    <w:rsid w:val="78454737"/>
    <w:rsid w:val="78482706"/>
    <w:rsid w:val="785E75C1"/>
    <w:rsid w:val="78656868"/>
    <w:rsid w:val="78684380"/>
    <w:rsid w:val="78866B18"/>
    <w:rsid w:val="789919E1"/>
    <w:rsid w:val="789C14CE"/>
    <w:rsid w:val="791B798D"/>
    <w:rsid w:val="79363E73"/>
    <w:rsid w:val="79EE0E19"/>
    <w:rsid w:val="79F74BF6"/>
    <w:rsid w:val="7A127DEE"/>
    <w:rsid w:val="7A601D17"/>
    <w:rsid w:val="7B136D89"/>
    <w:rsid w:val="7BA04C4A"/>
    <w:rsid w:val="7BF31200"/>
    <w:rsid w:val="7BF85F7F"/>
    <w:rsid w:val="7C102E50"/>
    <w:rsid w:val="7C934347"/>
    <w:rsid w:val="7C9E08D4"/>
    <w:rsid w:val="7D2C5EE0"/>
    <w:rsid w:val="7DAA5057"/>
    <w:rsid w:val="7DD117E2"/>
    <w:rsid w:val="7DE83EE6"/>
    <w:rsid w:val="7DF033B2"/>
    <w:rsid w:val="7DF06F0E"/>
    <w:rsid w:val="7DFA5168"/>
    <w:rsid w:val="7E1626EC"/>
    <w:rsid w:val="7E417769"/>
    <w:rsid w:val="7E5A082B"/>
    <w:rsid w:val="7E5A4906"/>
    <w:rsid w:val="7E7538B7"/>
    <w:rsid w:val="7E9A0745"/>
    <w:rsid w:val="7E9A7E16"/>
    <w:rsid w:val="7EB41895"/>
    <w:rsid w:val="7F1E7AAB"/>
    <w:rsid w:val="7F402117"/>
    <w:rsid w:val="7F484B27"/>
    <w:rsid w:val="7F4B6E2B"/>
    <w:rsid w:val="7FBA0E3F"/>
    <w:rsid w:val="BBFF9D4A"/>
    <w:rsid w:val="F6EFF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spacing w:line="360" w:lineRule="auto"/>
      <w:jc w:val="center"/>
      <w:outlineLvl w:val="0"/>
    </w:pPr>
    <w:rPr>
      <w:rFonts w:ascii="宋体" w:hAnsi="宋体" w:cs="宋体"/>
      <w:b/>
      <w:color w:val="FF0000"/>
      <w:kern w:val="44"/>
      <w:sz w:val="28"/>
      <w:szCs w:val="28"/>
    </w:rPr>
  </w:style>
  <w:style w:type="paragraph" w:styleId="4">
    <w:name w:val="heading 3"/>
    <w:basedOn w:val="1"/>
    <w:next w:val="1"/>
    <w:unhideWhenUsed/>
    <w:qFormat/>
    <w:uiPriority w:val="0"/>
    <w:pPr>
      <w:keepNext/>
      <w:keepLines/>
      <w:spacing w:line="360" w:lineRule="auto"/>
      <w:outlineLvl w:val="2"/>
    </w:pPr>
    <w:rPr>
      <w:b/>
      <w:sz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6">
    <w:name w:val="caption"/>
    <w:basedOn w:val="1"/>
    <w:next w:val="1"/>
    <w:qFormat/>
    <w:uiPriority w:val="0"/>
    <w:pPr>
      <w:keepNext/>
      <w:spacing w:line="500" w:lineRule="exact"/>
      <w:jc w:val="center"/>
    </w:pPr>
    <w:rPr>
      <w:rFonts w:ascii="黑体" w:hAnsi="黑体" w:eastAsia="黑体"/>
      <w:color w:val="FF0000"/>
    </w:rPr>
  </w:style>
  <w:style w:type="paragraph" w:styleId="7">
    <w:name w:val="annotation text"/>
    <w:basedOn w:val="1"/>
    <w:qFormat/>
    <w:uiPriority w:val="0"/>
  </w:style>
  <w:style w:type="paragraph" w:styleId="8">
    <w:name w:val="Body Text"/>
    <w:basedOn w:val="1"/>
    <w:next w:val="1"/>
    <w:semiHidden/>
    <w:qFormat/>
    <w:uiPriority w:val="0"/>
    <w:rPr>
      <w:sz w:val="2"/>
      <w:szCs w:val="2"/>
    </w:rPr>
  </w:style>
  <w:style w:type="paragraph" w:styleId="9">
    <w:name w:val="Body Text Indent"/>
    <w:basedOn w:val="1"/>
    <w:qFormat/>
    <w:uiPriority w:val="0"/>
    <w:pPr>
      <w:adjustRightInd w:val="0"/>
      <w:snapToGrid w:val="0"/>
      <w:spacing w:after="120" w:line="500" w:lineRule="exact"/>
      <w:ind w:left="420" w:leftChars="200"/>
    </w:pPr>
    <w:rPr>
      <w:rFonts w:eastAsia="仿宋_GB2312"/>
      <w:b/>
      <w:sz w:val="28"/>
      <w:szCs w:val="24"/>
    </w:rPr>
  </w:style>
  <w:style w:type="paragraph" w:styleId="10">
    <w:name w:val="Block Text"/>
    <w:basedOn w:val="1"/>
    <w:next w:val="11"/>
    <w:qFormat/>
    <w:uiPriority w:val="99"/>
    <w:pPr>
      <w:spacing w:line="480" w:lineRule="exact"/>
    </w:pPr>
    <w:rPr>
      <w:rFonts w:ascii="仿宋_GB2312" w:eastAsia="仿宋_GB2312"/>
      <w:sz w:val="32"/>
      <w:szCs w:val="32"/>
    </w:rPr>
  </w:style>
  <w:style w:type="paragraph" w:styleId="11">
    <w:name w:val="toc 9"/>
    <w:basedOn w:val="1"/>
    <w:next w:val="1"/>
    <w:qFormat/>
    <w:uiPriority w:val="39"/>
    <w:pPr>
      <w:ind w:left="1680"/>
    </w:pPr>
    <w:rPr>
      <w:sz w:val="18"/>
    </w:rPr>
  </w:style>
  <w:style w:type="paragraph" w:styleId="12">
    <w:name w:val="List Bullet 5"/>
    <w:basedOn w:val="1"/>
    <w:qFormat/>
    <w:uiPriority w:val="0"/>
    <w:pPr>
      <w:numPr>
        <w:ilvl w:val="0"/>
        <w:numId w:val="1"/>
      </w:numPr>
    </w:pPr>
  </w:style>
  <w:style w:type="paragraph" w:styleId="13">
    <w:name w:val="footer"/>
    <w:basedOn w:val="1"/>
    <w:qFormat/>
    <w:uiPriority w:val="0"/>
    <w:pPr>
      <w:tabs>
        <w:tab w:val="center" w:pos="4153"/>
        <w:tab w:val="right" w:pos="8306"/>
      </w:tabs>
    </w:pPr>
    <w:rPr>
      <w:sz w:val="18"/>
    </w:rPr>
  </w:style>
  <w:style w:type="paragraph" w:styleId="14">
    <w:name w:val="header"/>
    <w:basedOn w:val="1"/>
    <w:link w:val="37"/>
    <w:qFormat/>
    <w:uiPriority w:val="0"/>
    <w:pPr>
      <w:tabs>
        <w:tab w:val="center" w:pos="4153"/>
        <w:tab w:val="right" w:pos="8306"/>
      </w:tabs>
      <w:jc w:val="center"/>
    </w:pPr>
    <w:rPr>
      <w:sz w:val="18"/>
      <w:szCs w:val="18"/>
    </w:rPr>
  </w:style>
  <w:style w:type="paragraph" w:styleId="15">
    <w:name w:val="Normal (Web)"/>
    <w:basedOn w:val="1"/>
    <w:qFormat/>
    <w:uiPriority w:val="0"/>
    <w:pPr>
      <w:spacing w:line="300" w:lineRule="exact"/>
      <w:contextualSpacing/>
      <w:jc w:val="center"/>
    </w:pPr>
    <w:rPr>
      <w:rFonts w:ascii="宋体" w:hAnsi="宋体"/>
    </w:rPr>
  </w:style>
  <w:style w:type="paragraph" w:styleId="16">
    <w:name w:val="Body Text First Indent 2"/>
    <w:basedOn w:val="9"/>
    <w:qFormat/>
    <w:uiPriority w:val="0"/>
    <w:pPr>
      <w:ind w:firstLine="420" w:firstLineChars="200"/>
    </w:pPr>
    <w:rPr>
      <w:kern w:val="44"/>
      <w:sz w:val="44"/>
    </w:rPr>
  </w:style>
  <w:style w:type="table" w:styleId="18">
    <w:name w:val="Table Grid"/>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paragraph" w:customStyle="1" w:styleId="21">
    <w:name w:val="正文1"/>
    <w:basedOn w:val="1"/>
    <w:next w:val="1"/>
    <w:qFormat/>
    <w:uiPriority w:val="0"/>
    <w:pPr>
      <w:spacing w:line="500" w:lineRule="atLeast"/>
      <w:ind w:firstLine="567"/>
    </w:pPr>
    <w:rPr>
      <w:sz w:val="28"/>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Table Text"/>
    <w:basedOn w:val="1"/>
    <w:semiHidden/>
    <w:qFormat/>
    <w:uiPriority w:val="0"/>
    <w:rPr>
      <w:rFonts w:ascii="宋体" w:hAnsi="宋体" w:eastAsia="宋体" w:cs="宋体"/>
      <w:sz w:val="20"/>
      <w:szCs w:val="20"/>
    </w:rPr>
  </w:style>
  <w:style w:type="character" w:customStyle="1" w:styleId="24">
    <w:name w:val="font21"/>
    <w:basedOn w:val="19"/>
    <w:qFormat/>
    <w:uiPriority w:val="0"/>
    <w:rPr>
      <w:rFonts w:hint="default" w:ascii="Times New Roman" w:hAnsi="Times New Roman" w:cs="Times New Roman"/>
      <w:color w:val="000000"/>
      <w:sz w:val="24"/>
      <w:szCs w:val="24"/>
      <w:u w:val="none"/>
    </w:rPr>
  </w:style>
  <w:style w:type="character" w:customStyle="1" w:styleId="25">
    <w:name w:val="font01"/>
    <w:basedOn w:val="19"/>
    <w:qFormat/>
    <w:uiPriority w:val="0"/>
    <w:rPr>
      <w:rFonts w:hint="eastAsia" w:ascii="宋体" w:hAnsi="宋体" w:eastAsia="宋体" w:cs="宋体"/>
      <w:color w:val="000000"/>
      <w:sz w:val="24"/>
      <w:szCs w:val="24"/>
      <w:u w:val="none"/>
    </w:rPr>
  </w:style>
  <w:style w:type="paragraph" w:customStyle="1" w:styleId="26">
    <w:name w:val="Table Paragraph"/>
    <w:basedOn w:val="1"/>
    <w:autoRedefine/>
    <w:qFormat/>
    <w:uiPriority w:val="1"/>
    <w:pPr>
      <w:kinsoku/>
      <w:spacing w:line="240" w:lineRule="atLeast"/>
      <w:jc w:val="center"/>
    </w:pPr>
    <w:rPr>
      <w:rFonts w:ascii="Times New Roman" w:hAnsi="Times New Roman" w:cs="Times New Roman" w:eastAsiaTheme="minorEastAsia"/>
      <w:b/>
      <w:bCs/>
      <w:szCs w:val="22"/>
      <w:lang w:val="zh-CN" w:eastAsia="zh-CN" w:bidi="zh-CN"/>
    </w:rPr>
  </w:style>
  <w:style w:type="paragraph" w:customStyle="1" w:styleId="27">
    <w:name w:val="MEL正文*"/>
    <w:basedOn w:val="1"/>
    <w:qFormat/>
    <w:uiPriority w:val="0"/>
    <w:pPr>
      <w:spacing w:line="500" w:lineRule="exact"/>
      <w:ind w:firstLine="480" w:firstLineChars="200"/>
    </w:pPr>
    <w:rPr>
      <w:rFonts w:ascii="宋体" w:hAnsi="宋体"/>
      <w:color w:val="FF0000"/>
    </w:rPr>
  </w:style>
  <w:style w:type="paragraph" w:customStyle="1" w:styleId="28">
    <w:name w:val="MEL表字-书"/>
    <w:basedOn w:val="1"/>
    <w:autoRedefine/>
    <w:qFormat/>
    <w:uiPriority w:val="0"/>
    <w:pPr>
      <w:spacing w:line="300" w:lineRule="exact"/>
      <w:jc w:val="center"/>
    </w:pPr>
    <w:rPr>
      <w:rFonts w:ascii="宋体" w:hAnsi="宋体"/>
    </w:rPr>
  </w:style>
  <w:style w:type="paragraph" w:customStyle="1" w:styleId="29">
    <w:name w:val="表头-文字"/>
    <w:basedOn w:val="1"/>
    <w:qFormat/>
    <w:uiPriority w:val="0"/>
    <w:pPr>
      <w:spacing w:line="500" w:lineRule="exact"/>
      <w:ind w:firstLine="200" w:firstLineChars="200"/>
      <w:jc w:val="center"/>
    </w:pPr>
    <w:rPr>
      <w:rFonts w:ascii="黑体" w:hAnsi="黑体" w:eastAsia="黑体"/>
    </w:rPr>
  </w:style>
  <w:style w:type="table" w:customStyle="1" w:styleId="30">
    <w:name w:val="报告书表格样式1"/>
    <w:basedOn w:val="17"/>
    <w:autoRedefine/>
    <w:qFormat/>
    <w:uiPriority w:val="0"/>
    <w:pPr>
      <w:spacing w:line="300" w:lineRule="exact"/>
      <w:contextualSpacing/>
      <w:jc w:val="center"/>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31">
    <w:name w:val="YJ题注"/>
    <w:basedOn w:val="6"/>
    <w:autoRedefine/>
    <w:qFormat/>
    <w:uiPriority w:val="0"/>
    <w:pPr>
      <w:spacing w:line="400" w:lineRule="exact"/>
    </w:pPr>
    <w:rPr>
      <w:szCs w:val="24"/>
    </w:rPr>
  </w:style>
  <w:style w:type="paragraph" w:customStyle="1" w:styleId="32">
    <w:name w:val="表字-书"/>
    <w:basedOn w:val="1"/>
    <w:autoRedefine/>
    <w:qFormat/>
    <w:uiPriority w:val="0"/>
    <w:pPr>
      <w:spacing w:line="300" w:lineRule="exact"/>
      <w:contextualSpacing/>
      <w:jc w:val="center"/>
    </w:pPr>
    <w:rPr>
      <w:rFonts w:ascii="宋体" w:hAnsi="宋体"/>
    </w:rPr>
  </w:style>
  <w:style w:type="character" w:customStyle="1" w:styleId="33">
    <w:name w:val="font11"/>
    <w:basedOn w:val="19"/>
    <w:qFormat/>
    <w:uiPriority w:val="0"/>
    <w:rPr>
      <w:rFonts w:hint="default" w:ascii="Arial" w:hAnsi="Arial" w:cs="Arial"/>
      <w:color w:val="000000"/>
      <w:sz w:val="21"/>
      <w:szCs w:val="21"/>
      <w:u w:val="none"/>
    </w:rPr>
  </w:style>
  <w:style w:type="character" w:customStyle="1" w:styleId="34">
    <w:name w:val="font31"/>
    <w:basedOn w:val="19"/>
    <w:qFormat/>
    <w:uiPriority w:val="0"/>
    <w:rPr>
      <w:rFonts w:hint="default" w:ascii="Times New Roman" w:hAnsi="Times New Roman" w:cs="Times New Roman"/>
      <w:color w:val="000000"/>
      <w:sz w:val="21"/>
      <w:szCs w:val="21"/>
      <w:u w:val="none"/>
    </w:rPr>
  </w:style>
  <w:style w:type="character" w:customStyle="1" w:styleId="35">
    <w:name w:val="font41"/>
    <w:basedOn w:val="19"/>
    <w:qFormat/>
    <w:uiPriority w:val="0"/>
    <w:rPr>
      <w:rFonts w:hint="default" w:ascii="Times New Roman" w:hAnsi="Times New Roman" w:cs="Times New Roman"/>
      <w:color w:val="000000"/>
      <w:sz w:val="20"/>
      <w:szCs w:val="20"/>
      <w:u w:val="none"/>
    </w:rPr>
  </w:style>
  <w:style w:type="character" w:customStyle="1" w:styleId="36">
    <w:name w:val="font61"/>
    <w:basedOn w:val="19"/>
    <w:qFormat/>
    <w:uiPriority w:val="0"/>
    <w:rPr>
      <w:rFonts w:hint="default" w:ascii="Times New Roman" w:hAnsi="Times New Roman" w:cs="Times New Roman"/>
      <w:color w:val="000000"/>
      <w:sz w:val="21"/>
      <w:szCs w:val="21"/>
      <w:u w:val="none"/>
    </w:rPr>
  </w:style>
  <w:style w:type="character" w:customStyle="1" w:styleId="37">
    <w:name w:val="页眉 字符"/>
    <w:basedOn w:val="19"/>
    <w:link w:val="14"/>
    <w:qFormat/>
    <w:uiPriority w:val="0"/>
    <w:rPr>
      <w:rFonts w:ascii="Arial" w:hAnsi="Arial" w:eastAsia="Arial" w:cs="Arial"/>
      <w:snapToGrid w:val="0"/>
      <w:color w:val="000000"/>
      <w:sz w:val="18"/>
      <w:szCs w:val="18"/>
      <w:lang w:eastAsia="en-US"/>
    </w:rPr>
  </w:style>
  <w:style w:type="paragraph" w:customStyle="1" w:styleId="38">
    <w:name w:val="备注"/>
    <w:basedOn w:val="2"/>
    <w:link w:val="39"/>
    <w:qFormat/>
    <w:uiPriority w:val="0"/>
    <w:pPr>
      <w:widowControl w:val="0"/>
      <w:kinsoku/>
      <w:autoSpaceDE/>
      <w:autoSpaceDN/>
      <w:adjustRightInd/>
      <w:spacing w:line="320" w:lineRule="exact"/>
      <w:ind w:firstLine="200"/>
      <w:jc w:val="both"/>
      <w:textAlignment w:val="center"/>
    </w:pPr>
    <w:rPr>
      <w:rFonts w:eastAsia="宋体"/>
      <w:b/>
      <w:snapToGrid/>
      <w:color w:val="auto"/>
      <w:lang w:val="zh-CN" w:eastAsia="zh-CN"/>
    </w:rPr>
  </w:style>
  <w:style w:type="character" w:customStyle="1" w:styleId="39">
    <w:name w:val="备注 字符"/>
    <w:basedOn w:val="19"/>
    <w:link w:val="38"/>
    <w:qFormat/>
    <w:uiPriority w:val="0"/>
    <w:rPr>
      <w:rFonts w:ascii="Arial" w:hAnsi="Arial" w:cs="Arial"/>
      <w:b/>
      <w:sz w:val="21"/>
      <w:szCs w:val="21"/>
      <w:lang w:val="zh-CN"/>
    </w:rPr>
  </w:style>
  <w:style w:type="paragraph" w:customStyle="1" w:styleId="40">
    <w:name w:val="表内文字"/>
    <w:basedOn w:val="1"/>
    <w:qFormat/>
    <w:uiPriority w:val="2"/>
    <w:pPr>
      <w:autoSpaceDE w:val="0"/>
      <w:autoSpaceDN w:val="0"/>
      <w:jc w:val="center"/>
    </w:pPr>
    <w:rPr>
      <w:rFonts w:cs="Arial"/>
      <w:kern w:val="0"/>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"/>
    </extobj>
  </extobjs>
</s:customData>
</file>

<file path=customXml/item2.xml><?xml version="1.0" encoding="utf-8"?>
<contractReview xmlns="http://schemas.wps.cn/vas-ai-hub/contract-review">
  <reviewItems>
    <reviewItem>
      <errorID>118d1bfb-8055-4c55-b7d5-044e670991c0</errorID>
      <errorWord>"</errorWord>
      <group>L1_Format</group>
      <groupName>格式问题</groupName>
      <ability>L2_HalfPunc</ability>
      <abilityName>全半角检查</abilityName>
      <candidateList/>
      <explain>文本全半角错误。</explain>
      <paraID>787A0BA0</paraID>
      <start>23</start>
      <end>24</end>
      <status>unmodified</status>
      <modifiedWord/>
      <trackRevisions>false</trackRevisions>
    </reviewItem>
    <reviewItem>
      <errorID>9335218e-ce3f-4d07-80ab-4600032f8d45</errorID>
      <errorWord>"</errorWord>
      <group>L1_Format</group>
      <groupName>格式问题</groupName>
      <ability>L2_HalfPunc</ability>
      <abilityName>全半角检查</abilityName>
      <candidateList/>
      <explain>文本全半角错误。</explain>
      <paraID>7D1D016B</paraID>
      <start>25</start>
      <end>26</end>
      <status>unmodified</status>
      <modifiedWord/>
      <trackRevisions>false</trackRevisions>
    </reviewItem>
    <reviewItem>
      <errorID>3366081d-a95d-458b-a02b-6fd0c590ad5a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C9C60C0</paraID>
      <start>29</start>
      <end>30</end>
      <status>unmodified</status>
      <modifiedWord/>
      <trackRevisions>false</trackRevisions>
    </reviewItem>
    <reviewItem>
      <errorID>d64da1d7-683c-4065-b298-544b7199f041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67C1FA27</paraID>
      <start>36</start>
      <end>37</end>
      <status>unmodified</status>
      <modifiedWord/>
      <trackRevisions>false</trackRevisions>
    </reviewItem>
    <reviewItem>
      <errorID>2a15537f-876b-4d77-819e-ba050700ce5d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38079717</paraID>
      <start>31</start>
      <end>32</end>
      <status>unmodified</status>
      <modifiedWord/>
      <trackRevisions>false</trackRevisions>
    </reviewItem>
    <reviewItem>
      <errorID>eb362fcb-e5af-4ffa-830b-ad8e897c8d74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1CD8196A</paraID>
      <start>34</start>
      <end>35</end>
      <status>unmodified</status>
      <modifiedWord/>
      <trackRevisions>false</trackRevisions>
    </reviewItem>
    <reviewItem>
      <errorID>7f44058b-8f0e-44a5-8c12-ff1559a8dd58</errorID>
      <errorWord>”</errorWord>
      <group>L1_Punc</group>
      <groupName>标点问题</groupName>
      <ability>L2_Punc</ability>
      <abilityName>标点符号检查</abilityName>
      <candidateList/>
      <explain/>
      <paraID> 5274187</paraID>
      <start>29</start>
      <end>30</end>
      <status>unmodified</status>
      <modifiedWord/>
      <trackRevisions>false</trackRevisions>
    </reviewItem>
    <reviewItem>
      <errorID>27fd3155-29b7-4e52-b2ac-394dada76711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4E097EC8</paraID>
      <start>32</start>
      <end>33</end>
      <status>unmodified</status>
      <modifiedWord/>
      <trackRevisions>false</trackRevisions>
    </reviewItem>
    <reviewItem>
      <errorID>4f7c379d-af73-4dbb-a2fb-7af6ad92789b</errorID>
      <errorWord>十四五规划</errorWord>
      <group>L1_Political</group>
      <groupName>政治性问题</groupName>
      <ability>L2_Keyword</ability>
      <abilityName>固定表述</abilityName>
      <candidateList>
        <item>‘十四五’规划</item>
      </candidateList>
      <explain>注意检查当前固定表述标点是否使用规范。</explain>
      <paraID>486F1DFA</paraID>
      <start>28</start>
      <end>35</end>
      <status>modified</status>
      <modifiedWord>‘十四五’规划</modifiedWord>
      <trackRevisions>false</trackRevisions>
    </reviewItem>
    <reviewItem>
      <errorID>b1b51343-30f2-46b4-bef6-b7904b1c0a95</errorID>
      <errorWord>(</errorWord>
      <group>L1_Format</group>
      <groupName>格式问题</groupName>
      <ability>L2_HalfPunc</ability>
      <abilityName>全半角检查</abilityName>
      <candidateList>
        <item>（</item>
      </candidateList>
      <explain>文本全半角错误。</explain>
      <paraID>3A62DA6C</paraID>
      <start>26</start>
      <end>27</end>
      <status>unmodified</status>
      <modifiedWord/>
      <trackRevisions>false</trackRevisions>
    </reviewItem>
    <reviewItem>
      <errorID>bf3aede1-c717-44a8-81eb-081ae6f5b03d</errorID>
      <errorWord>)</errorWord>
      <group>L1_Format</group>
      <groupName>格式问题</groupName>
      <ability>L2_HalfPunc</ability>
      <abilityName>全半角检查</abilityName>
      <candidateList>
        <item>）</item>
      </candidateList>
      <explain>文本全半角错误。</explain>
      <paraID>3A62DA6C</paraID>
      <start>33</start>
      <end>34</end>
      <status>unmodified</status>
      <modifiedWord/>
      <trackRevisions>false</trackRevisions>
    </reviewItem>
    <reviewItem>
      <errorID>d52701ae-86f0-4a8e-8a1e-58aae9ea224f</errorID>
      <errorWord>(</errorWord>
      <group>L1_Format</group>
      <groupName>格式问题</groupName>
      <ability>L2_HalfPunc</ability>
      <abilityName>全半角检查</abilityName>
      <candidateList>
        <item>（</item>
      </candidateList>
      <explain>文本全半角错误。</explain>
      <paraID>3A62DA6C</paraID>
      <start>55</start>
      <end>56</end>
      <status>unmodified</status>
      <modifiedWord/>
      <trackRevisions>false</trackRevisions>
    </reviewItem>
    <reviewItem>
      <errorID>7253b718-f36a-4799-a05c-c7abef893f24</errorID>
      <errorWord>)</errorWord>
      <group>L1_Format</group>
      <groupName>格式问题</groupName>
      <ability>L2_HalfPunc</ability>
      <abilityName>全半角检查</abilityName>
      <candidateList>
        <item>）</item>
      </candidateList>
      <explain>文本全半角错误。</explain>
      <paraID>3A62DA6C</paraID>
      <start>62</start>
      <end>63</end>
      <status>unmodified</status>
      <modifiedWord/>
      <trackRevisions>false</trackRevisions>
    </reviewItem>
    <reviewItem>
      <errorID>be6808a7-317c-4e98-829c-54fcf25f6dcb</errorID>
      <errorWord>(</errorWord>
      <group>L1_Format</group>
      <groupName>格式问题</groupName>
      <ability>L2_HalfPunc</ability>
      <abilityName>全半角检查</abilityName>
      <candidateList>
        <item>（</item>
      </candidateList>
      <explain>文本全半角错误。</explain>
      <paraID>7D6236B9</paraID>
      <start>46</start>
      <end>47</end>
      <status>unmodified</status>
      <modifiedWord/>
      <trackRevisions>false</trackRevisions>
    </reviewItem>
    <reviewItem>
      <errorID>2884bf98-2dda-4d12-89b5-25c56abafcb2</errorID>
      <errorWord>)</errorWord>
      <group>L1_Format</group>
      <groupName>格式问题</groupName>
      <ability>L2_HalfPunc</ability>
      <abilityName>全半角检查</abilityName>
      <candidateList>
        <item>）</item>
      </candidateList>
      <explain>文本全半角错误。</explain>
      <paraID>7D6236B9</paraID>
      <start>53</start>
      <end>54</end>
      <status>unmodified</status>
      <modifiedWord/>
      <trackRevisions>false</trackRevisions>
    </reviewItem>
    <reviewItem>
      <errorID>96310394-4346-4cac-bb51-9ecf3e3f07c2</errorID>
      <errorWord>区</errorWord>
      <group>L1_Word</group>
      <groupName>字词问题</groupName>
      <ability>L2_Typo</ability>
      <abilityName>字词错误</abilityName>
      <candidateList>
        <item>区规</item>
      </candidateList>
      <explain/>
      <paraID>2C95B425</paraID>
      <start>49</start>
      <end>50</end>
      <status>unmodified</status>
      <modifiedWord/>
      <trackRevisions>false</trackRevisions>
    </reviewItem>
    <reviewItem>
      <errorID>b7b2fabe-8f19-4962-9ffc-7ce85c3c506c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62CB56E</paraID>
      <start>31</start>
      <end>32</end>
      <status>unmodified</status>
      <modifiedWord/>
      <trackRevisions>false</trackRevisions>
    </reviewItem>
    <reviewItem>
      <errorID>1d66978d-78c8-4804-8ea1-b285cc1d6440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670C7BBF</paraID>
      <start>66</start>
      <end>67</end>
      <status>unmodified</status>
      <modifiedWord/>
      <trackRevisions>false</trackRevisions>
    </reviewItem>
    <reviewItem>
      <errorID>f9fbee0f-740b-4696-a74c-2c21b23d0260</errorID>
      <errorWord>(</errorWord>
      <group>L1_Format</group>
      <groupName>格式问题</groupName>
      <ability>L2_HalfPunc</ability>
      <abilityName>全半角检查</abilityName>
      <candidateList>
        <item>（</item>
      </candidateList>
      <explain>文本全半角错误。</explain>
      <paraID>2EE7268B</paraID>
      <start>21</start>
      <end>22</end>
      <status>unmodified</status>
      <modifiedWord/>
      <trackRevisions>false</trackRevisions>
    </reviewItem>
    <reviewItem>
      <errorID>f224de0a-2ff1-4a7e-96d5-645f7a07dd92</errorID>
      <errorWord>)</errorWord>
      <group>L1_Format</group>
      <groupName>格式问题</groupName>
      <ability>L2_HalfPunc</ability>
      <abilityName>全半角检查</abilityName>
      <candidateList>
        <item>）</item>
      </candidateList>
      <explain>文本全半角错误。</explain>
      <paraID>2EE7268B</paraID>
      <start>23</start>
      <end>24</end>
      <status>unmodified</status>
      <modifiedWord/>
      <trackRevisions>false</trackRevisions>
    </reviewItem>
    <reviewItem>
      <errorID>81e6cf46-0531-4811-a9c3-df269c4f4447</errorID>
      <errorWord>(</errorWord>
      <group>L1_Format</group>
      <groupName>格式问题</groupName>
      <ability>L2_HalfPunc</ability>
      <abilityName>全半角检查</abilityName>
      <candidateList>
        <item>（</item>
      </candidateList>
      <explain>文本全半角错误。</explain>
      <paraID>53CCE0E7</paraID>
      <start>238</start>
      <end>239</end>
      <status>unmodified</status>
      <modifiedWord/>
      <trackRevisions>false</trackRevisions>
    </reviewItem>
    <reviewItem>
      <errorID>58934c7a-c1bf-4b37-9b98-64287a93f536</errorID>
      <errorWord>)</errorWord>
      <group>L1_Format</group>
      <groupName>格式问题</groupName>
      <ability>L2_HalfPunc</ability>
      <abilityName>全半角检查</abilityName>
      <candidateList>
        <item>）</item>
      </candidateList>
      <explain>文本全半角错误。</explain>
      <paraID>53CCE0E7</paraID>
      <start>240</start>
      <end>241</end>
      <status>unmodified</status>
      <modifiedWord/>
      <trackRevisions>false</trackRevisions>
    </reviewItem>
    <reviewItem>
      <errorID>dc46e215-f570-45db-a6c3-ea8edc7892ba</errorID>
      <errorWord>生态红线保护区</errorWord>
      <group>L1_Political</group>
      <groupName>政治性问题</groupName>
      <ability>L2_Keyword</ability>
      <abilityName>固定表述</abilityName>
      <candidateList>
        <item>生态功能保护区</item>
      </candidateList>
      <explain>词汇“生态功能保护区”在特定场景下为固定表述形式，请确认此处的“生态红线保护区”是否存在不当。</explain>
      <paraID>24C2E15D</paraID>
      <start>132</start>
      <end>139</end>
      <status>unmodified</status>
      <modifiedWord/>
      <trackRevisions>false</trackRevisions>
    </reviewItem>
    <reviewItem>
      <errorID>a6f928d0-a06f-46a8-8d49-71fbc0ea6480</errorID>
      <errorWord>(</errorWord>
      <group>L1_Format</group>
      <groupName>格式问题</groupName>
      <ability>L2_HalfPunc</ability>
      <abilityName>全半角检查</abilityName>
      <candidateList>
        <item>（</item>
      </candidateList>
      <explain>文本全半角错误。</explain>
      <paraID>2CEEF232</paraID>
      <start>189</start>
      <end>190</end>
      <status>unmodified</status>
      <modifiedWord/>
      <trackRevisions>false</trackRevisions>
    </reviewItem>
    <reviewItem>
      <errorID>92523339-e97b-4d07-bc48-58136260da24</errorID>
      <errorWord>)</errorWord>
      <group>L1_Format</group>
      <groupName>格式问题</groupName>
      <ability>L2_HalfPunc</ability>
      <abilityName>全半角检查</abilityName>
      <candidateList>
        <item>）</item>
      </candidateList>
      <explain>文本全半角错误。</explain>
      <paraID>2CEEF232</paraID>
      <start>239</start>
      <end>240</end>
      <status>unmodified</status>
      <modifiedWord/>
      <trackRevisions>false</trackRevisions>
    </reviewItem>
    <reviewItem>
      <errorID>ec457ffb-2966-4d84-9bc4-273864e4c481</errorID>
      <errorWord>建设单位建设单位</errorWord>
      <group>L1_Word</group>
      <groupName>字词问题</groupName>
      <ability>L2_Typo</ability>
      <abilityName>字词错误</abilityName>
      <candidateList>
        <item>建设单位</item>
      </candidateList>
      <explain/>
      <paraID>61275435</paraID>
      <start>0</start>
      <end>4</end>
      <status>modified</status>
      <modifiedWord>建设单位</modifiedWord>
      <trackRevisions>false</trackRevisions>
    </reviewItem>
    <reviewItem>
      <errorID>d592932c-7752-4439-8f65-6b974592489d</errorID>
      <errorWord>设施的</errorWord>
      <group>L1_Word</group>
      <groupName>字词问题</groupName>
      <ability>L2_Typo</ability>
      <abilityName>字词错误</abilityName>
      <candidateList>
        <item>设施</item>
      </candidateList>
      <explain/>
      <paraID>4E51EC65</paraID>
      <start>6</start>
      <end>9</end>
      <status>unmodified</status>
      <modifiedWord/>
      <trackRevisions>false</trackRevisions>
    </reviewItem>
    <reviewItem>
      <errorID>2031244f-4295-446c-a24b-49eaba94c4c0</errorID>
      <errorWord>到</errorWord>
      <group>L1_Word</group>
      <groupName>字词问题</groupName>
      <ability>L2_Typo</ability>
      <abilityName>字词错误</abilityName>
      <candidateList>
        <item>至</item>
      </candidateList>
      <explain>存在字形相近字词的误用。</explain>
      <paraID>6DD3F5E1</paraID>
      <start>11</start>
      <end>12</end>
      <status>unmodified</status>
      <modifiedWord/>
      <trackRevisions>false</trackRevisions>
    </reviewItem>
    <reviewItem>
      <errorID>9ff7c3a8-4d7f-4c68-9f99-63f582f083b8</errorID>
      <errorWord>期</errorWord>
      <group>L1_Word</group>
      <groupName>字词问题</groupName>
      <ability>L2_Typo</ability>
      <abilityName>字词错误</abilityName>
      <candidateList>
        <item>期间</item>
      </candidateList>
      <explain>〈名〉某个时期里面：农忙～｜春节～｜抗战～。</explain>
      <paraID>2847458B</paraID>
      <start>2</start>
      <end>3</end>
      <status>unmodified</status>
      <modifiedWord/>
      <trackRevisions>false</trackRevisions>
    </reviewItem>
    <reviewItem>
      <errorID>c1f9d5c4-fb38-441c-aedd-6fc9119fcaee</errorID>
      <errorWord>低</errorWord>
      <group>L1_Word</group>
      <groupName>字词问题</groupName>
      <ability>L2_Typo</ability>
      <abilityName>字词错误</abilityName>
      <candidateList>
        <item>低于</item>
      </candidateList>
      <explain/>
      <paraID> 97F4990</paraID>
      <start>42</start>
      <end>43</end>
      <status>unmodified</status>
      <modifiedWord/>
      <trackRevisions>false</trackRevisions>
    </reviewItem>
    <reviewItem>
      <errorID>d29696b8-f325-48e1-9141-f661a1c48d1c</errorID>
      <errorWord>木垒县</errorWord>
      <group>L1_Knowledge</group>
      <groupName>知识性问题</groupName>
      <ability>L2_Location</ability>
      <abilityName>地名检查</abilityName>
      <candidateList>
        <item>木垒哈萨克自治县</item>
      </candidateList>
      <explain>自治区州县缩写不规范。《地名管理条例》第十八条规定，标识牌、公共平台发布的信息、各类公文证件、学习类公开出版物、地图、法律法规规定等场景范围内必须使用标准地名。</explain>
      <paraID>259EA483</paraID>
      <start>14</start>
      <end>17</end>
      <status>unmodified</status>
      <modifiedWord/>
      <trackRevisions>false</trackRevisions>
    </reviewItem>
    <reviewItem>
      <errorID>9e37c638-9661-44da-982b-f8ffd744b09d</errorID>
      <errorWord>(</errorWord>
      <group>L1_Format</group>
      <groupName>格式问题</groupName>
      <ability>L2_HalfPunc</ability>
      <abilityName>全半角检查</abilityName>
      <candidateList>
        <item>（</item>
      </candidateList>
      <explain>文本全半角错误。</explain>
      <paraID>502075D5</paraID>
      <start>29</start>
      <end>30</end>
      <status>unmodified</status>
      <modifiedWord/>
      <trackRevisions>false</trackRevisions>
    </reviewItem>
    <reviewItem>
      <errorID>edc8769e-ec5f-4907-8b91-581239aadf3c</errorID>
      <errorWord>)</errorWord>
      <group>L1_Format</group>
      <groupName>格式问题</groupName>
      <ability>L2_HalfPunc</ability>
      <abilityName>全半角检查</abilityName>
      <candidateList>
        <item>）</item>
      </candidateList>
      <explain>文本全半角错误。</explain>
      <paraID>502075D5</paraID>
      <start>31</start>
      <end>32</end>
      <status>unmodified</status>
      <modifiedWord/>
      <trackRevisions>false</trackRevisions>
    </reviewItem>
    <reviewItem>
      <errorID>bfdfc668-37cc-4890-b444-f97f04dc4306</errorID>
      <errorWord>到</errorWord>
      <group>L1_Word</group>
      <groupName>字词问题</groupName>
      <ability>L2_Typo</ability>
      <abilityName>字词错误</abilityName>
      <candidateList>
        <item>至</item>
      </candidateList>
      <explain>存在字形相近字词的误用。</explain>
      <paraID>3E7D5CB9</paraID>
      <start>29</start>
      <end>30</end>
      <status>unmodified</status>
      <modifiedWord/>
      <trackRevisions>false</trackRevisions>
    </reviewItem>
    <reviewItem>
      <errorID>7ad72739-30eb-4810-b239-3bc2324f6ce7</errorID>
      <errorWord>）</errorWord>
      <group>L1_Word</group>
      <groupName>字词问题</groupName>
      <ability>L2_Typo</ability>
      <abilityName>字词错误</abilityName>
      <candidateList>
        <item>）和</item>
      </candidateList>
      <explain/>
      <paraID>7A5DBA72</paraID>
      <start>106</start>
      <end>107</end>
      <status>unmodified</status>
      <modifiedWord/>
      <trackRevisions>false</trackRevisions>
    </reviewItem>
    <reviewItem>
      <errorID>0ad3fcc3-1ddf-4554-8bb1-497645013199</errorID>
      <errorWord>,</errorWord>
      <group>L1_Format</group>
      <groupName>格式问题</groupName>
      <ability>L2_HalfPunc</ability>
      <abilityName>全半角检查</abilityName>
      <candidateList>
        <item>，</item>
      </candidateList>
      <explain>文本全半角错误。</explain>
      <paraID> 4367E58</paraID>
      <start>110</start>
      <end>111</end>
      <status>unmodified</status>
      <modifiedWord/>
      <trackRevisions>false</trackRevisions>
    </reviewItem>
    <reviewItem>
      <errorID>bfad6b33-c80a-4404-a873-935af2cc04ad</errorID>
      <errorWord>)</errorWord>
      <group>L1_Format</group>
      <groupName>格式问题</groupName>
      <ability>L2_HalfPunc</ability>
      <abilityName>全半角检查</abilityName>
      <candidateList>
        <item>）</item>
      </candidateList>
      <explain>文本全半角错误。</explain>
      <paraID>5892FA3D</paraID>
      <start>33</start>
      <end>34</end>
      <status>unmodified</status>
      <modifiedWord/>
      <trackRevisions>false</trackRevisions>
    </reviewItem>
    <reviewItem>
      <errorID>af9281cf-2901-45d5-887a-7d1f3dbac5a4</errorID>
      <errorWord>密集性</errorWord>
      <group>L1_Word</group>
      <groupName>字词问题</groupName>
      <ability>L2_Typo</ability>
      <abilityName>字词错误</abilityName>
      <candidateList>
        <item>密集型</item>
      </candidateList>
      <explain/>
      <paraID>4AA7D6CF</paraID>
      <start>57</start>
      <end>60</end>
      <status>modified</status>
      <modifiedWord>密集型</modifiedWord>
      <trackRevisions>false</trackRevisions>
    </reviewItem>
    <reviewItem>
      <errorID>7cc88c8c-bb51-430d-b44d-1584bc996a10</errorID>
      <errorWord>[2024]58号</errorWord>
      <group>L1_Knowledge</group>
      <groupName>知识性问题</groupName>
      <ability>L2_Knowledge</ability>
      <abilityName>其他知识</abilityName>
      <candidateList>
        <item>〔2024〕58号</item>
      </candidateList>
      <explain>发文字号格式错误。</explain>
      <paraID>23E89BB1</paraID>
      <start>38</start>
      <end>47</end>
      <status>modified</status>
      <modifiedWord>〔2024〕58号</modifiedWord>
      <trackRevisions>false</trackRevisions>
    </reviewItem>
    <reviewItem>
      <errorID>e3960bec-1526-489f-ab30-44695e47f04b</errorID>
      <errorWord>[2024]58号</errorWord>
      <group>L1_Knowledge</group>
      <groupName>知识性问题</groupName>
      <ability>L2_Knowledge</ability>
      <abilityName>其他知识</abilityName>
      <candidateList>
        <item>〔2024〕58号</item>
      </candidateList>
      <explain>发文字号格式错误。</explain>
      <paraID>2DA99CA2</paraID>
      <start>37</start>
      <end>46</end>
      <status>modified</status>
      <modifiedWord>〔2024〕58号</modifiedWord>
      <trackRevisions>false</trackRevisions>
    </reviewItem>
    <reviewItem>
      <errorID>70a9b1c9-441f-40e2-8f2e-f6477caafa2c</errorID>
      <errorWord>、就</errorWord>
      <group>L1_Punc</group>
      <groupName>标点问题</groupName>
      <ability>L2_Punc</ability>
      <abilityName>标点符号检查</abilityName>
      <candidateList>
        <item>，就</item>
      </candidateList>
      <explain>连接词前后不宜使用顿号，建议使用逗号。</explain>
      <paraID>5E97E4F3</paraID>
      <start>52</start>
      <end>54</end>
      <status>unmodified</status>
      <modifiedWord/>
      <trackRevisions>false</trackRevisions>
    </reviewItem>
    <reviewItem>
      <errorID>9d76a8b3-7b14-45b4-8acf-d08df22641c7</errorID>
      <errorWord>钻试</errorWord>
      <group>L1_Word</group>
      <groupName>字词问题</groupName>
      <ability>L2_Typo</ability>
      <abilityName>字词错误</abilityName>
      <candidateList>
        <item>钻井</item>
      </candidateList>
      <explain/>
      <paraID>120B2B5F</paraID>
      <start>14</start>
      <end>16</end>
      <status>unmodified</status>
      <modifiedWord/>
      <trackRevisions>false</trackRevisions>
    </reviewItem>
    <reviewItem>
      <errorID>862f42ee-1708-4aed-8f3e-5b26d662ae5d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58448908</paraID>
      <start>148</start>
      <end>149</end>
      <status>unmodified</status>
      <modifiedWord/>
      <trackRevisions>false</trackRevisions>
    </reviewItem>
    <reviewItem>
      <errorID>75fafa9c-b77f-41b6-81d1-2e6f3b8c597e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702DDA1E</paraID>
      <start>53</start>
      <end>54</end>
      <status>unmodified</status>
      <modifiedWord/>
      <trackRevisions>false</trackRevisions>
    </reviewItem>
    <reviewItem>
      <errorID>14e601cf-18f3-4b4a-aa0b-b6368fe90c9a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42231B8</paraID>
      <start>57</start>
      <end>58</end>
      <status>unmodified</status>
      <modifiedWord/>
      <trackRevisions>false</trackRevisions>
    </reviewItem>
    <reviewItem>
      <errorID>5ee6df87-da37-4182-9e2c-84e261f5b014</errorID>
      <errorWord>到</errorWord>
      <group>L1_Word</group>
      <groupName>字词问题</groupName>
      <ability>L2_Typo</ability>
      <abilityName>字词错误</abilityName>
      <candidateList>
        <item>至</item>
      </candidateList>
      <explain>存在字形相近字词的误用。</explain>
      <paraID>29D4E6EF</paraID>
      <start>19</start>
      <end>20</end>
      <status>unmodified</status>
      <modifiedWord/>
      <trackRevisions>false</trackRevisions>
    </reviewItem>
    <reviewItem>
      <errorID>49959d29-db50-4dc4-aee7-f4aafd9eb09f</errorID>
      <errorWord>井别</errorWord>
      <group>L1_Word</group>
      <groupName>字词问题</groupName>
      <ability>L2_Typo</ability>
      <abilityName>字词错误</abilityName>
      <candidateList>
        <item>特别</item>
      </candidateList>
      <explain>❶〈形〉与众不同；不普通：～的式样｜他的脾气很～。❷〈副〉格外：火车跑得～快｜这个节目～吸引观众。❸〈副〉特地：散会的时候，厂长～把他留下来研究技术上的问题。❹〈副〉尤其：他喜欢郊游，～是骑自行车郊游。</explain>
      <paraID>33CF3CFC</paraID>
      <start>0</start>
      <end>2</end>
      <status>unmodified</status>
      <modifiedWord/>
      <trackRevisions>false</trackRevisions>
    </reviewItem>
    <reviewItem>
      <errorID>fe11b896-9c78-41dd-b891-0e69897acf86</errorID>
      <errorWord>型</errorWord>
      <group>L1_Word</group>
      <groupName>字词问题</groupName>
      <ability>L2_Typo</ability>
      <abilityName>字词错误</abilityName>
      <candidateList>
        <item>形</item>
      </candidateList>
      <explain>存在发音相同字词的误用。</explain>
      <paraID>30635202</paraID>
      <start>1</start>
      <end>2</end>
      <status>unmodified</status>
      <modifiedWord/>
      <trackRevisions>false</trackRevisions>
    </reviewItem>
    <reviewItem>
      <errorID>6cf07e94-3e71-43aa-bf10-a5ac75d9c287</errorID>
      <errorWord>井深结构</errorWord>
      <group>L1_Knowledge</group>
      <groupName>知识性问题</groupName>
      <ability>L2_Term</ability>
      <abilityName>专业术语</abilityName>
      <candidateList>
        <item>井身结构</item>
      </candidateList>
      <explain/>
      <paraID>6D4DF4FC</paraID>
      <start>0</start>
      <end>4</end>
      <status>unmodified</status>
      <modifiedWord/>
      <trackRevisions>false</trackRevisions>
    </reviewItem>
    <reviewItem>
      <errorID>ea356f48-2b25-4265-8ed8-1d9daf671e86</errorID>
      <errorWord>(</errorWord>
      <group>L1_Format</group>
      <groupName>格式问题</groupName>
      <ability>L2_HalfPunc</ability>
      <abilityName>全半角检查</abilityName>
      <candidateList>
        <item>（</item>
      </candidateList>
      <explain>文本全半角错误。</explain>
      <paraID>7882829F</paraID>
      <start>4</start>
      <end>5</end>
      <status>unmodified</status>
      <modifiedWord/>
      <trackRevisions>false</trackRevisions>
    </reviewItem>
    <reviewItem>
      <errorID>83bbab14-e5fe-48c2-af07-cecf1a0e64fa</errorID>
      <errorWord>)</errorWord>
      <group>L1_Format</group>
      <groupName>格式问题</groupName>
      <ability>L2_HalfPunc</ability>
      <abilityName>全半角检查</abilityName>
      <candidateList>
        <item>）</item>
      </candidateList>
      <explain>文本全半角错误。</explain>
      <paraID>7882829F</paraID>
      <start>7</start>
      <end>8</end>
      <status>unmodified</status>
      <modifiedWord/>
      <trackRevisions>false</trackRevisions>
    </reviewItem>
    <reviewItem>
      <errorID>4f3c9d45-f843-4c01-98d2-c256e6c50679</errorID>
      <errorWord>见</errorWord>
      <group>L1_Word</group>
      <groupName>字词问题</groupName>
      <ability>L2_Typo</ability>
      <abilityName>字词错误</abilityName>
      <candidateList>
        <item>见下</item>
      </candidateList>
      <explain/>
      <paraID>2791C3C5</paraID>
      <start>45</start>
      <end>46</end>
      <status>unmodified</status>
      <modifiedWord/>
      <trackRevisions>false</trackRevisions>
    </reviewItem>
    <reviewItem>
      <errorID>1202db7e-a1fa-43d0-a7f9-9511520a8a04</errorID>
      <errorWord>试油工程</errorWord>
      <group>L1_Knowledge</group>
      <groupName>知识性问题</groupName>
      <ability>L2_Term</ability>
      <abilityName>专业术语</abilityName>
      <candidateList>
        <item>采油工程</item>
      </candidateList>
      <explain/>
      <paraID>5049958F</paraID>
      <start>7</start>
      <end>11</end>
      <status>unmodified</status>
      <modifiedWord/>
      <trackRevisions>false</trackRevisions>
    </reviewItem>
    <reviewItem>
      <errorID>5b5b440e-fefa-4352-ae6f-0a0424aefb33</errorID>
      <errorWord>（</errorWord>
      <group>L1_Format</group>
      <groupName>格式问题</groupName>
      <ability>L2_HalfPunc</ability>
      <abilityName>全半角检查</abilityName>
      <candidateList>
        <item>(</item>
      </candidateList>
      <explain>文本全半角错误。</explain>
      <paraID>68F668D4</paraID>
      <start>0</start>
      <end>1</end>
      <status>unmodified</status>
      <modifiedWord/>
      <trackRevisions>false</trackRevisions>
    </reviewItem>
    <reviewItem>
      <errorID>5df6417f-fa77-4e4c-87ec-2790cf94693b</errorID>
      <errorWord>）</errorWord>
      <group>L1_Format</group>
      <groupName>格式问题</groupName>
      <ability>L2_HalfPunc</ability>
      <abilityName>全半角检查</abilityName>
      <candidateList>
        <item>)</item>
      </candidateList>
      <explain>文本全半角错误。</explain>
      <paraID>68F668D4</paraID>
      <start>2</start>
      <end>3</end>
      <status>unmodified</status>
      <modifiedWord/>
      <trackRevisions>false</trackRevisions>
    </reviewItem>
    <reviewItem>
      <errorID>d1e25a9c-bd84-41d3-9676-e914e2ecca23</errorID>
      <errorWord>:</errorWord>
      <group>L1_Format</group>
      <groupName>格式问题</groupName>
      <ability>L2_HalfPunc</ability>
      <abilityName>全半角检查</abilityName>
      <candidateList>
        <item>：</item>
      </candidateList>
      <explain>文本全半角错误。</explain>
      <paraID>4053F7B9</paraID>
      <start>5</start>
      <end>6</end>
      <status>unmodified</status>
      <modifiedWord/>
      <trackRevisions>false</trackRevisions>
    </reviewItem>
    <reviewItem>
      <errorID>776738f1-4668-425f-ae8d-a3905d2a5c5f</errorID>
      <errorWord>(</errorWord>
      <group>L1_Format</group>
      <groupName>格式问题</groupName>
      <ability>L2_HalfPunc</ability>
      <abilityName>全半角检查</abilityName>
      <candidateList>
        <item>（</item>
      </candidateList>
      <explain>文本全半角错误。</explain>
      <paraID>4053F7B9</paraID>
      <start>17</start>
      <end>18</end>
      <status>unmodified</status>
      <modifiedWord/>
      <trackRevisions>false</trackRevisions>
    </reviewItem>
    <reviewItem>
      <errorID>2fcab866-71b0-4e15-afc2-2aedff05d261</errorID>
      <errorWord>)</errorWord>
      <group>L1_Format</group>
      <groupName>格式问题</groupName>
      <ability>L2_HalfPunc</ability>
      <abilityName>全半角检查</abilityName>
      <candidateList>
        <item>）</item>
      </candidateList>
      <explain>文本全半角错误。</explain>
      <paraID>4053F7B9</paraID>
      <start>23</start>
      <end>24</end>
      <status>unmodified</status>
      <modifiedWord/>
      <trackRevisions>false</trackRevisions>
    </reviewItem>
    <reviewItem>
      <errorID>d3888923-d5b4-42fe-b560-9e5a1df00b9b</errorID>
      <errorWord>(</errorWord>
      <group>L1_Format</group>
      <groupName>格式问题</groupName>
      <ability>L2_HalfPunc</ability>
      <abilityName>全半角检查</abilityName>
      <candidateList>
        <item>（</item>
      </candidateList>
      <explain>文本全半角错误。</explain>
      <paraID>39872EEF</paraID>
      <start>4</start>
      <end>5</end>
      <status>unmodified</status>
      <modifiedWord/>
      <trackRevisions>false</trackRevisions>
    </reviewItem>
    <reviewItem>
      <errorID>928da406-1a41-4188-ae1a-912c81e0d422</errorID>
      <errorWord>)</errorWord>
      <group>L1_Format</group>
      <groupName>格式问题</groupName>
      <ability>L2_HalfPunc</ability>
      <abilityName>全半角检查</abilityName>
      <candidateList>
        <item>）</item>
      </candidateList>
      <explain>文本全半角错误。</explain>
      <paraID>39872EEF</paraID>
      <start>7</start>
      <end>8</end>
      <status>unmodified</status>
      <modifiedWord/>
      <trackRevisions>false</trackRevisions>
    </reviewItem>
    <reviewItem>
      <errorID>4edf6934-7388-48bf-a3e1-6d6c2c76f667</errorID>
      <errorWord>粘度</errorWord>
      <group>L1_Word</group>
      <groupName>字词问题</groupName>
      <ability>L2_Alias</ability>
      <abilityName>也作/曾用词</abilityName>
      <candidateList>
        <item>黏度</item>
      </candidateList>
      <explain>词汇[粘度]为不规范表述或旧称，其规范书面表述为[黏度]。</explain>
      <paraID>189E5194</paraID>
      <start>2</start>
      <end>4</end>
      <status>unmodified</status>
      <modifiedWord/>
      <trackRevisions>false</trackRevisions>
    </reviewItem>
    <reviewItem>
      <errorID>92a81aed-5efb-42e3-9cec-516bad74fd51</errorID>
      <errorWord>水</errorWord>
      <group>L1_Word</group>
      <groupName>字词问题</groupName>
      <ability>L2_Typo</ability>
      <abilityName>字词错误</abilityName>
      <candidateList>
        <item>水平</item>
      </candidateList>
      <explain>❶〈形〉属性词。跟水平面平行的：～方向。❷〈名〉在生产、生活、政治、思想、文化、艺术、技术、业务等方面所达到的高度：提高思想～和业务～。</explain>
      <paraID>4C890A1A</paraID>
      <start>2</start>
      <end>3</end>
      <status>unmodified</status>
      <modifiedWord/>
      <trackRevisions>false</trackRevisions>
    </reviewItem>
    <reviewItem>
      <errorID>e5b9b832-0dd2-4c2e-88ea-db6876856511</errorID>
      <errorWord>，</errorWord>
      <group>L1_Word</group>
      <groupName>字词问题</groupName>
      <ability>L2_Typo</ability>
      <abilityName>字词错误</abilityName>
      <candidateList>
        <item>，需</item>
      </candidateList>
      <explain/>
      <paraID>656D48E2</paraID>
      <start>20</start>
      <end>21</end>
      <status>unmodified</status>
      <modifiedWord/>
      <trackRevisions>false</trackRevisions>
    </reviewItem>
    <reviewItem>
      <errorID>903432c0-e2c5-476e-98e2-3a7dace681a6</errorID>
      <errorWord>"</errorWord>
      <group>L1_Format</group>
      <groupName>格式问题</groupName>
      <ability>L2_HalfPunc</ability>
      <abilityName>全半角检查</abilityName>
      <candidateList/>
      <explain>文本全半角错误。</explain>
      <paraID>46C64912</paraID>
      <start>174</start>
      <end>175</end>
      <status>unmodified</status>
      <modifiedWord/>
      <trackRevisions>false</trackRevisions>
    </reviewItem>
    <reviewItem>
      <errorID>880e4b00-0d35-4739-9ab2-049fe6476b80</errorID>
      <errorWord>"</errorWord>
      <group>L1_Format</group>
      <groupName>格式问题</groupName>
      <ability>L2_HalfPunc</ability>
      <abilityName>全半角检查</abilityName>
      <candidateList>
        <item>”</item>
      </candidateList>
      <explain>文本全半角错误。</explain>
      <paraID>46C64912</paraID>
      <start>189</start>
      <end>190</end>
      <status>unmodified</status>
      <modifiedWord/>
      <trackRevisions>false</trackRevisions>
    </reviewItem>
    <reviewItem>
      <errorID>7224ac04-455a-4ce6-803c-62bdee5f01a5</errorID>
      <errorWord>（</errorWord>
      <group>L1_Format</group>
      <groupName>格式问题</groupName>
      <ability>L2_HalfPunc</ability>
      <abilityName>全半角检查</abilityName>
      <candidateList>
        <item>(</item>
      </candidateList>
      <explain>文本全半角错误。</explain>
      <paraID>582213A7</paraID>
      <start>0</start>
      <end>1</end>
      <status>unmodified</status>
      <modifiedWord/>
      <trackRevisions>false</trackRevisions>
    </reviewItem>
    <reviewItem>
      <errorID>27ec2389-eaf2-4d19-9fa6-b48fedcccd14</errorID>
      <errorWord>）</errorWord>
      <group>L1_Format</group>
      <groupName>格式问题</groupName>
      <ability>L2_HalfPunc</ability>
      <abilityName>全半角检查</abilityName>
      <candidateList>
        <item>)</item>
      </candidateList>
      <explain>文本全半角错误。</explain>
      <paraID>582213A7</paraID>
      <start>3</start>
      <end>4</end>
      <status>unmodified</status>
      <modifiedWord/>
      <trackRevisions>false</trackRevisions>
    </reviewItem>
    <reviewItem>
      <errorID>ef3de914-a685-4eb2-9ce9-8edd46341eed</errorID>
      <errorWord>（</errorWord>
      <group>L1_Format</group>
      <groupName>格式问题</groupName>
      <ability>L2_HalfPunc</ability>
      <abilityName>全半角检查</abilityName>
      <candidateList>
        <item>(</item>
      </candidateList>
      <explain>文本全半角错误。</explain>
      <paraID>2012AA95</paraID>
      <start>0</start>
      <end>1</end>
      <status>unmodified</status>
      <modifiedWord/>
      <trackRevisions>false</trackRevisions>
    </reviewItem>
    <reviewItem>
      <errorID>c596f5b3-07cb-4b2a-94e4-ba36d5d5adb9</errorID>
      <errorWord>）</errorWord>
      <group>L1_Format</group>
      <groupName>格式问题</groupName>
      <ability>L2_HalfPunc</ability>
      <abilityName>全半角检查</abilityName>
      <candidateList>
        <item>)</item>
      </candidateList>
      <explain>文本全半角错误。</explain>
      <paraID>2012AA95</paraID>
      <start>3</start>
      <end>4</end>
      <status>unmodified</status>
      <modifiedWord/>
      <trackRevisions>false</trackRevisions>
    </reviewItem>
    <reviewItem>
      <errorID>77b0134c-a182-4a4c-9aed-eb2a9c2a6dd6</errorID>
      <errorWord>环空</errorWord>
      <group>L1_Word</group>
      <groupName>字词问题</groupName>
      <ability>L2_Typo</ability>
      <abilityName>字词错误</abilityName>
      <candidateList>
        <item>环孔</item>
      </candidateList>
      <explain/>
      <paraID> E95C6B3</paraID>
      <start>26</start>
      <end>28</end>
      <status>unmodified</status>
      <modifiedWord/>
      <trackRevisions>false</trackRevisions>
    </reviewItem>
    <reviewItem>
      <errorID>f1306a6b-f681-4442-ba69-2a3d0e7191a2</errorID>
      <errorWord>注入到</errorWord>
      <group>L1_Word</group>
      <groupName>字词问题</groupName>
      <ability>L2_Typo</ability>
      <abilityName>字词错误</abilityName>
      <candidateList>
        <item>注入</item>
      </candidateList>
      <explain/>
      <paraID>22F471F5</paraID>
      <start>85</start>
      <end>88</end>
      <status>unmodified</status>
      <modifiedWord/>
      <trackRevisions>false</trackRevisions>
    </reviewItem>
    <reviewItem>
      <errorID>9b86e744-a033-4574-827b-648d36b3054e</errorID>
      <errorWord>两个</errorWord>
      <group>L1_Word</group>
      <groupName>字词问题</groupName>
      <ability>L2_Typo</ability>
      <abilityName>字词错误</abilityName>
      <candidateList>
        <item>两道</item>
      </candidateList>
      <explain/>
      <paraID>195C939B</paraID>
      <start>11</start>
      <end>13</end>
      <status>unmodified</status>
      <modifiedWord/>
      <trackRevisions>false</trackRevisions>
    </reviewItem>
    <reviewItem>
      <errorID>f1323729-c423-44bb-9815-7d188a99f775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3789753F</paraID>
      <start>141</start>
      <end>142</end>
      <status>unmodified</status>
      <modifiedWord/>
      <trackRevisions>false</trackRevisions>
    </reviewItem>
    <reviewItem>
      <errorID>3ace1b0c-3cb2-4bfc-9da8-88cbf020faae</errorID>
      <errorWord>木垒县</errorWord>
      <group>L1_Knowledge</group>
      <groupName>知识性问题</groupName>
      <ability>L2_Location</ability>
      <abilityName>地名检查</abilityName>
      <candidateList>
        <item>木垒哈萨克自治县</item>
      </candidateList>
      <explain>自治区州县缩写不规范。《地名管理条例》第十八条规定，标识牌、公共平台发布的信息、各类公文证件、学习类公开出版物、地图、法律法规规定等场景范围内必须使用标准地名。</explain>
      <paraID>7A9819CC</paraID>
      <start>14</start>
      <end>17</end>
      <status>unmodified</status>
      <modifiedWord/>
      <trackRevisions>false</trackRevisions>
    </reviewItem>
    <reviewItem>
      <errorID>18d1deb1-fd6c-49b9-8e21-606ae0ef0fe2</errorID>
      <errorWord>(</errorWord>
      <group>L1_Format</group>
      <groupName>格式问题</groupName>
      <ability>L2_HalfPunc</ability>
      <abilityName>全半角检查</abilityName>
      <candidateList>
        <item>（</item>
      </candidateList>
      <explain>文本全半角错误。</explain>
      <paraID>4FA07960</paraID>
      <start>29</start>
      <end>30</end>
      <status>unmodified</status>
      <modifiedWord/>
      <trackRevisions>false</trackRevisions>
    </reviewItem>
    <reviewItem>
      <errorID>c2b58225-68e3-4a70-88c1-3fb301bdbb0f</errorID>
      <errorWord>)</errorWord>
      <group>L1_Format</group>
      <groupName>格式问题</groupName>
      <ability>L2_HalfPunc</ability>
      <abilityName>全半角检查</abilityName>
      <candidateList>
        <item>）</item>
      </candidateList>
      <explain>文本全半角错误。</explain>
      <paraID>4FA07960</paraID>
      <start>31</start>
      <end>32</end>
      <status>unmodified</status>
      <modifiedWord/>
      <trackRevisions>false</trackRevisions>
    </reviewItem>
    <reviewItem>
      <errorID>06fcd5e6-e4a8-4a89-af90-f756fd8be760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5D793240</paraID>
      <start>78</start>
      <end>79</end>
      <status>unmodified</status>
      <modifiedWord/>
      <trackRevisions>false</trackRevisions>
    </reviewItem>
    <reviewItem>
      <errorID>8a144d56-aca8-4ed4-b8c2-15d1cc2f60dc</errorID>
      <errorWord>(</errorWord>
      <group>L1_Format</group>
      <groupName>格式问题</groupName>
      <ability>L2_HalfPunc</ability>
      <abilityName>全半角检查</abilityName>
      <candidateList>
        <item>（</item>
      </candidateList>
      <explain>文本全半角错误。</explain>
      <paraID>3309459D</paraID>
      <start>4</start>
      <end>5</end>
      <status>unmodified</status>
      <modifiedWord/>
      <trackRevisions>false</trackRevisions>
    </reviewItem>
    <reviewItem>
      <errorID>05c17231-daa5-452f-b5cc-1f94f78949b0</errorID>
      <errorWord>(</errorWord>
      <group>L1_Format</group>
      <groupName>格式问题</groupName>
      <ability>L2_HalfPunc</ability>
      <abilityName>全半角检查</abilityName>
      <candidateList>
        <item>（</item>
      </candidateList>
      <explain>文本全半角错误。</explain>
      <paraID> 5C062D1</paraID>
      <start>3</start>
      <end>4</end>
      <status>unmodified</status>
      <modifiedWord/>
      <trackRevisions>false</trackRevisions>
    </reviewItem>
    <reviewItem>
      <errorID>d8149f4f-c652-4a65-a289-a8add931c05b</errorID>
      <errorWord>-</errorWord>
      <group>L1_Format</group>
      <groupName>格式问题</groupName>
      <ability>L2_HalfPunc</ability>
      <abilityName>全半角检查</abilityName>
      <candidateList>
        <item>－</item>
      </candidateList>
      <explain>文本全半角错误。</explain>
      <paraID>199C0CD7</paraID>
      <start>39</start>
      <end>40</end>
      <status>unmodified</status>
      <modifiedWord/>
      <trackRevisions>false</trackRevisions>
    </reviewItem>
    <reviewItem>
      <errorID>69d1f6d1-19a2-4a8f-a792-950b35ea7db7</errorID>
      <errorWord>(</errorWord>
      <group>L1_Format</group>
      <groupName>格式问题</groupName>
      <ability>L2_HalfPunc</ability>
      <abilityName>全半角检查</abilityName>
      <candidateList>
        <item>（</item>
      </candidateList>
      <explain>文本全半角错误。</explain>
      <paraID>4FC52A59</paraID>
      <start>12</start>
      <end>13</end>
      <status>unmodified</status>
      <modifiedWord/>
      <trackRevisions>false</trackRevisions>
    </reviewItem>
    <reviewItem>
      <errorID>62b73634-4317-4ef5-82a9-55816dc8eda6</errorID>
      <errorWord>)</errorWord>
      <group>L1_Format</group>
      <groupName>格式问题</groupName>
      <ability>L2_HalfPunc</ability>
      <abilityName>全半角检查</abilityName>
      <candidateList>
        <item>）</item>
      </candidateList>
      <explain>文本全半角错误。</explain>
      <paraID>4FC52A59</paraID>
      <start>24</start>
      <end>25</end>
      <status>unmodified</status>
      <modifiedWord/>
      <trackRevisions>false</trackRevisions>
    </reviewItem>
    <reviewItem>
      <errorID>ee00ee2f-38b4-4803-bbf0-bb030c31d086</errorID>
      <errorWord>(</errorWord>
      <group>L1_Format</group>
      <groupName>格式问题</groupName>
      <ability>L2_HalfPunc</ability>
      <abilityName>全半角检查</abilityName>
      <candidateList>
        <item>（</item>
      </candidateList>
      <explain>文本全半角错误。</explain>
      <paraID>40B817F8</paraID>
      <start>9</start>
      <end>10</end>
      <status>unmodified</status>
      <modifiedWord/>
      <trackRevisions>false</trackRevisions>
    </reviewItem>
    <reviewItem>
      <errorID>0df07c01-a726-47a6-ab1f-081d74d0699c</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72C1939B</paraID>
      <start>15</start>
      <end>16</end>
      <status>unmodified</status>
      <modifiedWord/>
      <trackRevisions>false</trackRevisions>
    </reviewItem>
    <reviewItem>
      <errorID>3d311872-29b5-48a4-b571-dfa29447554e</errorID>
      <errorWord>《土壤环境质量建设用地土壤污染风险管控标准》（试行）</errorWord>
      <group>L1_Knowledge</group>
      <groupName>知识性问题</groupName>
      <ability>L2_Knowledge</ability>
      <abilityName>其他知识</abilityName>
      <candidateList>
        <item>《土壤环境质量建设用地土壤污染风险管控标准（试行）》</item>
      </candidateList>
      <explain>疑似政策文件、法律法规名称等书写不规范，请注意检查。</explain>
      <paraID> 748A8DC</paraID>
      <start>16</start>
      <end>42</end>
      <status>unmodified</status>
      <modifiedWord/>
      <trackRevisions>false</trackRevisions>
    </reviewItem>
    <reviewItem>
      <errorID>2fc0ad68-2471-4e3b-8961-bac629b4931e</errorID>
      <errorWord>)</errorWord>
      <group>L1_Format</group>
      <groupName>格式问题</groupName>
      <ability>L2_HalfPunc</ability>
      <abilityName>全半角检查</abilityName>
      <candidateList>
        <item>）</item>
      </candidateList>
      <explain>文本全半角错误。</explain>
      <paraID> 748A8DC</paraID>
      <start>107</start>
      <end>108</end>
      <status>unmodified</status>
      <modifiedWord/>
      <trackRevisions>false</trackRevisions>
    </reviewItem>
    <reviewItem>
      <errorID>06bf0935-d234-4268-827b-cf686c77fbfd</errorID>
      <errorWord>：</errorWord>
      <group>L1_Format</group>
      <groupName>格式问题</groupName>
      <ability>L2_HalfPunc</ability>
      <abilityName>全半角检查</abilityName>
      <candidateList>
        <item>:</item>
      </candidateList>
      <explain>文本全半角错误。</explain>
      <paraID>650F1B0C</paraID>
      <start>33</start>
      <end>34</end>
      <status>unmodified</status>
      <modifiedWord/>
      <trackRevisions>false</trackRevisions>
    </reviewItem>
    <reviewItem>
      <errorID>a1fa902f-f9cd-47d4-af2b-935d80c6e0b2</errorID>
      <errorWord>：</errorWord>
      <group>L1_Format</group>
      <groupName>格式问题</groupName>
      <ability>L2_HalfPunc</ability>
      <abilityName>全半角检查</abilityName>
      <candidateList>
        <item>:</item>
      </candidateList>
      <explain>文本全半角错误。</explain>
      <paraID>650F1B0C</paraID>
      <start>45</start>
      <end>46</end>
      <status>unmodified</status>
      <modifiedWord/>
      <trackRevisions>false</trackRevisions>
    </reviewItem>
    <reviewItem>
      <errorID>4ba1b0ea-4b2d-4974-ac3f-c13be390f8f1</errorID>
      <errorWord>：</errorWord>
      <group>L1_Format</group>
      <groupName>格式问题</groupName>
      <ability>L2_HalfPunc</ability>
      <abilityName>全半角检查</abilityName>
      <candidateList>
        <item>:</item>
      </candidateList>
      <explain>文本全半角错误。</explain>
      <paraID>650F1B0C</paraID>
      <start>58</start>
      <end>59</end>
      <status>unmodified</status>
      <modifiedWord/>
      <trackRevisions>false</trackRevisions>
    </reviewItem>
    <reviewItem>
      <errorID>1838de3e-c7cd-4d90-ac47-1fb9083bdf70</errorID>
      <errorWord>：</errorWord>
      <group>L1_Format</group>
      <groupName>格式问题</groupName>
      <ability>L2_HalfPunc</ability>
      <abilityName>全半角检查</abilityName>
      <candidateList>
        <item>:</item>
      </candidateList>
      <explain>文本全半角错误。</explain>
      <paraID>650F1B0C</paraID>
      <start>72</start>
      <end>73</end>
      <status>unmodified</status>
      <modifiedWord/>
      <trackRevisions>false</trackRevisions>
    </reviewItem>
    <reviewItem>
      <errorID>7cd34b0b-f817-481e-8e6c-a43285e17ca0</errorID>
      <errorWord>(</errorWord>
      <group>L1_Format</group>
      <groupName>格式问题</groupName>
      <ability>L2_HalfPunc</ability>
      <abilityName>全半角检查</abilityName>
      <candidateList>
        <item>（</item>
      </candidateList>
      <explain>文本全半角错误。</explain>
      <paraID>288FC999</paraID>
      <start>37</start>
      <end>38</end>
      <status>unmodified</status>
      <modifiedWord/>
      <trackRevisions>false</trackRevisions>
    </reviewItem>
    <reviewItem>
      <errorID>696c73e7-5ec1-4788-9571-e864ff9dc23e</errorID>
      <errorWord>)</errorWord>
      <group>L1_Format</group>
      <groupName>格式问题</groupName>
      <ability>L2_HalfPunc</ability>
      <abilityName>全半角检查</abilityName>
      <candidateList>
        <item>）</item>
      </candidateList>
      <explain>文本全半角错误。</explain>
      <paraID>73D0FC64</paraID>
      <start>35</start>
      <end>36</end>
      <status>unmodified</status>
      <modifiedWord/>
      <trackRevisions>false</trackRevisions>
    </reviewItem>
    <reviewItem>
      <errorID>0bec8071-d2c1-4162-824b-442ef3d51b71</errorID>
      <errorWord>)</errorWord>
      <group>L1_Format</group>
      <groupName>格式问题</groupName>
      <ability>L2_HalfPunc</ability>
      <abilityName>全半角检查</abilityName>
      <candidateList>
        <item>）</item>
      </candidateList>
      <explain>文本全半角错误。</explain>
      <paraID>2EF28835</paraID>
      <start>34</start>
      <end>35</end>
      <status>unmodified</status>
      <modifiedWord/>
      <trackRevisions>false</trackRevisions>
    </reviewItem>
    <reviewItem>
      <errorID>a10283f8-2e70-4e57-8a38-c4856f07f0a0</errorID>
      <errorWord>目</errorWord>
      <group>L1_Word</group>
      <groupName>字词问题</groupName>
      <ability>L2_Typo</ability>
      <abilityName>字词错误</abilityName>
      <candidateList>
        <item>目在</item>
      </candidateList>
      <explain/>
      <paraID>775F5EDD</paraID>
      <start>2</start>
      <end>3</end>
      <status>unmodified</status>
      <modifiedWord/>
      <trackRevisions>false</trackRevisions>
    </reviewItem>
    <reviewItem>
      <errorID>f522fda1-dd23-48d7-a398-8a45c259cb1e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5E149F19</paraID>
      <start>90</start>
      <end>91</end>
      <status>unmodified</status>
      <modifiedWord/>
      <trackRevisions>false</trackRevisions>
    </reviewItem>
    <reviewItem>
      <errorID>bbcdb5ca-0515-4e6c-8215-b0423f210534</errorID>
      <errorWord>来自于</errorWord>
      <group>L1_Word</group>
      <groupName>字词问题</groupName>
      <ability>L2_Typo</ability>
      <abilityName>字词错误</abilityName>
      <candidateList>
        <item>来自</item>
      </candidateList>
      <explain/>
      <paraID>49F07D17</paraID>
      <start>37</start>
      <end>40</end>
      <status>unmodified</status>
      <modifiedWord/>
      <trackRevisions>false</trackRevisions>
    </reviewItem>
    <reviewItem>
      <errorID>9fc9aa34-36f1-4c03-a3f2-3335bf3c880d</errorID>
      <errorWord>野生植被</errorWord>
      <group>L1_Knowledge</group>
      <groupName>知识性问题</groupName>
      <ability>L2_Term</ability>
      <abilityName>专业术语</abilityName>
      <candidateList>
        <item>原生植被</item>
      </candidateList>
      <explain/>
      <paraID>4C5AB92A</paraID>
      <start>48</start>
      <end>52</end>
      <status>unmodified</status>
      <modifiedWord/>
      <trackRevisions>false</trackRevisions>
    </reviewItem>
    <reviewItem>
      <errorID>51a782da-c257-44ec-8da5-5c2d1cc75b65</errorID>
      <errorWord>随</errorWord>
      <group>L1_Word</group>
      <groupName>字词问题</groupName>
      <ability>L2_Typo</ability>
      <abilityName>字词错误</abilityName>
      <candidateList>
        <item>随着</item>
      </candidateList>
      <explain/>
      <paraID>1BCBB9AF</paraID>
      <start>314</start>
      <end>315</end>
      <status>unmodified</status>
      <modifiedWord/>
      <trackRevisions>false</trackRevisions>
    </reviewItem>
    <reviewItem>
      <errorID>9663e62d-64ec-4c15-aaf8-e4e3144675f0</errorID>
      <errorWord>期</errorWord>
      <group>L1_Word</group>
      <groupName>字词问题</groupName>
      <ability>L2_Typo</ability>
      <abilityName>字词错误</abilityName>
      <candidateList>
        <item>期间</item>
      </candidateList>
      <explain>〈名〉某个时期里面：农忙～｜春节～｜抗战～。</explain>
      <paraID> 5622AED</paraID>
      <start>5</start>
      <end>6</end>
      <status>unmodified</status>
      <modifiedWord/>
      <trackRevisions>false</trackRevisions>
    </reviewItem>
    <reviewItem>
      <errorID>dbddffa1-c0e0-4f10-8623-f79b561d35f0</errorID>
      <errorWord>探</errorWord>
      <group>L1_Word</group>
      <groupName>字词问题</groupName>
      <ability>L2_Typo</ability>
      <abilityName>字词错误</abilityName>
      <candidateList>
        <item>沿</item>
      </candidateList>
      <explain>存在发音相近字词的误用。</explain>
      <paraID> 574A183</paraID>
      <start>5</start>
      <end>6</end>
      <status>unmodified</status>
      <modifiedWord/>
      <trackRevisions>false</trackRevisions>
    </reviewItem>
    <reviewItem>
      <errorID>93b88ffc-0f4c-49e6-84a6-3ff55ca19523</errorID>
      <errorWord>（</errorWord>
      <group>L1_Format</group>
      <groupName>格式问题</groupName>
      <ability>L2_HalfPunc</ability>
      <abilityName>全半角检查</abilityName>
      <candidateList>
        <item>(</item>
      </candidateList>
      <explain>文本全半角错误。</explain>
      <paraID>70EC3134</paraID>
      <start>5</start>
      <end>6</end>
      <status>unmodified</status>
      <modifiedWord/>
      <trackRevisions>false</trackRevisions>
    </reviewItem>
    <reviewItem>
      <errorID>bd577e64-1195-4ed6-8518-4da4bddfdf25</errorID>
      <errorWord>）</errorWord>
      <group>L1_Format</group>
      <groupName>格式问题</groupName>
      <ability>L2_HalfPunc</ability>
      <abilityName>全半角检查</abilityName>
      <candidateList>
        <item>)</item>
      </candidateList>
      <explain>文本全半角错误。</explain>
      <paraID>70EC3134</paraID>
      <start>8</start>
      <end>9</end>
      <status>unmodified</status>
      <modifiedWord/>
      <trackRevisions>false</trackRevisions>
    </reviewItem>
    <reviewItem>
      <errorID>feaf2f01-94f2-42b0-ac37-3f6bdf79d2d6</errorID>
      <errorWord>（</errorWord>
      <group>L1_Format</group>
      <groupName>格式问题</groupName>
      <ability>L2_HalfPunc</ability>
      <abilityName>全半角检查</abilityName>
      <candidateList>
        <item>(</item>
      </candidateList>
      <explain>文本全半角错误。</explain>
      <paraID>30288F1A</paraID>
      <start>5</start>
      <end>6</end>
      <status>unmodified</status>
      <modifiedWord/>
      <trackRevisions>false</trackRevisions>
    </reviewItem>
    <reviewItem>
      <errorID>b5b1eddd-be74-4af7-9801-3bf298c30b27</errorID>
      <errorWord>）</errorWord>
      <group>L1_Format</group>
      <groupName>格式问题</groupName>
      <ability>L2_HalfPunc</ability>
      <abilityName>全半角检查</abilityName>
      <candidateList>
        <item>)</item>
      </candidateList>
      <explain>文本全半角错误。</explain>
      <paraID>30288F1A</paraID>
      <start>8</start>
      <end>9</end>
      <status>unmodified</status>
      <modifiedWord/>
      <trackRevisions>false</trackRevisions>
    </reviewItem>
    <reviewItem>
      <errorID>f39f6334-025d-4c76-b6df-aa0a3f67ef15</errorID>
      <errorWord>（</errorWord>
      <group>L1_Format</group>
      <groupName>格式问题</groupName>
      <ability>L2_HalfPunc</ability>
      <abilityName>全半角检查</abilityName>
      <candidateList>
        <item>(</item>
      </candidateList>
      <explain>文本全半角错误。</explain>
      <paraID>1F06B1FD</paraID>
      <start>6</start>
      <end>7</end>
      <status>unmodified</status>
      <modifiedWord/>
      <trackRevisions>false</trackRevisions>
    </reviewItem>
    <reviewItem>
      <errorID>0490184c-f61e-43c1-89ee-e2f41f45a10d</errorID>
      <errorWord>）</errorWord>
      <group>L1_Format</group>
      <groupName>格式问题</groupName>
      <ability>L2_HalfPunc</ability>
      <abilityName>全半角检查</abilityName>
      <candidateList>
        <item>)</item>
      </candidateList>
      <explain>文本全半角错误。</explain>
      <paraID>1F06B1FD</paraID>
      <start>9</start>
      <end>10</end>
      <status>unmodified</status>
      <modifiedWord/>
      <trackRevisions>false</trackRevisions>
    </reviewItem>
    <reviewItem>
      <errorID>8d0bebcd-8ca8-4431-a94a-77667e2762cf</errorID>
      <errorWord>蒸气压</errorWord>
      <group>L1_Word</group>
      <groupName>字词问题</groupName>
      <ability>L2_Typo</ability>
      <abilityName>字词错误</abilityName>
      <candidateList>
        <item>蒸汽压</item>
      </candidateList>
      <explain/>
      <paraID> E090A99</paraID>
      <start>84</start>
      <end>87</end>
      <status>unmodified</status>
      <modifiedWord/>
      <trackRevisions>false</trackRevisions>
    </reviewItem>
    <reviewItem>
      <errorID>d96e9246-dc55-4173-8ee5-69523d2a7983</errorID>
      <errorWord>（</errorWord>
      <group>L1_Format</group>
      <groupName>格式问题</groupName>
      <ability>L2_HalfPunc</ability>
      <abilityName>全半角检查</abilityName>
      <candidateList>
        <item>(</item>
      </candidateList>
      <explain>文本全半角错误。</explain>
      <paraID>3AC168DE</paraID>
      <start>22</start>
      <end>23</end>
      <status>unmodified</status>
      <modifiedWord/>
      <trackRevisions>false</trackRevisions>
    </reviewItem>
    <reviewItem>
      <errorID>1e6d5a17-6bb5-40ca-b6cb-4ba5b6a6dd6e</errorID>
      <errorWord>，</errorWord>
      <group>L1_Format</group>
      <groupName>格式问题</groupName>
      <ability>L2_HalfPunc</ability>
      <abilityName>全半角检查</abilityName>
      <candidateList>
        <item>, </item>
      </candidateList>
      <explain>文本全半角错误。</explain>
      <paraID>3AC168DE</paraID>
      <start>41</start>
      <end>42</end>
      <status>unmodified</status>
      <modifiedWord/>
      <trackRevisions>false</trackRevisions>
    </reviewItem>
    <reviewItem>
      <errorID>6eab0ecf-0d6e-453c-a194-d548b7e28e11</errorID>
      <errorWord>）</errorWord>
      <group>L1_Format</group>
      <groupName>格式问题</groupName>
      <ability>L2_HalfPunc</ability>
      <abilityName>全半角检查</abilityName>
      <candidateList>
        <item>)</item>
      </candidateList>
      <explain>文本全半角错误。</explain>
      <paraID>3AC168DE</paraID>
      <start>50</start>
      <end>51</end>
      <status>unmodified</status>
      <modifiedWord/>
      <trackRevisions>false</trackRevisions>
    </reviewItem>
    <reviewItem>
      <errorID>99da2d37-2945-49c9-9faf-bc683c067033</errorID>
      <errorWord>-</errorWord>
      <group>L1_Format</group>
      <groupName>格式问题</groupName>
      <ability>L2_HalfPunc</ability>
      <abilityName>全半角检查</abilityName>
      <candidateList>
        <item>－</item>
      </candidateList>
      <explain>文本全半角错误。</explain>
      <paraID>26156F44</paraID>
      <start>65</start>
      <end>66</end>
      <status>unmodified</status>
      <modifiedWord/>
      <trackRevisions>false</trackRevisions>
    </reviewItem>
    <reviewItem>
      <errorID>ef03e146-ecc0-459c-a60b-f184ba813d1e</errorID>
      <errorWord>-</errorWord>
      <group>L1_Format</group>
      <groupName>格式问题</groupName>
      <ability>L2_HalfPunc</ability>
      <abilityName>全半角检查</abilityName>
      <candidateList>
        <item>－</item>
      </candidateList>
      <explain>文本全半角错误。</explain>
      <paraID>662B6D0A</paraID>
      <start>67</start>
      <end>68</end>
      <status>unmodified</status>
      <modifiedWord/>
      <trackRevisions>false</trackRevisions>
    </reviewItem>
    <reviewItem>
      <errorID>f4d4e9f8-b53f-47cf-aa66-3321155cb940</errorID>
      <errorWord>~</errorWord>
      <group>L1_Format</group>
      <groupName>格式问题</groupName>
      <ability>L2_HalfPunc</ability>
      <abilityName>全半角检查</abilityName>
      <candidateList>
        <item>～</item>
      </candidateList>
      <explain>文本全半角错误。</explain>
      <paraID>7524B723</paraID>
      <start>79</start>
      <end>80</end>
      <status>unmodified</status>
      <modifiedWord/>
      <trackRevisions>false</trackRevisions>
    </reviewItem>
    <reviewItem>
      <errorID>c5579214-ecd9-4ce0-b5e6-38ab933a4c6f</errorID>
      <errorWord>污</errorWord>
      <group>L1_Word</group>
      <groupName>字词问题</groupName>
      <ability>L2_Typo</ability>
      <abilityName>字词错误</abilityName>
      <candidateList>
        <item>污量</item>
      </candidateList>
      <explain/>
      <paraID>7524B723</paraID>
      <start>101</start>
      <end>102</end>
      <status>unmodified</status>
      <modifiedWord/>
      <trackRevisions>false</trackRevisions>
    </reviewItem>
    <reviewItem>
      <errorID>a253d05a-8b69-4d03-a5ca-cb17cf784f22</errorID>
      <errorWord>,</errorWord>
      <group>L1_Format</group>
      <groupName>格式问题</groupName>
      <ability>L2_HalfPunc</ability>
      <abilityName>全半角检查</abilityName>
      <candidateList>
        <item>，</item>
      </candidateList>
      <explain>文本全半角错误。</explain>
      <paraID>7524B723</paraID>
      <start>169</start>
      <end>170</end>
      <status>unmodified</status>
      <modifiedWord/>
      <trackRevisions>false</trackRevisions>
    </reviewItem>
    <reviewItem>
      <errorID>c3878b92-e8b7-4b6d-ab0f-760648a5d3f9</errorID>
      <errorWord>试油废水</errorWord>
      <group>L1_Knowledge</group>
      <groupName>知识性问题</groupName>
      <ability>L2_Term</ability>
      <abilityName>专业术语</abilityName>
      <candidateList>
        <item>含油废水</item>
      </candidateList>
      <explain/>
      <paraID>39EA5682</paraID>
      <start>0</start>
      <end>4</end>
      <status>unmodified</status>
      <modifiedWord/>
      <trackRevisions>false</trackRevisions>
    </reviewItem>
    <reviewItem>
      <errorID>2dbb0e0d-daaf-4b99-8662-8d5a9c87e2b8</errorID>
      <errorWord>下土深度</errorWord>
      <group>L1_Knowledge</group>
      <groupName>知识性问题</groupName>
      <ability>L2_Term</ability>
      <abilityName>专业术语</abilityName>
      <candidateList>
        <item>覆土深度</item>
      </candidateList>
      <explain/>
      <paraID>7D202F0B</paraID>
      <start>25</start>
      <end>29</end>
      <status>unmodified</status>
      <modifiedWord/>
      <trackRevisions>false</trackRevisions>
    </reviewItem>
    <reviewItem>
      <errorID>4babc688-a57c-4aea-b877-c3254339750f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507A628D</paraID>
      <start>66</start>
      <end>67</end>
      <status>unmodified</status>
      <modifiedWord/>
      <trackRevisions>false</trackRevisions>
    </reviewItem>
    <reviewItem>
      <errorID>6324bb8f-e63a-412e-a872-4a3a1de7e308</errorID>
      <errorWord>据类比资料显示</errorWord>
      <group>L1_Grammar</group>
      <groupName>语法问题</groupName>
      <ability>L2_Grammar</ability>
      <abilityName>语法错误</abilityName>
      <candidateList>
        <item>据类比资料</item>
      </candidateList>
      <explain/>
      <paraID>507A628D</paraID>
      <start>76</start>
      <end>83</end>
      <status>unmodified</status>
      <modifiedWord/>
      <trackRevisions>false</trackRevisions>
    </reviewItem>
    <reviewItem>
      <errorID>be16f371-3efc-45d1-a739-e73c45134a0d</errorID>
      <errorWord>（</errorWord>
      <group>L1_Format</group>
      <groupName>格式问题</groupName>
      <ability>L2_HalfPunc</ability>
      <abilityName>全半角检查</abilityName>
      <candidateList>
        <item>(</item>
      </candidateList>
      <explain>文本全半角错误。</explain>
      <paraID>2D298DEF</paraID>
      <start>0</start>
      <end>1</end>
      <status>unmodified</status>
      <modifiedWord/>
      <trackRevisions>false</trackRevisions>
    </reviewItem>
    <reviewItem>
      <errorID>85609d2f-a092-463e-b5d8-2e672390b3bb</errorID>
      <errorWord>）</errorWord>
      <group>L1_Format</group>
      <groupName>格式问题</groupName>
      <ability>L2_HalfPunc</ability>
      <abilityName>全半角检查</abilityName>
      <candidateList>
        <item>)</item>
      </candidateList>
      <explain>文本全半角错误。</explain>
      <paraID>2D298DEF</paraID>
      <start>3</start>
      <end>4</end>
      <status>unmodified</status>
      <modifiedWord/>
      <trackRevisions>false</trackRevisions>
    </reviewItem>
    <reviewItem>
      <errorID>c0add33f-7206-4722-9302-e9784b4ba5a8</errorID>
      <errorWord>（</errorWord>
      <group>L1_Format</group>
      <groupName>格式问题</groupName>
      <ability>L2_HalfPunc</ability>
      <abilityName>全半角检查</abilityName>
      <candidateList>
        <item>(</item>
      </candidateList>
      <explain>文本全半角错误。</explain>
      <paraID>41A59F74</paraID>
      <start>0</start>
      <end>1</end>
      <status>unmodified</status>
      <modifiedWord/>
      <trackRevisions>false</trackRevisions>
    </reviewItem>
    <reviewItem>
      <errorID>22c11459-598f-4975-b65c-420dde50d0be</errorID>
      <errorWord>）</errorWord>
      <group>L1_Format</group>
      <groupName>格式问题</groupName>
      <ability>L2_HalfPunc</ability>
      <abilityName>全半角检查</abilityName>
      <candidateList>
        <item>)</item>
      </candidateList>
      <explain>文本全半角错误。</explain>
      <paraID>41A59F74</paraID>
      <start>3</start>
      <end>4</end>
      <status>unmodified</status>
      <modifiedWord/>
      <trackRevisions>false</trackRevisions>
    </reviewItem>
    <reviewItem>
      <errorID>c750d112-4472-4264-accb-40ca0eadd119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7E71DCB2</paraID>
      <start>138</start>
      <end>139</end>
      <status>unmodified</status>
      <modifiedWord/>
      <trackRevisions>false</trackRevisions>
    </reviewItem>
    <reviewItem>
      <errorID>917bfd41-085d-4d28-bdf1-2e373bd0c59a</errorID>
      <errorWord>)</errorWord>
      <group>L1_Format</group>
      <groupName>格式问题</groupName>
      <ability>L2_HalfPunc</ability>
      <abilityName>全半角检查</abilityName>
      <candidateList>
        <item>）</item>
      </candidateList>
      <explain>文本全半角错误。</explain>
      <paraID>65B029F7</paraID>
      <start>9</start>
      <end>10</end>
      <status>unmodified</status>
      <modifiedWord/>
      <trackRevisions>false</trackRevisions>
    </reviewItem>
    <reviewItem>
      <errorID>acb7470a-e6df-4b3c-9ecf-2e96889067c4</errorID>
      <errorWord>（</errorWord>
      <group>L1_Format</group>
      <groupName>格式问题</groupName>
      <ability>L2_HalfPunc</ability>
      <abilityName>全半角检查</abilityName>
      <candidateList>
        <item>(</item>
      </candidateList>
      <explain>文本全半角错误。</explain>
      <paraID>75EEECEA</paraID>
      <start>0</start>
      <end>1</end>
      <status>unmodified</status>
      <modifiedWord/>
      <trackRevisions>false</trackRevisions>
    </reviewItem>
    <reviewItem>
      <errorID>dce13aa4-8050-48c7-aa0c-c5f7c7906c81</errorID>
      <errorWord>）</errorWord>
      <group>L1_Format</group>
      <groupName>格式问题</groupName>
      <ability>L2_HalfPunc</ability>
      <abilityName>全半角检查</abilityName>
      <candidateList>
        <item>)</item>
      </candidateList>
      <explain>文本全半角错误。</explain>
      <paraID>6A03B18F</paraID>
      <start>3</start>
      <end>4</end>
      <status>unmodified</status>
      <modifiedWord/>
      <trackRevisions>false</trackRevisions>
    </reviewItem>
    <reviewItem>
      <errorID>6c62fab8-44d7-4b74-8823-4a0d9120883c</errorID>
      <errorWord>（</errorWord>
      <group>L1_Format</group>
      <groupName>格式问题</groupName>
      <ability>L2_HalfPunc</ability>
      <abilityName>全半角检查</abilityName>
      <candidateList>
        <item>(</item>
      </candidateList>
      <explain>文本全半角错误。</explain>
      <paraID>3E27CC64</paraID>
      <start>0</start>
      <end>1</end>
      <status>unmodified</status>
      <modifiedWord/>
      <trackRevisions>false</trackRevisions>
    </reviewItem>
    <reviewItem>
      <errorID>84a196de-edbf-4a2b-8af5-e2272c076624</errorID>
      <errorWord>）</errorWord>
      <group>L1_Format</group>
      <groupName>格式问题</groupName>
      <ability>L2_HalfPunc</ability>
      <abilityName>全半角检查</abilityName>
      <candidateList>
        <item>)</item>
      </candidateList>
      <explain>文本全半角错误。</explain>
      <paraID>17D8EBBA</paraID>
      <start>3</start>
      <end>4</end>
      <status>unmodified</status>
      <modifiedWord/>
      <trackRevisions>false</trackRevisions>
    </reviewItem>
    <reviewItem>
      <errorID>53369c07-188f-4d30-8429-9fc40c4b9f5f</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3FB4E700</paraID>
      <start>51</start>
      <end>54</end>
      <status>unmodified</status>
      <modifiedWord/>
      <trackRevisions>false</trackRevisions>
    </reviewItem>
    <reviewItem>
      <errorID>08cfdfb7-46a2-496d-bdb0-dfc09a1aab05</errorID>
      <errorWord>1.1～6.4%</errorWord>
      <group>L1_Knowledge</group>
      <groupName>知识性问题</groupName>
      <ability>L2_Knowledge</ability>
      <abilityName>其他知识</abilityName>
      <candidateList>
        <item>1.1%～6.4%</item>
      </candidateList>
      <explain>1. “1.1～6.4%”中的单位“%”仅出现在后一个数字上，容易引起歧义；根据《现代汉语标点符号数字用法规范手册》，数字表示范围两边需要使用统一的格式。2. 根据标点国标 4.13 中的规则，数字、时间或地域连接符应使用（视觉上更长的）“—”或“～”。</explain>
      <paraID>1A0EB70E</paraID>
      <start>40</start>
      <end>49</end>
      <status>modified</status>
      <modifiedWord>1.1%～6.4%</modifiedWord>
      <trackRevisions>false</trackRevisions>
    </reviewItem>
    <reviewItem>
      <errorID>1201caee-1736-4120-af1c-d1d06dc65727</errorID>
      <errorWord>5～14%</errorWord>
      <group>L1_Knowledge</group>
      <groupName>知识性问题</groupName>
      <ability>L2_Knowledge</ability>
      <abilityName>其他知识</abilityName>
      <candidateList>
        <item>5%～14%</item>
      </candidateList>
      <explain>1. “5～14%”中的单位“%”仅出现在后一个数字上，容易引起歧义；根据《现代汉语标点符号数字用法规范手册》，数字表示范围两边需要使用统一的格式。2. 根据标点国标 4.13 中的规则，数字、时间或地域连接符应使用（视觉上更长的）“—”或“～”。</explain>
      <paraID>3C63CCD7</paraID>
      <start>19</start>
      <end>25</end>
      <status>modified</status>
      <modifiedWord>5%～14%</modifiedWord>
      <trackRevisions>false</trackRevisions>
    </reviewItem>
    <reviewItem>
      <errorID>aed3b137-9c94-49f1-86a5-76a67230e15f</errorID>
      <errorWord>(</errorWord>
      <group>L1_Format</group>
      <groupName>格式问题</groupName>
      <ability>L2_HalfPunc</ability>
      <abilityName>全半角检查</abilityName>
      <candidateList>
        <item>（</item>
      </candidateList>
      <explain>文本全半角错误。</explain>
      <paraID> B33DA88</paraID>
      <start>4</start>
      <end>5</end>
      <status>unmodified</status>
      <modifiedWord/>
      <trackRevisions>false</trackRevisions>
    </reviewItem>
    <reviewItem>
      <errorID>18a85faa-2d45-4551-9123-953cd357c424</errorID>
      <errorWord>)</errorWord>
      <group>L1_Format</group>
      <groupName>格式问题</groupName>
      <ability>L2_HalfPunc</ability>
      <abilityName>全半角检查</abilityName>
      <candidateList>
        <item>）</item>
      </candidateList>
      <explain>文本全半角错误。</explain>
      <paraID> B33DA88</paraID>
      <start>15</start>
      <end>16</end>
      <status>unmodified</status>
      <modifiedWord/>
      <trackRevisions>false</trackRevisions>
    </reviewItem>
    <reviewItem>
      <errorID>f47ed1a3-797e-4e72-ab18-37319ba890e1</errorID>
      <errorWord>(</errorWord>
      <group>L1_Format</group>
      <groupName>格式问题</groupName>
      <ability>L2_HalfPunc</ability>
      <abilityName>全半角检查</abilityName>
      <candidateList>
        <item>（</item>
      </candidateList>
      <explain>文本全半角错误。</explain>
      <paraID>5F535CFC</paraID>
      <start>17</start>
      <end>18</end>
      <status>unmodified</status>
      <modifiedWord/>
      <trackRevisions>false</trackRevisions>
    </reviewItem>
    <reviewItem>
      <errorID>0c5ad488-4242-43e3-8743-61967791fd35</errorID>
      <errorWord>)</errorWord>
      <group>L1_Format</group>
      <groupName>格式问题</groupName>
      <ability>L2_HalfPunc</ability>
      <abilityName>全半角检查</abilityName>
      <candidateList>
        <item>）</item>
      </candidateList>
      <explain>文本全半角错误。</explain>
      <paraID>5F535CFC</paraID>
      <start>23</start>
      <end>24</end>
      <status>unmodified</status>
      <modifiedWord/>
      <trackRevisions>false</trackRevisions>
    </reviewItem>
    <reviewItem>
      <errorID>d6755c28-847d-44a0-94a6-d4c62fe370e6</errorID>
      <errorWord>咳</errorWord>
      <group>L1_Word</group>
      <groupName>字词问题</groupName>
      <ability>L2_Typo</ability>
      <abilityName>字词错误</abilityName>
      <candidateList>
        <item>咳嗽</item>
      </candidateList>
      <explain/>
      <paraID> 55CC147</paraID>
      <start>48</start>
      <end>49</end>
      <status>unmodified</status>
      <modifiedWord/>
      <trackRevisions>false</trackRevisions>
    </reviewItem>
    <reviewItem>
      <errorID>b032593e-c67b-4398-a8c5-e4e1f3979f29</errorID>
      <errorWord>(</errorWord>
      <group>L1_Format</group>
      <groupName>格式问题</groupName>
      <ability>L2_HalfPunc</ability>
      <abilityName>全半角检查</abilityName>
      <candidateList>
        <item>（</item>
      </candidateList>
      <explain>文本全半角错误。</explain>
      <paraID> 55CC147</paraID>
      <start>96</start>
      <end>97</end>
      <status>unmodified</status>
      <modifiedWord/>
      <trackRevisions>false</trackRevisions>
    </reviewItem>
    <reviewItem>
      <errorID>6c5b8ef1-bd3f-4dc9-8c1b-fa245afb0519</errorID>
      <errorWord>)</errorWord>
      <group>L1_Format</group>
      <groupName>格式问题</groupName>
      <ability>L2_HalfPunc</ability>
      <abilityName>全半角检查</abilityName>
      <candidateList>
        <item>）</item>
      </candidateList>
      <explain>文本全半角错误。</explain>
      <paraID> 55CC147</paraID>
      <start>108</start>
      <end>109</end>
      <status>unmodified</status>
      <modifiedWord/>
      <trackRevisions>false</trackRevisions>
    </reviewItem>
    <reviewItem>
      <errorID>dec576b1-676a-4288-b385-8771df276c43</errorID>
      <errorWord>闪电型</errorWord>
      <group>L1_Word</group>
      <groupName>字词问题</groupName>
      <ability>L2_Typo</ability>
      <abilityName>字词错误</abilityName>
      <candidateList>
        <item>闪电性</item>
      </candidateList>
      <explain/>
      <paraID> 55CC147</paraID>
      <start>131</start>
      <end>134</end>
      <status>unmodified</status>
      <modifiedWord/>
      <trackRevisions>false</trackRevisions>
    </reviewItem>
    <reviewItem>
      <errorID>510da396-c1cd-48db-be43-cf201267e5fb</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 55CC147</paraID>
      <start>173</start>
      <end>177</end>
      <status>unmodified</status>
      <modifiedWord/>
      <trackRevisions>false</trackRevisions>
    </reviewItem>
    <reviewItem>
      <errorID>89fe30d8-2ba9-4369-91de-2fafb4642181</errorID>
      <errorWord>系乱</errorWord>
      <group>L1_Word</group>
      <groupName>字词问题</groupName>
      <ability>L2_Typo</ability>
      <abilityName>字词错误</abilityName>
      <candidateList>
        <item>紊乱</item>
      </candidateList>
      <explain>〈形〉杂乱；纷乱：秩序～｜思路～。</explain>
      <paraID> 55CC147</paraID>
      <start>179</start>
      <end>181</end>
      <status>modified</status>
      <modifiedWord>紊乱</modifiedWord>
      <trackRevisions>false</trackRevisions>
    </reviewItem>
    <reviewItem>
      <errorID>5a0956c7-f98a-4e53-9144-da40af330019</errorID>
      <errorWord>其它</errorWord>
      <group>L1_Word</group>
      <groupName>字词问题</groupName>
      <ability>L2_Alias</ability>
      <abilityName>也作/曾用词</abilityName>
      <candidateList>
        <item>其他</item>
      </candidateList>
      <explain>词汇[其它]为不规范表述或旧称，其规范书面表述为[其他]。</explain>
      <paraID>526F7FCF</paraID>
      <start>42</start>
      <end>44</end>
      <status>unmodified</status>
      <modifiedWord/>
      <trackRevisions>false</trackRevisions>
    </reviewItem>
    <reviewItem>
      <errorID>7eec72e8-99c6-4804-945b-4c458b180869</errorID>
      <errorWord>据类比资料显示</errorWord>
      <group>L1_Grammar</group>
      <groupName>语法问题</groupName>
      <ability>L2_Grammar</ability>
      <abilityName>语法错误</abilityName>
      <candidateList>
        <item>据类比资料</item>
      </candidateList>
      <explain/>
      <paraID>6E98A1EE</paraID>
      <start>33</start>
      <end>40</end>
      <status>unmodified</status>
      <modifiedWord/>
      <trackRevisions>false</trackRevisions>
    </reviewItem>
    <reviewItem>
      <errorID>76a54bf2-aded-45fb-a7cc-1c327eba8e81</errorID>
      <errorWord>人口稀少</errorWord>
      <group>L1_Knowledge</group>
      <groupName>知识性问题</groupName>
      <ability>L2_Idiom</ability>
      <abilityName>成语和诗歌</abilityName>
      <candidateList>
        <item>人烟稀少</item>
      </candidateList>
      <explain/>
      <paraID>6E98A1EE</paraID>
      <start>94</start>
      <end>98</end>
      <status>unmodified</status>
      <modifiedWord/>
      <trackRevisions>false</trackRevisions>
    </reviewItem>
    <reviewItem>
      <errorID>3f0780d9-0eaa-4c52-b510-0bd682f7dda1</errorID>
      <errorWord>降低</errorWord>
      <group>L1_Grammar</group>
      <groupName>语法问题</groupName>
      <ability>L2_Grammar</ability>
      <abilityName>语法错误</abilityName>
      <candidateList>
        <item>防止</item>
      </candidateList>
      <explain>“降低～发生”搭配不当，建议修改为“防止～发生”。</explain>
      <paraID>3D696944</paraID>
      <start>278</start>
      <end>280</end>
      <status>unmodified</status>
      <modifiedWord/>
      <trackRevisions>false</trackRevisions>
    </reviewItem>
    <reviewItem>
      <errorID>a52766f5-93e6-4896-9007-21a70aec5609</errorID>
      <errorWord>粘附</errorWord>
      <group>L1_Word</group>
      <groupName>字词问题</groupName>
      <ability>L2_Alias</ability>
      <abilityName>也作/曾用词</abilityName>
      <candidateList>
        <item>黏附</item>
      </candidateList>
      <explain>词汇[粘附]为不规范表述或旧称，其规范书面表述为[黏附]。</explain>
      <paraID>4FB3DCFB</paraID>
      <start>28</start>
      <end>30</end>
      <status>unmodified</status>
      <modifiedWord/>
      <trackRevisions>false</trackRevisions>
    </reviewItem>
    <reviewItem>
      <errorID>1f9c0e7b-c84f-4375-a327-a30cd018d569</errorID>
      <errorWord>组份</errorWord>
      <group>L1_Word</group>
      <groupName>字词问题</groupName>
      <ability>L2_Variant</ability>
      <abilityName>异形词</abilityName>
      <candidateList>
        <item>组分</item>
      </candidateList>
      <explain>词汇[组份]的规范词形写作[组分]。</explain>
      <paraID>4FB3DCFB</paraID>
      <start>104</start>
      <end>106</end>
      <status>unmodified</status>
      <modifiedWord/>
      <trackRevisions>false</trackRevisions>
    </reviewItem>
    <reviewItem>
      <errorID>6932f3c0-db2a-4f02-abe7-1c0ccd875e98</errorID>
      <errorWord>洒落</errorWord>
      <group>L1_Word</group>
      <groupName>字词问题</groupName>
      <ability>L2_Typo</ability>
      <abilityName>字词错误</abilityName>
      <candidateList>
        <item>撒落</item>
      </candidateList>
      <explain/>
      <paraID>27C77569</paraID>
      <start>49</start>
      <end>51</end>
      <status>unmodified</status>
      <modifiedWord/>
      <trackRevisions>false</trackRevisions>
    </reviewItem>
    <reviewItem>
      <errorID>199a22f3-bc8c-4846-843c-7cbb3bd582d4</errorID>
      <errorWord>其环境影响评价</errorWord>
      <group>L1_Knowledge</group>
      <groupName>知识性问题</groupName>
      <ability>L2_Term</ability>
      <abilityName>专业术语</abilityName>
      <candidateList>
        <item>声环境影响评价</item>
      </candidateList>
      <explain/>
      <paraID>4C44F49B</paraID>
      <start>49</start>
      <end>56</end>
      <status>unmodified</status>
      <modifiedWord/>
      <trackRevisions>false</trackRevisions>
    </reviewItem>
    <reviewItem>
      <errorID>3d26a9ca-54dd-4183-9795-9ada6f099eb6</errorID>
      <errorWord>井井</errorWord>
      <group>L1_Word</group>
      <groupName>字词问题</groupName>
      <ability>L2_Typo</ability>
      <abilityName>字词错误</abilityName>
      <candidateList>
        <item>井</item>
      </candidateList>
      <explain/>
      <paraID>66D77B70</paraID>
      <start>1</start>
      <end>3</end>
      <status>unmodified</status>
      <modifiedWord/>
      <trackRevisions>false</trackRevisions>
    </reviewItem>
    <reviewItem>
      <errorID>312de2d7-65e5-4fdd-83cf-281f2754b5c0</errorID>
      <errorWord>可</errorWord>
      <group>L1_Word</group>
      <groupName>字词问题</groupName>
      <ability>L2_Typo</ability>
      <abilityName>字词错误</abilityName>
      <candidateList>
        <item>可得</item>
      </candidateList>
      <explain/>
      <paraID>73A761A2</paraID>
      <start>155</start>
      <end>157</end>
      <status>modified</status>
      <modifiedWord>可得</modifiedWord>
      <trackRevisions>false</trackRevisions>
    </reviewItem>
    <reviewItem>
      <errorID>45ae3632-7c43-403f-8a68-fdf8ecdb56df</errorID>
      <errorWord>稀疏壳</errorWord>
      <group>L1_Word</group>
      <groupName>字词问题</groupName>
      <ability>L2_Typo</ability>
      <abilityName>字词错误</abilityName>
      <candidateList>
        <item>稀疏</item>
      </candidateList>
      <explain/>
      <paraID>649788FB</paraID>
      <start>26</start>
      <end>28</end>
      <status>modified</status>
      <modifiedWord>稀疏</modifiedWord>
      <trackRevisions>false</trackRevisions>
    </reviewItem>
    <reviewItem>
      <errorID>d5ad430e-748d-4fda-80f3-4073c58219f1</errorID>
      <errorWord>减缓</errorWord>
      <group>L1_Grammar</group>
      <groupName>语法问题</groupName>
      <ability>L2_Grammar</ability>
      <abilityName>语法错误</abilityName>
      <candidateList>
        <item>减少</item>
      </candidateList>
      <explain>“最大限度～减缓”搭配不当，建议修改为“最大限度～减少”。</explain>
      <paraID>649788FB</paraID>
      <start>175</start>
      <end>177</end>
      <status>unmodified</status>
      <modifiedWord/>
      <trackRevisions>false</trackRevisions>
    </reviewItem>
    <reviewItem>
      <errorID>31467fa4-67ed-4b33-be5e-34511dcbae03</errorID>
      <errorWord>提高</errorWord>
      <group>L1_Grammar</group>
      <groupName>语法问题</groupName>
      <ability>L2_Grammar</ability>
      <abilityName>语法错误</abilityName>
      <candidateList>
        <item>增强</item>
      </candidateList>
      <explain>“提高～意识”搭配不当，建议修改为“增强～意识”。</explain>
      <paraID>66F84362</paraID>
      <start>18</start>
      <end>20</end>
      <status>unmodified</status>
      <modifiedWord/>
      <trackRevisions>false</trackRevisions>
    </reviewItem>
    <reviewItem>
      <errorID>b500ee25-ad09-4715-803e-bfac3f6a413a</errorID>
      <errorWord>，</errorWord>
      <group>L1_Word</group>
      <groupName>字词问题</groupName>
      <ability>L2_Typo</ability>
      <abilityName>字词错误</abilityName>
      <candidateList>
        <item>，对</item>
      </candidateList>
      <explain/>
      <paraID>6DFDA10A</paraID>
      <start>14</start>
      <end>15</end>
      <status>unmodified</status>
      <modifiedWord/>
      <trackRevisions>false</trackRevisions>
    </reviewItem>
    <reviewItem>
      <errorID>5d01f89d-2b1c-422a-afd6-97c7824b3502</errorID>
      <errorWord>）中</errorWord>
      <group>L1_Word</group>
      <groupName>字词问题</groupName>
      <ability>L2_Typo</ability>
      <abilityName>字词错误</abilityName>
      <candidateList>
        <item>）</item>
      </candidateList>
      <explain/>
      <paraID>63DDEC87</paraID>
      <start>43</start>
      <end>45</end>
      <status>unmodified</status>
      <modifiedWord/>
      <trackRevisions>false</trackRevisions>
    </reviewItem>
    <reviewItem>
      <errorID>e685b27d-45c2-4326-9bc5-571dcfabab52</errorID>
      <errorWord>以示明</errorWord>
      <group>L1_Word</group>
      <groupName>字词问题</groupName>
      <ability>L2_Typo</ability>
      <abilityName>字词错误</abilityName>
      <candidateList>
        <item>以示</item>
      </candidateList>
      <explain/>
      <paraID>69276442</paraID>
      <start>27</start>
      <end>30</end>
      <status>unmodified</status>
      <modifiedWord/>
      <trackRevisions>false</trackRevisions>
    </reviewItem>
    <reviewItem>
      <errorID>0af8b839-57c0-42f5-a97a-a87c7284f540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300957FF</paraID>
      <start>24</start>
      <end>27</end>
      <status>unmodified</status>
      <modifiedWord/>
      <trackRevisions>false</trackRevisions>
    </reviewItem>
    <reviewItem>
      <errorID>5e9d0ab7-1a0a-4cf4-974b-71be6bdc46e2</errorID>
      <errorWord>探</errorWord>
      <group>L1_Word</group>
      <groupName>字词问题</groupName>
      <ability>L2_Typo</ability>
      <abilityName>字词错误</abilityName>
      <candidateList>
        <item>沿</item>
      </candidateList>
      <explain>存在发音相近字词的误用。</explain>
      <paraID>300957FF</paraID>
      <start>102</start>
      <end>103</end>
      <status>unmodified</status>
      <modifiedWord/>
      <trackRevisions>false</trackRevisions>
    </reviewItem>
    <reviewItem>
      <errorID>42f2fe55-8229-4fbc-babe-d0752865d0a4</errorID>
      <errorWord>(</errorWord>
      <group>L1_Format</group>
      <groupName>格式问题</groupName>
      <ability>L2_HalfPunc</ability>
      <abilityName>全半角检查</abilityName>
      <candidateList>
        <item>（</item>
      </candidateList>
      <explain>文本全半角错误。</explain>
      <paraID>53CA1803</paraID>
      <start>25</start>
      <end>26</end>
      <status>unmodified</status>
      <modifiedWord/>
      <trackRevisions>false</trackRevisions>
    </reviewItem>
    <reviewItem>
      <errorID>598c32be-a8c0-4583-8fd1-c638029117f5</errorID>
      <errorWord>)</errorWord>
      <group>L1_Format</group>
      <groupName>格式问题</groupName>
      <ability>L2_HalfPunc</ability>
      <abilityName>全半角检查</abilityName>
      <candidateList>
        <item>）</item>
      </candidateList>
      <explain>文本全半角错误。</explain>
      <paraID>53CA1803</paraID>
      <start>36</start>
      <end>37</end>
      <status>unmodified</status>
      <modifiedWord/>
      <trackRevisions>false</trackRevisions>
    </reviewItem>
    <reviewItem>
      <errorID>299e566c-c79b-42c8-a9e2-418d5e743154</errorID>
      <errorWord>期</errorWord>
      <group>L1_Word</group>
      <groupName>字词问题</groupName>
      <ability>L2_Typo</ability>
      <abilityName>字词错误</abilityName>
      <candidateList>
        <item>期间</item>
      </candidateList>
      <explain>〈名〉某个时期里面：农忙～｜春节～｜抗战～。</explain>
      <paraID>783283BA</paraID>
      <start>103</start>
      <end>104</end>
      <status>unmodified</status>
      <modifiedWord/>
      <trackRevisions>false</trackRevisions>
    </reviewItem>
    <reviewItem>
      <errorID>fb58ea91-0a36-4123-9c80-04855491a6dd</errorID>
      <errorWord>0.6～0.7万</errorWord>
      <group>L1_Knowledge</group>
      <groupName>知识性问题</groupName>
      <ability>L2_Knowledge</ability>
      <abilityName>其他知识</abilityName>
      <candidateList>
        <item>0.6万～0.7万</item>
      </candidateList>
      <explain>1. “0.6～0.7万”中的单位“万”仅出现在后一个数字上，容易引起歧义；根据《现代汉语标点符号数字用法规范手册》，数字表示范围两边需要使用统一的格式。2.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176309B4</paraID>
      <start>197</start>
      <end>205</end>
      <status>unmodified</status>
      <modifiedWord/>
      <trackRevisions>false</trackRevisions>
    </reviewItem>
    <reviewItem>
      <errorID>c84a4c31-9013-4074-9ff2-0b139ca5f15a</errorID>
      <errorWord>0.3～0.4万</errorWord>
      <group>L1_Knowledge</group>
      <groupName>知识性问题</groupName>
      <ability>L2_Knowledge</ability>
      <abilityName>其他知识</abilityName>
      <candidateList>
        <item>0.3万～0.4万</item>
      </candidateList>
      <explain>1. “0.3～0.4万”中的单位“万”仅出现在后一个数字上，容易引起歧义；根据《现代汉语标点符号数字用法规范手册》，数字表示范围两边需要使用统一的格式。2.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176309B4</paraID>
      <start>351</start>
      <end>359</end>
      <status>unmodified</status>
      <modifiedWord/>
      <trackRevisions>false</trackRevisions>
    </reviewItem>
    <reviewItem>
      <errorID>0a9f3f69-239e-40d5-9d75-944c0a7b6a1c</errorID>
      <errorWord>，为</errorWord>
      <group>L1_Word</group>
      <groupName>字词问题</groupName>
      <ability>L2_Typo</ability>
      <abilityName>字词错误</abilityName>
      <candidateList>
        <item>，</item>
      </candidateList>
      <explain/>
      <paraID>4185CEAC</paraID>
      <start>26</start>
      <end>28</end>
      <status>unmodified</status>
      <modifiedWord/>
      <trackRevisions>false</trackRevisions>
    </reviewItem>
    <reviewItem>
      <errorID>4f959fdc-b3f6-411a-aa26-41ce32cd97ca</errorID>
      <errorWord>试油废水</errorWord>
      <group>L1_Knowledge</group>
      <groupName>知识性问题</groupName>
      <ability>L2_Term</ability>
      <abilityName>专业术语</abilityName>
      <candidateList>
        <item>含油废水</item>
      </candidateList>
      <explain/>
      <paraID>50939FEC</paraID>
      <start>220</start>
      <end>224</end>
      <status>unmodified</status>
      <modifiedWord/>
      <trackRevisions>false</trackRevisions>
    </reviewItem>
    <reviewItem>
      <errorID>490fa6dc-23c4-407c-a977-4a6bb089ceae</errorID>
      <errorWord>~</errorWord>
      <group>L1_Format</group>
      <groupName>格式问题</groupName>
      <ability>L2_HalfPunc</ability>
      <abilityName>全半角检查</abilityName>
      <candidateList>
        <item>～</item>
      </candidateList>
      <explain>文本全半角错误。</explain>
      <paraID>3D225076</paraID>
      <start>134</start>
      <end>135</end>
      <status>unmodified</status>
      <modifiedWord/>
      <trackRevisions>false</trackRevisions>
    </reviewItem>
    <reviewItem>
      <errorID>e637b315-53fe-4908-9f33-08c3b9d5d9e7</errorID>
      <errorWord>水泥浆返</errorWord>
      <group>L1_Knowledge</group>
      <groupName>知识性问题</groupName>
      <ability>L2_Term</ability>
      <abilityName>专业术语</abilityName>
      <candidateList>
        <item>水泥浆液</item>
      </candidateList>
      <explain/>
      <paraID> ADF3A0D</paraID>
      <start>35</start>
      <end>39</end>
      <status>unmodified</status>
      <modifiedWord/>
      <trackRevisions>false</trackRevisions>
    </reviewItem>
    <reviewItem>
      <errorID>0279c01b-8a8b-42fd-b939-0d875241ee4c</errorID>
      <errorWord>水泥浆均</errorWord>
      <group>L1_Knowledge</group>
      <groupName>知识性问题</groupName>
      <ability>L2_Term</ability>
      <abilityName>专业术语</abilityName>
      <candidateList>
        <item>水泥浆液</item>
      </candidateList>
      <explain/>
      <paraID>30C2BC52</paraID>
      <start>48</start>
      <end>52</end>
      <status>unmodified</status>
      <modifiedWord/>
      <trackRevisions>false</trackRevisions>
    </reviewItem>
    <reviewItem>
      <errorID>841121bd-c082-4c9c-87f4-1d88c20593be</errorID>
      <errorWord>固废废物</errorWord>
      <group>L1_Word</group>
      <groupName>字词问题</groupName>
      <ability>L2_Typo</ability>
      <abilityName>字词错误</abilityName>
      <candidateList>
        <item>固体废物</item>
      </candidateList>
      <explain/>
      <paraID>7AA08019</paraID>
      <start>3</start>
      <end>7</end>
      <status>modified</status>
      <modifiedWord>固体废物</modifiedWord>
      <trackRevisions>false</trackRevisions>
    </reviewItem>
    <reviewItem>
      <errorID>d4d8e565-0bae-443b-b81c-30e85e9503c9</errorID>
      <errorWord>发生能</errorWord>
      <group>L1_Word</group>
      <groupName>字词问题</groupName>
      <ability>L2_Typo</ability>
      <abilityName>字词错误</abilityName>
      <candidateList>
        <item>发生</item>
      </candidateList>
      <explain>〈动〉❶原来没有的事出现了；产生：～变化｜～事故｜～关系。❷卵子受精后逐渐生长。</explain>
      <paraID>69F70D8E</paraID>
      <start>60</start>
      <end>63</end>
      <status>unmodified</status>
      <modifiedWord/>
      <trackRevisions>false</trackRevisions>
    </reviewItem>
    <reviewItem>
      <errorID>369b61eb-70a6-475a-85d4-7673c7a20239</errorID>
      <errorWord>作好</errorWord>
      <group>L1_Word</group>
      <groupName>字词问题</groupName>
      <ability>L2_Typo</ability>
      <abilityName>字词错误</abilityName>
      <candidateList>
        <item>做好</item>
      </candidateList>
      <explain>存在发音相同字词的误用。</explain>
      <paraID> AA0E279</paraID>
      <start>134</start>
      <end>136</end>
      <status>unmodified</status>
      <modifiedWord/>
      <trackRevisions>false</trackRevisions>
    </reviewItem>
    <reviewItem>
      <errorID>7ddd54f1-9066-494e-aa26-65546c23c4c8</errorID>
      <errorWord>腐蚀余量</errorWord>
      <group>L1_Knowledge</group>
      <groupName>知识性问题</groupName>
      <ability>L2_Term</ability>
      <abilityName>专业术语</abilityName>
      <candidateList>
        <item>汽蚀余量</item>
      </candidateList>
      <explain/>
      <paraID>6D2F63B9</paraID>
      <start>32</start>
      <end>36</end>
      <status>unmodified</status>
      <modifiedWord/>
      <trackRevisions>false</trackRevisions>
    </reviewItem>
    <reviewItem>
      <errorID>c51245c9-85ad-4b61-b59b-01bbc6de550a</errorID>
      <errorWord>需</errorWord>
      <group>L1_Word</group>
      <groupName>字词问题</groupName>
      <ability>L2_Typo</ability>
      <abilityName>字词错误</abilityName>
      <candidateList>
        <item>须</item>
      </candidateList>
      <explain>存在发音相同字词的误用。</explain>
      <paraID>50CBA703</paraID>
      <start>7</start>
      <end>8</end>
      <status>unmodified</status>
      <modifiedWord/>
      <trackRevisions>false</trackRevisions>
    </reviewItem>
    <reviewItem>
      <errorID>c38ccfbb-df3d-4451-b989-49bf488d4e04</errorID>
      <errorWord>,</errorWord>
      <group>L1_Format</group>
      <groupName>格式问题</groupName>
      <ability>L2_HalfPunc</ability>
      <abilityName>全半角检查</abilityName>
      <candidateList>
        <item>，</item>
      </candidateList>
      <explain>文本全半角错误。</explain>
      <paraID>7E8B4E9D</paraID>
      <start>98</start>
      <end>99</end>
      <status>unmodified</status>
      <modifiedWord/>
      <trackRevisions>false</trackRevisions>
    </reviewItem>
    <reviewItem>
      <errorID>e3c1447a-8716-4f3f-865a-e18761f51034</errorID>
      <errorWord>作法</errorWord>
      <group>L1_Word</group>
      <groupName>字词问题</groupName>
      <ability>L2_Typo</ability>
      <abilityName>字词错误</abilityName>
      <candidateList>
        <item>做法</item>
      </candidateList>
      <explain>存在发音相同字词的误用。</explain>
      <paraID>7A7C9418</paraID>
      <start>155</start>
      <end>157</end>
      <status>unmodified</status>
      <modifiedWord/>
      <trackRevisions>false</trackRevisions>
    </reviewItem>
    <reviewItem>
      <errorID>26848e4e-9078-44f5-8a34-339d2d19ee0a</errorID>
      <errorWord>确保无</errorWord>
      <group>L1_Word</group>
      <groupName>字词问题</groupName>
      <ability>L2_Typo</ability>
      <abilityName>字词错误</abilityName>
      <candidateList>
        <item>确保</item>
      </candidateList>
      <explain>〈动〉确实地保持或保证：～交通畅通｜加强田间管理，～粮食丰收。</explain>
      <paraID>7A7C9418</paraID>
      <start>258</start>
      <end>261</end>
      <status>unmodified</status>
      <modifiedWord/>
      <trackRevisions>false</trackRevisions>
    </reviewItem>
    <reviewItem>
      <errorID>a03b50cf-5581-4e3c-b1eb-fcf02ae6b35f</errorID>
      <errorWord>优先回</errorWord>
      <group>L1_Word</group>
      <groupName>字词问题</groupName>
      <ability>L2_Typo</ability>
      <abilityName>字词错误</abilityName>
      <candidateList>
        <item>优先</item>
      </candidateList>
      <explain/>
      <paraID>59BE258B</paraID>
      <start>80</start>
      <end>83</end>
      <status>unmodified</status>
      <modifiedWord/>
      <trackRevisions>false</trackRevisions>
    </reviewItem>
    <reviewItem>
      <errorID>f1aee48e-5874-4e2e-b113-d12c207886ec</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28E094D5</paraID>
      <start>26</start>
      <end>28</end>
      <status>unmodified</status>
      <modifiedWord/>
      <trackRevisions>false</trackRevisions>
    </reviewItem>
    <reviewItem>
      <errorID>c925561a-453e-42b0-8fdf-e03fee8702ae</errorID>
      <errorWord>（</errorWord>
      <group>L1_Punc</group>
      <groupName>标点问题</groupName>
      <ability>L2_Punc</ability>
      <abilityName>标点符号检查</abilityName>
      <candidateList>
        <item/>
      </candidateList>
      <explain>同一形式括号套用。</explain>
      <paraID> E17EB97</paraID>
      <start>0</start>
      <end>1</end>
      <status>unmodified</status>
      <modifiedWord/>
      <trackRevisions>false</trackRevisions>
    </reviewItem>
    <reviewItem>
      <errorID>dc245dc4-ddd2-4678-a195-2752c8b7f5bc</errorID>
      <errorWord>(</errorWord>
      <group>L1_Punc</group>
      <groupName>标点问题</groupName>
      <ability>L2_Punc</ability>
      <abilityName>标点符号检查</abilityName>
      <candidateList/>
      <explain>同一形式括号套用。</explain>
      <paraID> E17EB97</paraID>
      <start>28</start>
      <end>29</end>
      <status>unmodified</status>
      <modifiedWord/>
      <trackRevisions>false</trackRevisions>
    </reviewItem>
    <reviewItem>
      <errorID>216f4cfe-4d68-42f5-94fd-c206103d9e2d</errorID>
      <errorWord>)</errorWord>
      <group>L1_Punc</group>
      <groupName>标点问题</groupName>
      <ability>L2_Punc</ability>
      <abilityName>标点符号检查</abilityName>
      <candidateList/>
      <explain>同一形式括号套用。</explain>
      <paraID> E17EB97</paraID>
      <start>34</start>
      <end>35</end>
      <status>unmodified</status>
      <modifiedWord/>
      <trackRevisions>false</trackRevisions>
    </reviewItem>
    <reviewItem>
      <errorID>c0e52fb1-0292-47fc-8dc9-3b0a34b6163c</errorID>
      <errorWord>）</errorWord>
      <group>L1_Punc</group>
      <groupName>标点问题</groupName>
      <ability>L2_Punc</ability>
      <abilityName>标点符号检查</abilityName>
      <candidateList/>
      <explain>同一形式括号套用。</explain>
      <paraID> E17EB97</paraID>
      <start>36</start>
      <end>37</end>
      <status>unmodified</status>
      <modifiedWord/>
      <trackRevisions>false</trackRevisions>
    </reviewItem>
    <reviewItem>
      <errorID>3ac741ed-24e4-43f5-a55a-e06ce30e6d7a</errorID>
      <errorWord>环评影响</errorWord>
      <group>L1_Word</group>
      <groupName>字词问题</groupName>
      <ability>L2_Typo</ability>
      <abilityName>字词错误</abilityName>
      <candidateList>
        <item>环境影响</item>
      </candidateList>
      <explain/>
      <paraID>46B5BE58</paraID>
      <start>0</start>
      <end>4</end>
      <status>modified</status>
      <modifiedWord>环境影响</modifiedWord>
      <trackRevisions>false</trackRevisions>
    </reviewItem>
    <reviewItem>
      <errorID>794faf14-46bd-4fec-91cf-603d4eece6ab</errorID>
      <errorWord>辗</errorWord>
      <group>L1_Word</group>
      <groupName>字词问题</groupName>
      <ability>L2_Typo</ability>
      <abilityName>字词错误</abilityName>
      <candidateList>
        <item>碾</item>
      </candidateList>
      <explain>存在发音相同字词的误用。</explain>
      <paraID> 377A5DC</paraID>
      <start>39</start>
      <end>40</end>
      <status>modified</status>
      <modifiedWord>碾</modifiedWord>
      <trackRevisions>false</trackRevisions>
    </reviewItem>
    <reviewItem>
      <errorID>282324f3-2b77-436f-a2e9-476ef559247a</errorID>
      <errorWord>探</errorWord>
      <group>L1_Word</group>
      <groupName>字词问题</groupName>
      <ability>L2_Typo</ability>
      <abilityName>字词错误</abilityName>
      <candidateList>
        <item>沿</item>
      </candidateList>
      <explain>存在发音相近字词的误用。</explain>
      <paraID>6C049925</paraID>
      <start>44</start>
      <end>45</end>
      <status>unmodified</status>
      <modifiedWord/>
      <trackRevisions>false</trackRevisions>
    </reviewItem>
    <reviewItem>
      <errorID>78d78109-ed3c-4f69-9427-5b1566ddfdc8</errorID>
      <errorWord>(</errorWord>
      <group>L1_Format</group>
      <groupName>格式问题</groupName>
      <ability>L2_HalfPunc</ability>
      <abilityName>全半角检查</abilityName>
      <candidateList>
        <item>（</item>
      </candidateList>
      <explain>文本全半角错误。</explain>
      <paraID>4E5FAE02</paraID>
      <start>108</start>
      <end>109</end>
      <status>unmodified</status>
      <modifiedWord/>
      <trackRevisions>false</trackRevisions>
    </reviewItem>
    <reviewItem>
      <errorID>8b1dcd2d-07b4-4df8-affe-47b18b114d3a</errorID>
      <errorWord>)</errorWord>
      <group>L1_Format</group>
      <groupName>格式问题</groupName>
      <ability>L2_HalfPunc</ability>
      <abilityName>全半角检查</abilityName>
      <candidateList>
        <item>）</item>
      </candidateList>
      <explain>文本全半角错误。</explain>
      <paraID>4E5FAE02</paraID>
      <start>121</start>
      <end>122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e2ddfd-6cfd-43df-b69e-486b3592e63c}">
  <ds:schemaRefs/>
</ds:datastoreItem>
</file>

<file path=docProps/app.xml><?xml version="1.0" encoding="utf-8"?>
<Properties xmlns="http://schemas.openxmlformats.org/officeDocument/2006/extended-properties" xmlns:vt="http://schemas.openxmlformats.org/officeDocument/2006/docPropsVTypes">
  <Template>Normal</Template>
  <Pages>106</Pages>
  <Words>5366</Words>
  <Characters>5746</Characters>
  <Lines>2898</Lines>
  <Paragraphs>2397</Paragraphs>
  <TotalTime>16</TotalTime>
  <ScaleCrop>false</ScaleCrop>
  <LinksUpToDate>false</LinksUpToDate>
  <CharactersWithSpaces>5824</CharactersWithSpaces>
  <Application>WPS Office_12.1.21938.21938_F1E327BC-269C-435d-A152-05C5408002CA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2025-07-04T19:49:00Z</dcterms:created>
  <dc:creator>Administrator</dc:creator>
  <cp:lastModifiedBy>Listen to me</cp:lastModifiedBy>
  <cp:lastPrinted>2026-01-20T09:42:00Z</cp:lastPrinted>
  <dcterms:modified xsi:type="dcterms:W3CDTF">2026-03-31T18:09:53Z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2025-07-11T17:57:40Z</vt:filetime>
  </property>
  <property fmtid="{D5CDD505-2E9C-101B-9397-08002B2CF9AE}" pid="4" name="KSOProductBuildVer">
    <vt:lpwstr>2052-12.1.21938.21938</vt:lpwstr>
  </property>
  <property fmtid="{D5CDD505-2E9C-101B-9397-08002B2CF9AE}" pid="5" name="ICV">
    <vt:lpwstr>831C131FC48E4017BE381DA6A1D173BF_12</vt:lpwstr>
  </property>
  <property fmtid="{D5CDD505-2E9C-101B-9397-08002B2CF9AE}" pid="6" name="KSOTemplateDocerSaveRecord">
    <vt:lpwstr>eyJoZGlkIjoiZmEwNTI4MTMxOWY2NWIzMWY3NWZlMDBiYWVhMTc4ZjkiLCJ1c2VySWQiOiIyMDcwMTQ0MzMifQ==</vt:lpwstr>
  </property>
</Properties>
</file>