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269E4">
      <w:pPr>
        <w:widowControl w:val="0"/>
        <w:kinsoku/>
        <w:jc w:val="center"/>
        <w:outlineLvl w:val="0"/>
        <w:rPr>
          <w:rFonts w:ascii="Times New Roman" w:hAnsi="Times New Roman" w:eastAsia="方正小标宋_GBK" w:cs="Times New Roman"/>
          <w:bCs/>
          <w:color w:val="auto"/>
          <w:sz w:val="72"/>
          <w:szCs w:val="72"/>
          <w:highlight w:val="none"/>
        </w:rPr>
      </w:pPr>
      <w:r>
        <w:rPr>
          <w:rFonts w:ascii="Times New Roman" w:hAnsi="Times New Roman" w:cs="Times New Roman"/>
          <w:color w:val="auto"/>
          <w:highlight w:val="none"/>
        </w:rPr>
        <mc:AlternateContent>
          <mc:Choice Requires="wps">
            <w:drawing>
              <wp:anchor distT="0" distB="0" distL="114300" distR="114300" simplePos="0" relativeHeight="251663360" behindDoc="1" locked="0" layoutInCell="1" allowOverlap="1">
                <wp:simplePos x="0" y="0"/>
                <wp:positionH relativeFrom="column">
                  <wp:posOffset>3695065</wp:posOffset>
                </wp:positionH>
                <wp:positionV relativeFrom="paragraph">
                  <wp:posOffset>383540</wp:posOffset>
                </wp:positionV>
                <wp:extent cx="1650365" cy="348615"/>
                <wp:effectExtent l="0" t="0" r="6985" b="13335"/>
                <wp:wrapTight wrapText="bothSides">
                  <wp:wrapPolygon>
                    <wp:start x="0" y="0"/>
                    <wp:lineTo x="0" y="20734"/>
                    <wp:lineTo x="21442" y="20734"/>
                    <wp:lineTo x="21442" y="0"/>
                    <wp:lineTo x="0" y="0"/>
                  </wp:wrapPolygon>
                </wp:wrapTight>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1650365" cy="348615"/>
                        </a:xfrm>
                        <a:prstGeom prst="rect">
                          <a:avLst/>
                        </a:prstGeom>
                        <a:solidFill>
                          <a:srgbClr val="FFFFFF"/>
                        </a:solidFill>
                        <a:ln>
                          <a:noFill/>
                        </a:ln>
                      </wps:spPr>
                      <wps:txbx>
                        <w:txbxContent>
                          <w:p w14:paraId="2F77A84F">
                            <w:pPr>
                              <w:rPr>
                                <w:rFonts w:hint="default" w:ascii="黑体" w:hAnsi="黑体" w:eastAsia="黑体"/>
                                <w:b/>
                                <w:bCs/>
                                <w:color w:val="000000" w:themeColor="text1"/>
                                <w:spacing w:val="24"/>
                                <w:sz w:val="30"/>
                                <w:szCs w:val="30"/>
                                <w:lang w:val="en-US" w:eastAsia="zh-CN"/>
                                <w14:textFill>
                                  <w14:solidFill>
                                    <w14:schemeClr w14:val="tx1"/>
                                  </w14:solidFill>
                                </w14:textFill>
                              </w:rPr>
                            </w:pPr>
                            <w:r>
                              <w:rPr>
                                <w:rFonts w:hint="eastAsia" w:ascii="黑体" w:hAnsi="黑体" w:eastAsia="黑体"/>
                                <w:b/>
                                <w:bCs/>
                                <w:color w:val="000000" w:themeColor="text1"/>
                                <w:spacing w:val="24"/>
                                <w:sz w:val="30"/>
                                <w:szCs w:val="30"/>
                                <w14:textFill>
                                  <w14:solidFill>
                                    <w14:schemeClr w14:val="tx1"/>
                                  </w14:solidFill>
                                </w14:textFill>
                              </w:rPr>
                              <w:t>D</w:t>
                            </w:r>
                            <w:r>
                              <w:rPr>
                                <w:rFonts w:ascii="黑体" w:hAnsi="黑体" w:eastAsia="黑体"/>
                                <w:b/>
                                <w:bCs/>
                                <w:color w:val="000000" w:themeColor="text1"/>
                                <w:spacing w:val="24"/>
                                <w:sz w:val="30"/>
                                <w:szCs w:val="30"/>
                                <w14:textFill>
                                  <w14:solidFill>
                                    <w14:schemeClr w14:val="tx1"/>
                                  </w14:solidFill>
                                </w14:textFill>
                              </w:rPr>
                              <w:t>HHP-0</w:t>
                            </w:r>
                            <w:r>
                              <w:rPr>
                                <w:rFonts w:hint="eastAsia" w:ascii="黑体" w:hAnsi="黑体" w:eastAsia="黑体"/>
                                <w:b/>
                                <w:bCs/>
                                <w:color w:val="000000" w:themeColor="text1"/>
                                <w:spacing w:val="24"/>
                                <w:sz w:val="30"/>
                                <w:szCs w:val="30"/>
                                <w:lang w:eastAsia="zh-CN"/>
                                <w14:textFill>
                                  <w14:solidFill>
                                    <w14:schemeClr w14:val="tx1"/>
                                  </w14:solidFill>
                                </w14:textFill>
                              </w:rPr>
                              <w:t>2</w:t>
                            </w:r>
                            <w:r>
                              <w:rPr>
                                <w:rFonts w:ascii="黑体" w:hAnsi="黑体" w:eastAsia="黑体"/>
                                <w:b/>
                                <w:bCs/>
                                <w:color w:val="000000" w:themeColor="text1"/>
                                <w:spacing w:val="24"/>
                                <w:sz w:val="30"/>
                                <w:szCs w:val="30"/>
                                <w14:textFill>
                                  <w14:solidFill>
                                    <w14:schemeClr w14:val="tx1"/>
                                  </w14:solidFill>
                                </w14:textFill>
                              </w:rPr>
                              <w:t>-25</w:t>
                            </w:r>
                            <w:r>
                              <w:rPr>
                                <w:rFonts w:hint="eastAsia" w:ascii="黑体" w:hAnsi="黑体" w:eastAsia="黑体"/>
                                <w:b/>
                                <w:bCs/>
                                <w:color w:val="000000" w:themeColor="text1"/>
                                <w:spacing w:val="24"/>
                                <w:sz w:val="30"/>
                                <w:szCs w:val="30"/>
                                <w:lang w:val="en-US" w:eastAsia="zh-CN"/>
                                <w14:textFill>
                                  <w14:solidFill>
                                    <w14:schemeClr w14:val="tx1"/>
                                  </w14:solidFill>
                                </w14:textFill>
                              </w:rPr>
                              <w:t>31</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0.95pt;margin-top:30.2pt;height:27.45pt;width:129.95pt;mso-wrap-distance-left:9pt;mso-wrap-distance-right:9pt;z-index:-251653120;mso-width-relative:page;mso-height-relative:page;" fillcolor="#FFFFFF" filled="t" stroked="f" coordsize="21600,21600" wrapcoords="0 0 0 20734 21442 20734 21442 0 0 0" o:gfxdata="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fLYPX&#10;AAAACgEAAA8AAAAAAAAAAQAgAAAAIgAAAGRycy9kb3ducmV2LnhtbFBLAQIUABQAAAAIAIdO4kCa&#10;MrjpIQIAADEEAAAOAAAAAAAAAAEAIAAAACYBAABkcnMvZTJvRG9jLnhtbFBLBQYAAAAABgAGAFkB&#10;AAC5BQAAAAA=&#10;">
                <v:fill on="t" focussize="0,0"/>
                <v:stroke on="f"/>
                <v:imagedata o:title=""/>
                <o:lock v:ext="edit" aspectratio="f"/>
                <v:textbox>
                  <w:txbxContent>
                    <w:p w14:paraId="2F77A84F">
                      <w:pPr>
                        <w:rPr>
                          <w:rFonts w:hint="default" w:ascii="黑体" w:hAnsi="黑体" w:eastAsia="黑体"/>
                          <w:b/>
                          <w:bCs/>
                          <w:color w:val="000000" w:themeColor="text1"/>
                          <w:spacing w:val="24"/>
                          <w:sz w:val="30"/>
                          <w:szCs w:val="30"/>
                          <w:lang w:val="en-US" w:eastAsia="zh-CN"/>
                          <w14:textFill>
                            <w14:solidFill>
                              <w14:schemeClr w14:val="tx1"/>
                            </w14:solidFill>
                          </w14:textFill>
                        </w:rPr>
                      </w:pPr>
                      <w:r>
                        <w:rPr>
                          <w:rFonts w:hint="eastAsia" w:ascii="黑体" w:hAnsi="黑体" w:eastAsia="黑体"/>
                          <w:b/>
                          <w:bCs/>
                          <w:color w:val="000000" w:themeColor="text1"/>
                          <w:spacing w:val="24"/>
                          <w:sz w:val="30"/>
                          <w:szCs w:val="30"/>
                          <w14:textFill>
                            <w14:solidFill>
                              <w14:schemeClr w14:val="tx1"/>
                            </w14:solidFill>
                          </w14:textFill>
                        </w:rPr>
                        <w:t>D</w:t>
                      </w:r>
                      <w:r>
                        <w:rPr>
                          <w:rFonts w:ascii="黑体" w:hAnsi="黑体" w:eastAsia="黑体"/>
                          <w:b/>
                          <w:bCs/>
                          <w:color w:val="000000" w:themeColor="text1"/>
                          <w:spacing w:val="24"/>
                          <w:sz w:val="30"/>
                          <w:szCs w:val="30"/>
                          <w14:textFill>
                            <w14:solidFill>
                              <w14:schemeClr w14:val="tx1"/>
                            </w14:solidFill>
                          </w14:textFill>
                        </w:rPr>
                        <w:t>HHP-0</w:t>
                      </w:r>
                      <w:r>
                        <w:rPr>
                          <w:rFonts w:hint="eastAsia" w:ascii="黑体" w:hAnsi="黑体" w:eastAsia="黑体"/>
                          <w:b/>
                          <w:bCs/>
                          <w:color w:val="000000" w:themeColor="text1"/>
                          <w:spacing w:val="24"/>
                          <w:sz w:val="30"/>
                          <w:szCs w:val="30"/>
                          <w:lang w:eastAsia="zh-CN"/>
                          <w14:textFill>
                            <w14:solidFill>
                              <w14:schemeClr w14:val="tx1"/>
                            </w14:solidFill>
                          </w14:textFill>
                        </w:rPr>
                        <w:t>2</w:t>
                      </w:r>
                      <w:r>
                        <w:rPr>
                          <w:rFonts w:ascii="黑体" w:hAnsi="黑体" w:eastAsia="黑体"/>
                          <w:b/>
                          <w:bCs/>
                          <w:color w:val="000000" w:themeColor="text1"/>
                          <w:spacing w:val="24"/>
                          <w:sz w:val="30"/>
                          <w:szCs w:val="30"/>
                          <w14:textFill>
                            <w14:solidFill>
                              <w14:schemeClr w14:val="tx1"/>
                            </w14:solidFill>
                          </w14:textFill>
                        </w:rPr>
                        <w:t>-25</w:t>
                      </w:r>
                      <w:r>
                        <w:rPr>
                          <w:rFonts w:hint="eastAsia" w:ascii="黑体" w:hAnsi="黑体" w:eastAsia="黑体"/>
                          <w:b/>
                          <w:bCs/>
                          <w:color w:val="000000" w:themeColor="text1"/>
                          <w:spacing w:val="24"/>
                          <w:sz w:val="30"/>
                          <w:szCs w:val="30"/>
                          <w:lang w:val="en-US" w:eastAsia="zh-CN"/>
                          <w14:textFill>
                            <w14:solidFill>
                              <w14:schemeClr w14:val="tx1"/>
                            </w14:solidFill>
                          </w14:textFill>
                        </w:rPr>
                        <w:t>31</w:t>
                      </w:r>
                    </w:p>
                  </w:txbxContent>
                </v:textbox>
                <w10:wrap type="tight"/>
              </v:rect>
            </w:pict>
          </mc:Fallback>
        </mc:AlternateContent>
      </w:r>
      <w:r>
        <w:rPr>
          <w:rFonts w:ascii="Times New Roman" w:hAnsi="Times New Roman" w:cs="Times New Roman"/>
          <w:color w:val="auto"/>
          <w:highlight w:val="none"/>
        </w:rPr>
        <w:drawing>
          <wp:anchor distT="0" distB="0" distL="114300" distR="114300" simplePos="0" relativeHeight="251661312" behindDoc="1" locked="0" layoutInCell="1" allowOverlap="1">
            <wp:simplePos x="0" y="0"/>
            <wp:positionH relativeFrom="column">
              <wp:posOffset>3853815</wp:posOffset>
            </wp:positionH>
            <wp:positionV relativeFrom="paragraph">
              <wp:posOffset>-31750</wp:posOffset>
            </wp:positionV>
            <wp:extent cx="1416685" cy="403860"/>
            <wp:effectExtent l="0" t="0" r="12065" b="15240"/>
            <wp:wrapNone/>
            <wp:docPr id="6" name="图片 6" descr="89cd6500ee51ec12c134c26c67fd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cd6500ee51ec12c134c26c67fd018"/>
                    <pic:cNvPicPr>
                      <a:picLocks noChangeAspect="1"/>
                    </pic:cNvPicPr>
                  </pic:nvPicPr>
                  <pic:blipFill>
                    <a:blip r:embed="rId9">
                      <a:clrChange>
                        <a:clrFrom>
                          <a:srgbClr val="FFFFFF">
                            <a:alpha val="100000"/>
                          </a:srgbClr>
                        </a:clrFrom>
                        <a:clrTo>
                          <a:srgbClr val="FFFFFF">
                            <a:alpha val="100000"/>
                            <a:alpha val="0"/>
                          </a:srgbClr>
                        </a:clrTo>
                      </a:clrChange>
                    </a:blip>
                    <a:srcRect l="29671" t="35103" r="31485" b="45188"/>
                    <a:stretch>
                      <a:fillRect/>
                    </a:stretch>
                  </pic:blipFill>
                  <pic:spPr>
                    <a:xfrm>
                      <a:off x="0" y="0"/>
                      <a:ext cx="1416685" cy="403860"/>
                    </a:xfrm>
                    <a:prstGeom prst="rect">
                      <a:avLst/>
                    </a:prstGeom>
                    <a:ln>
                      <a:noFill/>
                    </a:ln>
                  </pic:spPr>
                </pic:pic>
              </a:graphicData>
            </a:graphic>
          </wp:anchor>
        </w:drawing>
      </w:r>
    </w:p>
    <w:p w14:paraId="4DA53E7F">
      <w:pPr>
        <w:widowControl w:val="0"/>
        <w:kinsoku/>
        <w:jc w:val="center"/>
        <w:outlineLvl w:val="0"/>
        <w:rPr>
          <w:rFonts w:ascii="Times New Roman" w:hAnsi="Times New Roman" w:eastAsia="方正小标宋_GBK" w:cs="Times New Roman"/>
          <w:bCs/>
          <w:color w:val="auto"/>
          <w:sz w:val="72"/>
          <w:szCs w:val="72"/>
          <w:highlight w:val="none"/>
        </w:rPr>
      </w:pPr>
    </w:p>
    <w:p w14:paraId="575B72D7">
      <w:pPr>
        <w:widowControl w:val="0"/>
        <w:kinsoku/>
        <w:jc w:val="center"/>
        <w:outlineLvl w:val="0"/>
        <w:rPr>
          <w:rFonts w:ascii="Times New Roman" w:hAnsi="Times New Roman" w:eastAsia="方正小标宋_GBK" w:cs="Times New Roman"/>
          <w:bCs/>
          <w:color w:val="auto"/>
          <w:sz w:val="72"/>
          <w:szCs w:val="72"/>
          <w:highlight w:val="none"/>
          <w:lang w:eastAsia="zh-CN"/>
        </w:rPr>
      </w:pPr>
      <w:r>
        <w:rPr>
          <w:rFonts w:ascii="Times New Roman" w:hAnsi="Times New Roman" w:eastAsia="方正小标宋_GBK" w:cs="Times New Roman"/>
          <w:bCs/>
          <w:color w:val="auto"/>
          <w:sz w:val="72"/>
          <w:szCs w:val="72"/>
          <w:highlight w:val="none"/>
          <w:lang w:eastAsia="zh-CN"/>
        </w:rPr>
        <w:t>建设项目环境影响报告表</w:t>
      </w:r>
    </w:p>
    <w:p w14:paraId="6A5180BD">
      <w:pPr>
        <w:widowControl w:val="0"/>
        <w:kinsoku/>
        <w:spacing w:before="192" w:beforeLines="80"/>
        <w:jc w:val="center"/>
        <w:rPr>
          <w:rFonts w:ascii="Times New Roman" w:hAnsi="Times New Roman" w:eastAsia="楷体_GB2312" w:cs="Times New Roman"/>
          <w:bCs/>
          <w:color w:val="auto"/>
          <w:sz w:val="48"/>
          <w:szCs w:val="48"/>
          <w:highlight w:val="none"/>
          <w:lang w:eastAsia="zh-CN"/>
        </w:rPr>
      </w:pPr>
    </w:p>
    <w:p w14:paraId="53C4BC4F">
      <w:pPr>
        <w:widowControl w:val="0"/>
        <w:kinsoku/>
        <w:spacing w:before="192" w:beforeLines="80"/>
        <w:jc w:val="center"/>
        <w:rPr>
          <w:rFonts w:ascii="Times New Roman" w:hAnsi="Times New Roman" w:cs="Times New Roman"/>
          <w:color w:val="auto"/>
          <w:highlight w:val="none"/>
          <w:lang w:eastAsia="zh-CN"/>
        </w:rPr>
      </w:pPr>
      <w:r>
        <w:rPr>
          <w:rFonts w:ascii="Times New Roman" w:hAnsi="Times New Roman" w:eastAsia="楷体_GB2312" w:cs="Times New Roman"/>
          <w:bCs/>
          <w:color w:val="auto"/>
          <w:sz w:val="48"/>
          <w:szCs w:val="48"/>
          <w:highlight w:val="none"/>
          <w:lang w:eastAsia="zh-CN"/>
        </w:rPr>
        <w:t>（生态影响类）</w:t>
      </w:r>
      <w:bookmarkStart w:id="0" w:name="OLE_LINK1"/>
    </w:p>
    <w:p w14:paraId="3D7900E2">
      <w:pPr>
        <w:pStyle w:val="9"/>
        <w:widowControl w:val="0"/>
        <w:kinsoku/>
        <w:jc w:val="center"/>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报批</w:t>
      </w:r>
      <w:r>
        <w:rPr>
          <w:rFonts w:ascii="Times New Roman" w:hAnsi="Times New Roman" w:cs="Times New Roman"/>
          <w:color w:val="auto"/>
          <w:highlight w:val="none"/>
          <w:lang w:eastAsia="zh-CN"/>
        </w:rPr>
        <w:t>稿）</w:t>
      </w:r>
    </w:p>
    <w:bookmarkEnd w:id="0"/>
    <w:p w14:paraId="6623C44D">
      <w:pPr>
        <w:widowControl w:val="0"/>
        <w:kinsoku/>
        <w:ind w:firstLine="1040"/>
        <w:jc w:val="both"/>
        <w:rPr>
          <w:rFonts w:ascii="Times New Roman" w:hAnsi="Times New Roman" w:eastAsia="仿宋" w:cs="Times New Roman"/>
          <w:color w:val="auto"/>
          <w:sz w:val="44"/>
          <w:szCs w:val="44"/>
          <w:highlight w:val="none"/>
          <w:lang w:eastAsia="zh-CN"/>
        </w:rPr>
      </w:pPr>
      <w:bookmarkStart w:id="1" w:name="_Hlk57883728"/>
    </w:p>
    <w:p w14:paraId="052EB4E3">
      <w:pPr>
        <w:pStyle w:val="5"/>
        <w:kinsoku/>
        <w:rPr>
          <w:rFonts w:ascii="Times New Roman" w:hAnsi="Times New Roman" w:cs="Times New Roman"/>
          <w:color w:val="auto"/>
          <w:highlight w:val="none"/>
          <w:lang w:eastAsia="zh-CN"/>
        </w:rPr>
      </w:pPr>
    </w:p>
    <w:p w14:paraId="6BDE260E">
      <w:pPr>
        <w:widowControl w:val="0"/>
        <w:kinsoku/>
        <w:ind w:firstLine="1040"/>
        <w:jc w:val="both"/>
        <w:rPr>
          <w:rFonts w:ascii="Times New Roman" w:hAnsi="Times New Roman" w:eastAsia="仿宋" w:cs="Times New Roman"/>
          <w:color w:val="auto"/>
          <w:sz w:val="44"/>
          <w:szCs w:val="44"/>
          <w:highlight w:val="none"/>
          <w:lang w:eastAsia="zh-CN"/>
        </w:rPr>
      </w:pPr>
    </w:p>
    <w:p w14:paraId="4466CCC4">
      <w:pPr>
        <w:widowControl w:val="0"/>
        <w:kinsoku/>
        <w:ind w:firstLine="1040"/>
        <w:jc w:val="both"/>
        <w:rPr>
          <w:rFonts w:ascii="Times New Roman" w:hAnsi="Times New Roman" w:eastAsia="仿宋" w:cs="Times New Roman"/>
          <w:color w:val="auto"/>
          <w:sz w:val="44"/>
          <w:szCs w:val="44"/>
          <w:highlight w:val="none"/>
          <w:lang w:eastAsia="zh-CN"/>
        </w:rPr>
      </w:pPr>
    </w:p>
    <w:p w14:paraId="36CA4169">
      <w:pPr>
        <w:widowControl w:val="0"/>
        <w:kinsoku/>
        <w:ind w:firstLine="1040"/>
        <w:jc w:val="both"/>
        <w:rPr>
          <w:rFonts w:ascii="Times New Roman" w:hAnsi="Times New Roman" w:eastAsia="仿宋" w:cs="Times New Roman"/>
          <w:color w:val="auto"/>
          <w:sz w:val="44"/>
          <w:szCs w:val="44"/>
          <w:highlight w:val="none"/>
          <w:lang w:eastAsia="zh-CN"/>
        </w:rPr>
      </w:pPr>
    </w:p>
    <w:p w14:paraId="083C3A8E">
      <w:pPr>
        <w:pStyle w:val="5"/>
        <w:kinsoku/>
        <w:rPr>
          <w:rFonts w:ascii="Times New Roman" w:hAnsi="Times New Roman" w:cs="Times New Roman"/>
          <w:color w:val="auto"/>
          <w:highlight w:val="none"/>
          <w:lang w:eastAsia="zh-CN"/>
        </w:rPr>
      </w:pPr>
    </w:p>
    <w:bookmarkEnd w:id="1"/>
    <w:p w14:paraId="099F1229">
      <w:pPr>
        <w:widowControl w:val="0"/>
        <w:kinsoku/>
        <w:spacing w:line="360" w:lineRule="auto"/>
        <w:ind w:left="1600" w:hanging="1600" w:hangingChars="500"/>
        <w:jc w:val="both"/>
        <w:rPr>
          <w:rFonts w:ascii="Times New Roman" w:hAnsi="Times New Roman" w:eastAsia="仿宋_GB2312" w:cs="Times New Roman"/>
          <w:color w:val="auto"/>
          <w:sz w:val="32"/>
          <w:szCs w:val="32"/>
          <w:highlight w:val="none"/>
          <w:lang w:eastAsia="zh-CN"/>
        </w:rPr>
      </w:pPr>
      <w:r>
        <w:rPr>
          <w:rFonts w:ascii="Times New Roman" w:hAnsi="Times New Roman" w:eastAsia="仿宋_GB2312" w:cs="Times New Roman"/>
          <w:color w:val="auto"/>
          <w:sz w:val="32"/>
          <w:szCs w:val="32"/>
          <w:highlight w:val="none"/>
          <w:lang w:eastAsia="zh-CN"/>
        </w:rPr>
        <w:t>项目名称：</w:t>
      </w:r>
      <w:r>
        <w:rPr>
          <w:rFonts w:ascii="Times New Roman" w:hAnsi="Times New Roman" w:eastAsia="仿宋_GB2312" w:cs="Times New Roman"/>
          <w:color w:val="auto"/>
          <w:sz w:val="32"/>
          <w:szCs w:val="32"/>
          <w:highlight w:val="none"/>
          <w:u w:val="single"/>
          <w:lang w:eastAsia="zh-CN"/>
        </w:rPr>
        <w:t xml:space="preserve">准噶尔盆地阜康凹陷康探1块阜4803H、阜4805H井钻试工程项目 </w:t>
      </w:r>
      <w:r>
        <w:rPr>
          <w:rFonts w:ascii="Times New Roman" w:hAnsi="Times New Roman" w:eastAsia="仿宋_GB2312" w:cs="Times New Roman"/>
          <w:color w:val="auto"/>
          <w:sz w:val="32"/>
          <w:szCs w:val="32"/>
          <w:highlight w:val="none"/>
          <w:lang w:eastAsia="zh-CN"/>
        </w:rPr>
        <w:t xml:space="preserve"> </w:t>
      </w:r>
    </w:p>
    <w:p w14:paraId="368867B1">
      <w:pPr>
        <w:widowControl w:val="0"/>
        <w:kinsoku/>
        <w:spacing w:line="360" w:lineRule="auto"/>
        <w:ind w:left="1600" w:hanging="1600" w:hangingChars="500"/>
        <w:jc w:val="both"/>
        <w:rPr>
          <w:rFonts w:ascii="Times New Roman" w:hAnsi="Times New Roman" w:eastAsia="仿宋_GB2312" w:cs="Times New Roman"/>
          <w:color w:val="auto"/>
          <w:sz w:val="32"/>
          <w:szCs w:val="32"/>
          <w:highlight w:val="none"/>
          <w:u w:val="single"/>
          <w:lang w:eastAsia="zh-CN"/>
        </w:rPr>
      </w:pPr>
      <w:r>
        <w:rPr>
          <w:rFonts w:ascii="Times New Roman" w:hAnsi="Times New Roman" w:eastAsia="仿宋_GB2312" w:cs="Times New Roman"/>
          <w:color w:val="auto"/>
          <w:sz w:val="32"/>
          <w:szCs w:val="32"/>
          <w:highlight w:val="none"/>
          <w:lang w:eastAsia="zh-CN"/>
        </w:rPr>
        <w:t>建设单位：</w:t>
      </w:r>
      <w:r>
        <w:rPr>
          <w:rFonts w:ascii="Times New Roman" w:hAnsi="Times New Roman" w:eastAsia="仿宋_GB2312" w:cs="Times New Roman"/>
          <w:color w:val="auto"/>
          <w:sz w:val="32"/>
          <w:szCs w:val="32"/>
          <w:highlight w:val="none"/>
          <w:u w:val="single"/>
          <w:lang w:val="zh-CN" w:eastAsia="zh-CN"/>
        </w:rPr>
        <w:t>中国石油天然气股份有限公司</w:t>
      </w:r>
      <w:r>
        <w:rPr>
          <w:rFonts w:ascii="Times New Roman" w:hAnsi="Times New Roman" w:eastAsia="仿宋_GB2312" w:cs="Times New Roman"/>
          <w:color w:val="auto"/>
          <w:sz w:val="32"/>
          <w:szCs w:val="32"/>
          <w:highlight w:val="none"/>
          <w:u w:val="single"/>
          <w:lang w:eastAsia="zh-CN"/>
        </w:rPr>
        <w:t xml:space="preserve">吐哈油田分公司准东采油管理区  </w:t>
      </w:r>
    </w:p>
    <w:p w14:paraId="29FEBF01">
      <w:pPr>
        <w:widowControl w:val="0"/>
        <w:kinsoku/>
        <w:spacing w:line="360" w:lineRule="auto"/>
        <w:jc w:val="both"/>
        <w:rPr>
          <w:rFonts w:ascii="Times New Roman" w:hAnsi="Times New Roman" w:eastAsia="仿宋_GB2312" w:cs="Times New Roman"/>
          <w:color w:val="auto"/>
          <w:sz w:val="32"/>
          <w:szCs w:val="32"/>
          <w:highlight w:val="none"/>
          <w:lang w:eastAsia="zh-CN"/>
        </w:rPr>
      </w:pPr>
      <w:r>
        <w:rPr>
          <w:rFonts w:ascii="Times New Roman" w:hAnsi="Times New Roman" w:eastAsia="仿宋_GB2312" w:cs="Times New Roman"/>
          <w:color w:val="auto"/>
          <w:sz w:val="32"/>
          <w:szCs w:val="32"/>
          <w:highlight w:val="none"/>
          <w:lang w:eastAsia="zh-CN"/>
        </w:rPr>
        <w:t>编制日期：</w:t>
      </w:r>
      <w:r>
        <w:rPr>
          <w:rFonts w:ascii="Times New Roman" w:hAnsi="Times New Roman" w:eastAsia="仿宋_GB2312" w:cs="Times New Roman"/>
          <w:color w:val="auto"/>
          <w:sz w:val="32"/>
          <w:szCs w:val="32"/>
          <w:highlight w:val="none"/>
          <w:u w:val="single"/>
          <w:lang w:eastAsia="zh-CN"/>
        </w:rPr>
        <w:t xml:space="preserve">               202</w:t>
      </w:r>
      <w:r>
        <w:rPr>
          <w:rFonts w:hint="eastAsia" w:ascii="Times New Roman" w:hAnsi="Times New Roman" w:eastAsia="仿宋_GB2312" w:cs="Times New Roman"/>
          <w:color w:val="auto"/>
          <w:sz w:val="32"/>
          <w:szCs w:val="32"/>
          <w:highlight w:val="none"/>
          <w:u w:val="single"/>
          <w:lang w:val="en-US" w:eastAsia="zh-CN"/>
        </w:rPr>
        <w:t>6</w:t>
      </w:r>
      <w:r>
        <w:rPr>
          <w:rFonts w:ascii="Times New Roman" w:hAnsi="Times New Roman" w:eastAsia="仿宋_GB2312" w:cs="Times New Roman"/>
          <w:color w:val="auto"/>
          <w:sz w:val="32"/>
          <w:szCs w:val="32"/>
          <w:highlight w:val="none"/>
          <w:u w:val="single"/>
          <w:lang w:eastAsia="zh-CN"/>
        </w:rPr>
        <w:t xml:space="preserve">年1月       </w:t>
      </w:r>
      <w:r>
        <w:rPr>
          <w:rFonts w:hint="eastAsia" w:ascii="Times New Roman" w:hAnsi="Times New Roman" w:eastAsia="仿宋_GB2312" w:cs="Times New Roman"/>
          <w:color w:val="auto"/>
          <w:sz w:val="32"/>
          <w:szCs w:val="32"/>
          <w:highlight w:val="none"/>
          <w:u w:val="single"/>
          <w:lang w:val="en-US" w:eastAsia="zh-CN"/>
        </w:rPr>
        <w:t xml:space="preserve"> </w:t>
      </w:r>
      <w:r>
        <w:rPr>
          <w:rFonts w:ascii="Times New Roman" w:hAnsi="Times New Roman" w:eastAsia="仿宋_GB2312" w:cs="Times New Roman"/>
          <w:color w:val="auto"/>
          <w:sz w:val="32"/>
          <w:szCs w:val="32"/>
          <w:highlight w:val="none"/>
          <w:u w:val="single"/>
          <w:lang w:eastAsia="zh-CN"/>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ascii="Times New Roman" w:hAnsi="Times New Roman" w:eastAsia="仿宋_GB2312" w:cs="Times New Roman"/>
          <w:color w:val="auto"/>
          <w:sz w:val="32"/>
          <w:szCs w:val="32"/>
          <w:highlight w:val="none"/>
          <w:u w:val="single"/>
          <w:lang w:eastAsia="zh-CN"/>
        </w:rPr>
        <w:t xml:space="preserve"> </w:t>
      </w:r>
    </w:p>
    <w:p w14:paraId="2CF24AB4">
      <w:pPr>
        <w:widowControl w:val="0"/>
        <w:kinsoku/>
        <w:spacing w:line="360" w:lineRule="auto"/>
        <w:ind w:left="1600" w:hanging="1600" w:hangingChars="500"/>
        <w:jc w:val="both"/>
        <w:rPr>
          <w:rFonts w:ascii="Times New Roman" w:hAnsi="Times New Roman" w:eastAsia="仿宋_GB2312" w:cs="Times New Roman"/>
          <w:color w:val="auto"/>
          <w:sz w:val="32"/>
          <w:szCs w:val="32"/>
          <w:highlight w:val="none"/>
          <w:lang w:eastAsia="zh-CN"/>
        </w:rPr>
      </w:pPr>
    </w:p>
    <w:p w14:paraId="66289DDA">
      <w:pPr>
        <w:widowControl w:val="0"/>
        <w:kinsoku/>
        <w:spacing w:line="288" w:lineRule="auto"/>
        <w:ind w:firstLine="1040"/>
        <w:jc w:val="both"/>
        <w:rPr>
          <w:rFonts w:ascii="Times New Roman" w:hAnsi="Times New Roman" w:eastAsia="仿宋_GB2312" w:cs="Times New Roman"/>
          <w:color w:val="auto"/>
          <w:sz w:val="36"/>
          <w:szCs w:val="36"/>
          <w:highlight w:val="none"/>
          <w:lang w:eastAsia="zh-CN"/>
        </w:rPr>
      </w:pPr>
    </w:p>
    <w:p w14:paraId="3F3C9275">
      <w:pPr>
        <w:widowControl w:val="0"/>
        <w:kinsoku/>
        <w:spacing w:line="288" w:lineRule="auto"/>
        <w:ind w:firstLine="1040"/>
        <w:jc w:val="both"/>
        <w:rPr>
          <w:rFonts w:ascii="Times New Roman" w:hAnsi="Times New Roman" w:eastAsia="仿宋_GB2312" w:cs="Times New Roman"/>
          <w:color w:val="auto"/>
          <w:sz w:val="36"/>
          <w:szCs w:val="36"/>
          <w:highlight w:val="none"/>
          <w:lang w:eastAsia="zh-CN"/>
        </w:rPr>
      </w:pPr>
    </w:p>
    <w:p w14:paraId="11CB5950">
      <w:pPr>
        <w:widowControl w:val="0"/>
        <w:kinsoku/>
        <w:spacing w:line="288" w:lineRule="auto"/>
        <w:ind w:firstLine="1040"/>
        <w:jc w:val="both"/>
        <w:rPr>
          <w:rFonts w:ascii="Times New Roman" w:hAnsi="Times New Roman" w:eastAsia="仿宋_GB2312" w:cs="Times New Roman"/>
          <w:color w:val="auto"/>
          <w:sz w:val="36"/>
          <w:szCs w:val="36"/>
          <w:highlight w:val="none"/>
          <w:lang w:eastAsia="zh-CN"/>
        </w:rPr>
      </w:pPr>
    </w:p>
    <w:p w14:paraId="412E1E7D">
      <w:pPr>
        <w:widowControl w:val="0"/>
        <w:kinsoku/>
        <w:spacing w:line="288" w:lineRule="auto"/>
        <w:jc w:val="center"/>
        <w:rPr>
          <w:rFonts w:ascii="Times New Roman" w:hAnsi="Times New Roman" w:cs="Times New Roman"/>
          <w:color w:val="auto"/>
          <w:highlight w:val="none"/>
          <w:lang w:eastAsia="zh-CN"/>
        </w:rPr>
      </w:pPr>
      <w:r>
        <w:rPr>
          <w:rFonts w:ascii="Times New Roman" w:hAnsi="Times New Roman" w:eastAsia="楷体_GB2312" w:cs="Times New Roman"/>
          <w:color w:val="auto"/>
          <w:sz w:val="36"/>
          <w:szCs w:val="36"/>
          <w:highlight w:val="none"/>
          <w:lang w:eastAsia="zh-CN"/>
        </w:rPr>
        <w:t>中华人民共和国生态环境部制</w:t>
      </w:r>
    </w:p>
    <w:p w14:paraId="215485BE">
      <w:pPr>
        <w:kinsoku/>
        <w:spacing w:before="100" w:line="224" w:lineRule="auto"/>
        <w:jc w:val="both"/>
        <w:outlineLvl w:val="0"/>
        <w:rPr>
          <w:rFonts w:ascii="Times New Roman" w:hAnsi="Times New Roman" w:eastAsia="宋体" w:cs="Times New Roman"/>
          <w:b/>
          <w:bCs/>
          <w:color w:val="auto"/>
          <w:spacing w:val="6"/>
          <w:sz w:val="30"/>
          <w:szCs w:val="30"/>
          <w:highlight w:val="none"/>
          <w:lang w:eastAsia="zh-CN"/>
        </w:rPr>
        <w:sectPr>
          <w:headerReference r:id="rId3" w:type="default"/>
          <w:footerReference r:id="rId4" w:type="default"/>
          <w:pgSz w:w="11906" w:h="16840"/>
          <w:pgMar w:top="1440" w:right="1803" w:bottom="1440" w:left="1803" w:header="850" w:footer="992" w:gutter="0"/>
          <w:cols w:space="720" w:num="1"/>
        </w:sectPr>
      </w:pPr>
    </w:p>
    <w:p w14:paraId="429B85D1">
      <w:pPr>
        <w:numPr>
          <w:ilvl w:val="0"/>
          <w:numId w:val="2"/>
        </w:numPr>
        <w:kinsoku/>
        <w:spacing w:before="100" w:line="360" w:lineRule="auto"/>
        <w:jc w:val="center"/>
        <w:outlineLvl w:val="0"/>
        <w:rPr>
          <w:rFonts w:ascii="Times New Roman" w:hAnsi="Times New Roman" w:eastAsia="宋体" w:cs="Times New Roman"/>
          <w:b/>
          <w:bCs/>
          <w:color w:val="auto"/>
          <w:spacing w:val="6"/>
          <w:sz w:val="30"/>
          <w:szCs w:val="30"/>
          <w:highlight w:val="none"/>
        </w:rPr>
      </w:pPr>
      <w:r>
        <w:rPr>
          <w:rFonts w:ascii="Times New Roman" w:hAnsi="Times New Roman" w:eastAsia="宋体" w:cs="Times New Roman"/>
          <w:b/>
          <w:bCs/>
          <w:color w:val="auto"/>
          <w:spacing w:val="6"/>
          <w:sz w:val="30"/>
          <w:szCs w:val="30"/>
          <w:highlight w:val="none"/>
        </w:rPr>
        <w:t>建设项目基本情况</w:t>
      </w:r>
    </w:p>
    <w:tbl>
      <w:tblPr>
        <w:tblStyle w:val="16"/>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931"/>
        <w:gridCol w:w="1318"/>
        <w:gridCol w:w="2982"/>
      </w:tblGrid>
      <w:tr w14:paraId="7BD9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59" w:type="dxa"/>
            <w:vAlign w:val="center"/>
          </w:tcPr>
          <w:p w14:paraId="63697AD1">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建设项目名称</w:t>
            </w:r>
          </w:p>
        </w:tc>
        <w:tc>
          <w:tcPr>
            <w:tcW w:w="7231" w:type="dxa"/>
            <w:gridSpan w:val="3"/>
            <w:vAlign w:val="center"/>
          </w:tcPr>
          <w:p w14:paraId="6099803C">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准噶尔盆地阜康凹陷康探1块阜4803H、阜4805H井钻试工程项目</w:t>
            </w:r>
          </w:p>
        </w:tc>
      </w:tr>
      <w:tr w14:paraId="147F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6081A628">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项目代码</w:t>
            </w:r>
          </w:p>
        </w:tc>
        <w:tc>
          <w:tcPr>
            <w:tcW w:w="7231" w:type="dxa"/>
            <w:gridSpan w:val="3"/>
            <w:vAlign w:val="center"/>
          </w:tcPr>
          <w:p w14:paraId="68D02744">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无</w:t>
            </w:r>
          </w:p>
        </w:tc>
      </w:tr>
      <w:tr w14:paraId="6FA7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74C4C726">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pacing w:val="-11"/>
                <w:sz w:val="24"/>
                <w:szCs w:val="24"/>
                <w:highlight w:val="none"/>
              </w:rPr>
              <w:t>建设单位联系人</w:t>
            </w:r>
          </w:p>
        </w:tc>
        <w:tc>
          <w:tcPr>
            <w:tcW w:w="2931" w:type="dxa"/>
            <w:vAlign w:val="center"/>
          </w:tcPr>
          <w:p w14:paraId="3C18F5E4">
            <w:pPr>
              <w:pStyle w:val="22"/>
              <w:widowControl w:val="0"/>
              <w:kinsoku/>
              <w:spacing w:before="84" w:line="228" w:lineRule="auto"/>
              <w:ind w:left="785"/>
              <w:jc w:val="both"/>
              <w:rPr>
                <w:rFonts w:ascii="Times New Roman" w:hAnsi="Times New Roman" w:cs="Times New Roman"/>
                <w:color w:val="auto"/>
                <w:spacing w:val="-11"/>
                <w:sz w:val="24"/>
                <w:szCs w:val="24"/>
                <w:highlight w:val="none"/>
              </w:rPr>
            </w:pPr>
            <w:r>
              <w:rPr>
                <w:rFonts w:ascii="Times New Roman" w:hAnsi="Times New Roman" w:cs="Times New Roman"/>
                <w:color w:val="auto"/>
                <w:spacing w:val="6"/>
                <w:sz w:val="24"/>
                <w:szCs w:val="24"/>
                <w:highlight w:val="none"/>
              </w:rPr>
              <w:t>王建伟</w:t>
            </w:r>
          </w:p>
        </w:tc>
        <w:tc>
          <w:tcPr>
            <w:tcW w:w="1318" w:type="dxa"/>
            <w:vAlign w:val="center"/>
          </w:tcPr>
          <w:p w14:paraId="249DF3B0">
            <w:pPr>
              <w:pStyle w:val="22"/>
              <w:widowControl w:val="0"/>
              <w:kinsoku/>
              <w:spacing w:before="84" w:line="229" w:lineRule="auto"/>
              <w:jc w:val="center"/>
              <w:rPr>
                <w:rFonts w:ascii="Times New Roman" w:hAnsi="Times New Roman" w:cs="Times New Roman"/>
                <w:color w:val="auto"/>
                <w:spacing w:val="-11"/>
                <w:sz w:val="24"/>
                <w:szCs w:val="24"/>
                <w:highlight w:val="none"/>
              </w:rPr>
            </w:pPr>
            <w:r>
              <w:rPr>
                <w:rFonts w:ascii="Times New Roman" w:hAnsi="Times New Roman" w:cs="Times New Roman"/>
                <w:color w:val="auto"/>
                <w:spacing w:val="17"/>
                <w:sz w:val="24"/>
                <w:szCs w:val="24"/>
                <w:highlight w:val="none"/>
              </w:rPr>
              <w:t>联系方式</w:t>
            </w:r>
          </w:p>
        </w:tc>
        <w:tc>
          <w:tcPr>
            <w:tcW w:w="2982" w:type="dxa"/>
            <w:vAlign w:val="center"/>
          </w:tcPr>
          <w:p w14:paraId="5A9A61D4">
            <w:pPr>
              <w:widowControl w:val="0"/>
              <w:kinsoku/>
              <w:spacing w:before="120" w:line="195" w:lineRule="auto"/>
              <w:jc w:val="center"/>
              <w:rPr>
                <w:rFonts w:ascii="Times New Roman" w:hAnsi="Times New Roman" w:eastAsia="宋体" w:cs="Times New Roman"/>
                <w:color w:val="auto"/>
                <w:spacing w:val="-11"/>
                <w:sz w:val="24"/>
                <w:szCs w:val="24"/>
                <w:highlight w:val="none"/>
              </w:rPr>
            </w:pPr>
            <w:r>
              <w:rPr>
                <w:rFonts w:ascii="Times New Roman" w:hAnsi="Times New Roman" w:eastAsia="宋体" w:cs="Times New Roman"/>
                <w:color w:val="auto"/>
                <w:spacing w:val="2"/>
                <w:sz w:val="24"/>
                <w:szCs w:val="24"/>
                <w:highlight w:val="none"/>
              </w:rPr>
              <w:t>13899311159</w:t>
            </w:r>
          </w:p>
        </w:tc>
      </w:tr>
      <w:tr w14:paraId="352C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1A16BF47">
            <w:pPr>
              <w:pStyle w:val="22"/>
              <w:widowControl w:val="0"/>
              <w:kinsoku/>
              <w:spacing w:before="84" w:line="228" w:lineRule="auto"/>
              <w:jc w:val="center"/>
              <w:rPr>
                <w:rFonts w:ascii="Times New Roman" w:hAnsi="Times New Roman" w:cs="Times New Roman"/>
                <w:color w:val="auto"/>
                <w:spacing w:val="6"/>
                <w:sz w:val="24"/>
                <w:szCs w:val="24"/>
                <w:highlight w:val="none"/>
              </w:rPr>
            </w:pPr>
            <w:r>
              <w:rPr>
                <w:rFonts w:ascii="Times New Roman" w:hAnsi="Times New Roman" w:cs="Times New Roman"/>
                <w:color w:val="auto"/>
                <w:spacing w:val="6"/>
                <w:sz w:val="24"/>
                <w:szCs w:val="24"/>
                <w:highlight w:val="none"/>
              </w:rPr>
              <w:t>建设地点</w:t>
            </w:r>
          </w:p>
        </w:tc>
        <w:tc>
          <w:tcPr>
            <w:tcW w:w="7231" w:type="dxa"/>
            <w:gridSpan w:val="3"/>
            <w:vAlign w:val="center"/>
          </w:tcPr>
          <w:p w14:paraId="75B4D3BE">
            <w:pPr>
              <w:pStyle w:val="22"/>
              <w:widowControl w:val="0"/>
              <w:kinsoku/>
              <w:spacing w:before="84" w:line="228" w:lineRule="auto"/>
              <w:jc w:val="both"/>
              <w:rPr>
                <w:rFonts w:ascii="Times New Roman" w:hAnsi="Times New Roman" w:cs="Times New Roman"/>
                <w:color w:val="auto"/>
                <w:spacing w:val="6"/>
                <w:sz w:val="24"/>
                <w:szCs w:val="24"/>
                <w:highlight w:val="none"/>
                <w:lang w:eastAsia="zh-CN"/>
              </w:rPr>
            </w:pPr>
            <w:r>
              <w:rPr>
                <w:rFonts w:ascii="Times New Roman" w:hAnsi="Times New Roman" w:cs="Times New Roman"/>
                <w:color w:val="auto"/>
                <w:spacing w:val="6"/>
                <w:sz w:val="24"/>
                <w:szCs w:val="24"/>
                <w:highlight w:val="none"/>
                <w:lang w:eastAsia="zh-CN"/>
              </w:rPr>
              <w:t>新疆维吾尔自治区昌吉回族自治州阜康市</w:t>
            </w:r>
          </w:p>
        </w:tc>
      </w:tr>
      <w:tr w14:paraId="5CCC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459" w:type="dxa"/>
            <w:vAlign w:val="center"/>
          </w:tcPr>
          <w:p w14:paraId="763F6106">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地理坐标</w:t>
            </w:r>
          </w:p>
        </w:tc>
        <w:tc>
          <w:tcPr>
            <w:tcW w:w="7231" w:type="dxa"/>
            <w:gridSpan w:val="3"/>
            <w:vAlign w:val="center"/>
          </w:tcPr>
          <w:p w14:paraId="787A0BA0">
            <w:pPr>
              <w:widowControl w:val="0"/>
              <w:kinsoku/>
              <w:spacing w:line="400" w:lineRule="exact"/>
              <w:ind w:left="479" w:leftChars="228"/>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阜4803H井：</w:t>
            </w:r>
            <w:r>
              <w:rPr>
                <w:rFonts w:hint="eastAsia" w:ascii="Times New Roman" w:hAnsi="Times New Roman" w:eastAsia="宋体" w:cs="Times New Roman"/>
                <w:color w:val="auto"/>
                <w:sz w:val="24"/>
                <w:szCs w:val="24"/>
                <w:highlight w:val="none"/>
                <w:lang w:val="en-US" w:eastAsia="zh-CN"/>
              </w:rPr>
              <w:t>东经</w:t>
            </w:r>
            <w:r>
              <w:rPr>
                <w:rFonts w:ascii="Times New Roman" w:hAnsi="Times New Roman" w:eastAsia="宋体" w:cs="Times New Roman"/>
                <w:color w:val="auto"/>
                <w:sz w:val="24"/>
                <w:szCs w:val="24"/>
                <w:highlight w:val="none"/>
                <w:lang w:eastAsia="zh-CN"/>
              </w:rPr>
              <w:t>88°29′0.72″，</w:t>
            </w:r>
            <w:r>
              <w:rPr>
                <w:rFonts w:hint="eastAsia" w:ascii="Times New Roman" w:hAnsi="Times New Roman" w:eastAsia="宋体" w:cs="Times New Roman"/>
                <w:color w:val="auto"/>
                <w:sz w:val="24"/>
                <w:szCs w:val="24"/>
                <w:highlight w:val="none"/>
                <w:lang w:val="en-US" w:eastAsia="zh-CN"/>
              </w:rPr>
              <w:t>北纬</w:t>
            </w:r>
            <w:r>
              <w:rPr>
                <w:rFonts w:ascii="Times New Roman" w:hAnsi="Times New Roman" w:eastAsia="宋体" w:cs="Times New Roman"/>
                <w:color w:val="auto"/>
                <w:sz w:val="24"/>
                <w:szCs w:val="24"/>
                <w:highlight w:val="none"/>
                <w:lang w:eastAsia="zh-CN"/>
              </w:rPr>
              <w:t>44°22′29.70″</w:t>
            </w:r>
          </w:p>
          <w:p w14:paraId="7D1D016B">
            <w:pPr>
              <w:widowControl w:val="0"/>
              <w:kinsoku/>
              <w:spacing w:line="400" w:lineRule="exact"/>
              <w:ind w:left="479" w:leftChars="228"/>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阜4805H井：</w:t>
            </w:r>
            <w:r>
              <w:rPr>
                <w:rFonts w:hint="eastAsia" w:ascii="Times New Roman" w:hAnsi="Times New Roman" w:eastAsia="宋体" w:cs="Times New Roman"/>
                <w:color w:val="auto"/>
                <w:sz w:val="24"/>
                <w:szCs w:val="24"/>
                <w:highlight w:val="none"/>
                <w:lang w:val="en-US" w:eastAsia="zh-CN"/>
              </w:rPr>
              <w:t>东经</w:t>
            </w:r>
            <w:r>
              <w:rPr>
                <w:rFonts w:ascii="Times New Roman" w:hAnsi="Times New Roman" w:eastAsia="宋体" w:cs="Times New Roman"/>
                <w:color w:val="auto"/>
                <w:sz w:val="24"/>
                <w:szCs w:val="24"/>
                <w:highlight w:val="none"/>
                <w:lang w:eastAsia="zh-CN"/>
              </w:rPr>
              <w:t>88°28′26.15″，</w:t>
            </w:r>
            <w:r>
              <w:rPr>
                <w:rFonts w:hint="eastAsia" w:ascii="Times New Roman" w:hAnsi="Times New Roman" w:eastAsia="宋体" w:cs="Times New Roman"/>
                <w:color w:val="auto"/>
                <w:sz w:val="24"/>
                <w:szCs w:val="24"/>
                <w:highlight w:val="none"/>
                <w:lang w:val="en-US" w:eastAsia="zh-CN"/>
              </w:rPr>
              <w:t>北纬</w:t>
            </w:r>
            <w:r>
              <w:rPr>
                <w:rFonts w:ascii="Times New Roman" w:hAnsi="Times New Roman" w:eastAsia="宋体" w:cs="Times New Roman"/>
                <w:color w:val="auto"/>
                <w:sz w:val="24"/>
                <w:szCs w:val="24"/>
                <w:highlight w:val="none"/>
                <w:lang w:eastAsia="zh-CN"/>
              </w:rPr>
              <w:t>44°23′22.88″</w:t>
            </w:r>
          </w:p>
        </w:tc>
      </w:tr>
      <w:tr w14:paraId="1A59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250ADFF7">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建设项目</w:t>
            </w:r>
          </w:p>
          <w:p w14:paraId="2D3ED9E7">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行业类别</w:t>
            </w:r>
          </w:p>
        </w:tc>
        <w:tc>
          <w:tcPr>
            <w:tcW w:w="2931" w:type="dxa"/>
            <w:vAlign w:val="center"/>
          </w:tcPr>
          <w:p w14:paraId="5F3A3E38">
            <w:pPr>
              <w:widowControl w:val="0"/>
              <w:kinsoku/>
              <w:spacing w:line="400" w:lineRule="exact"/>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四十六、专业技术服务业99陆地矿产资源地质勘查（含油气资源勘探）</w:t>
            </w:r>
          </w:p>
        </w:tc>
        <w:tc>
          <w:tcPr>
            <w:tcW w:w="1318" w:type="dxa"/>
            <w:vAlign w:val="center"/>
          </w:tcPr>
          <w:p w14:paraId="5871D93D">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用地面积（m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w:t>
            </w:r>
          </w:p>
        </w:tc>
        <w:tc>
          <w:tcPr>
            <w:tcW w:w="2982" w:type="dxa"/>
            <w:vAlign w:val="center"/>
          </w:tcPr>
          <w:p w14:paraId="22A7CC68">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lang w:eastAsia="zh-CN"/>
              </w:rPr>
              <w:t>39781m</w:t>
            </w:r>
            <w:r>
              <w:rPr>
                <w:rFonts w:ascii="Times New Roman" w:hAnsi="Times New Roman" w:eastAsia="宋体" w:cs="Times New Roman"/>
                <w:color w:val="auto"/>
                <w:sz w:val="24"/>
                <w:szCs w:val="24"/>
                <w:highlight w:val="none"/>
                <w:vertAlign w:val="superscript"/>
                <w:lang w:eastAsia="zh-CN"/>
              </w:rPr>
              <w:t>2</w:t>
            </w:r>
            <w:r>
              <w:rPr>
                <w:rFonts w:ascii="Times New Roman" w:hAnsi="Times New Roman" w:eastAsia="宋体" w:cs="Times New Roman"/>
                <w:color w:val="auto"/>
                <w:sz w:val="24"/>
                <w:szCs w:val="24"/>
                <w:highlight w:val="none"/>
              </w:rPr>
              <w:t>（临时用地）</w:t>
            </w:r>
          </w:p>
        </w:tc>
      </w:tr>
      <w:tr w14:paraId="7BC9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772BD17E">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建设性质</w:t>
            </w:r>
          </w:p>
        </w:tc>
        <w:tc>
          <w:tcPr>
            <w:tcW w:w="2931" w:type="dxa"/>
            <w:vAlign w:val="center"/>
          </w:tcPr>
          <w:p w14:paraId="6710C8C1">
            <w:pPr>
              <w:widowControl w:val="0"/>
              <w:kinsoku/>
              <w:autoSpaceDE/>
              <w:autoSpaceDN/>
              <w:spacing w:line="400" w:lineRule="exact"/>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sym w:font="Wingdings 2" w:char="0052"/>
            </w:r>
            <w:r>
              <w:rPr>
                <w:rFonts w:ascii="Times New Roman" w:hAnsi="Times New Roman" w:eastAsia="宋体" w:cs="Times New Roman"/>
                <w:snapToGrid/>
                <w:color w:val="auto"/>
                <w:kern w:val="2"/>
                <w:sz w:val="24"/>
                <w:szCs w:val="24"/>
                <w:highlight w:val="none"/>
                <w:lang w:eastAsia="zh-CN"/>
              </w:rPr>
              <w:t>新建（迁建）</w:t>
            </w:r>
          </w:p>
          <w:p w14:paraId="09F2893B">
            <w:pPr>
              <w:widowControl w:val="0"/>
              <w:kinsoku/>
              <w:autoSpaceDE/>
              <w:autoSpaceDN/>
              <w:spacing w:line="400" w:lineRule="exact"/>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□改建</w:t>
            </w:r>
          </w:p>
          <w:p w14:paraId="38874C3D">
            <w:pPr>
              <w:widowControl w:val="0"/>
              <w:kinsoku/>
              <w:autoSpaceDE/>
              <w:autoSpaceDN/>
              <w:spacing w:line="400" w:lineRule="exact"/>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□扩建</w:t>
            </w:r>
          </w:p>
          <w:p w14:paraId="398495A7">
            <w:pPr>
              <w:widowControl w:val="0"/>
              <w:kinsoku/>
              <w:autoSpaceDE/>
              <w:autoSpaceDN/>
              <w:spacing w:line="400" w:lineRule="exact"/>
              <w:jc w:val="both"/>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snapToGrid/>
                <w:color w:val="auto"/>
                <w:kern w:val="2"/>
                <w:sz w:val="24"/>
                <w:szCs w:val="24"/>
                <w:highlight w:val="none"/>
                <w:lang w:eastAsia="zh-CN"/>
              </w:rPr>
              <w:t>□技术改造</w:t>
            </w:r>
          </w:p>
        </w:tc>
        <w:tc>
          <w:tcPr>
            <w:tcW w:w="1318" w:type="dxa"/>
            <w:vAlign w:val="center"/>
          </w:tcPr>
          <w:p w14:paraId="2E6E0B2D">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建设项目</w:t>
            </w:r>
          </w:p>
          <w:p w14:paraId="4EAF7937">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申报情形</w:t>
            </w:r>
          </w:p>
        </w:tc>
        <w:tc>
          <w:tcPr>
            <w:tcW w:w="2982" w:type="dxa"/>
            <w:vAlign w:val="center"/>
          </w:tcPr>
          <w:p w14:paraId="3CCA11D7">
            <w:pPr>
              <w:widowControl w:val="0"/>
              <w:kinsoku/>
              <w:spacing w:line="400" w:lineRule="exact"/>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pacing w:val="-11"/>
                <w:sz w:val="24"/>
                <w:szCs w:val="24"/>
                <w:highlight w:val="none"/>
              </w:rPr>
              <w:sym w:font="Wingdings 2" w:char="0052"/>
            </w:r>
            <w:r>
              <w:rPr>
                <w:rFonts w:ascii="Times New Roman" w:hAnsi="Times New Roman" w:eastAsia="宋体" w:cs="Times New Roman"/>
                <w:color w:val="auto"/>
                <w:sz w:val="24"/>
                <w:szCs w:val="24"/>
                <w:highlight w:val="none"/>
                <w:lang w:eastAsia="zh-CN"/>
              </w:rPr>
              <w:t>首次申报项目</w:t>
            </w:r>
          </w:p>
          <w:p w14:paraId="2F1B3D4C">
            <w:pPr>
              <w:widowControl w:val="0"/>
              <w:kinsoku/>
              <w:autoSpaceDE/>
              <w:autoSpaceDN/>
              <w:spacing w:line="400" w:lineRule="exact"/>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□不予批准后再次申报项目</w:t>
            </w:r>
          </w:p>
          <w:p w14:paraId="430B5E6E">
            <w:pPr>
              <w:widowControl w:val="0"/>
              <w:kinsoku/>
              <w:autoSpaceDE/>
              <w:autoSpaceDN/>
              <w:spacing w:line="400" w:lineRule="exact"/>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□超五年重新审核项目</w:t>
            </w:r>
          </w:p>
          <w:p w14:paraId="2632894A">
            <w:pPr>
              <w:widowControl w:val="0"/>
              <w:kinsoku/>
              <w:autoSpaceDE/>
              <w:autoSpaceDN/>
              <w:spacing w:line="400" w:lineRule="exact"/>
              <w:jc w:val="both"/>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□重大变动重新报批项目</w:t>
            </w:r>
          </w:p>
        </w:tc>
      </w:tr>
      <w:tr w14:paraId="2876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459" w:type="dxa"/>
            <w:vAlign w:val="center"/>
          </w:tcPr>
          <w:p w14:paraId="01538E28">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项目审批（核准/备案）部门</w:t>
            </w:r>
          </w:p>
        </w:tc>
        <w:tc>
          <w:tcPr>
            <w:tcW w:w="2931" w:type="dxa"/>
            <w:vAlign w:val="center"/>
          </w:tcPr>
          <w:p w14:paraId="7D81332C">
            <w:pPr>
              <w:widowControl w:val="0"/>
              <w:kinsoku/>
              <w:spacing w:line="40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国家能源局</w:t>
            </w:r>
          </w:p>
        </w:tc>
        <w:tc>
          <w:tcPr>
            <w:tcW w:w="1318" w:type="dxa"/>
            <w:vAlign w:val="center"/>
          </w:tcPr>
          <w:p w14:paraId="60952A5A">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项目审批（核准/备案）文号</w:t>
            </w:r>
          </w:p>
        </w:tc>
        <w:tc>
          <w:tcPr>
            <w:tcW w:w="2982" w:type="dxa"/>
            <w:vAlign w:val="center"/>
          </w:tcPr>
          <w:p w14:paraId="55869E61">
            <w:pPr>
              <w:widowControl w:val="0"/>
              <w:kinsoku/>
              <w:spacing w:line="400" w:lineRule="exact"/>
              <w:jc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2512-000000-60-01-580165</w:t>
            </w:r>
          </w:p>
        </w:tc>
      </w:tr>
      <w:tr w14:paraId="6094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6FCAB8E9">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总投资</w:t>
            </w:r>
          </w:p>
          <w:p w14:paraId="4F24AE17">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（万元）</w:t>
            </w:r>
          </w:p>
        </w:tc>
        <w:tc>
          <w:tcPr>
            <w:tcW w:w="2931" w:type="dxa"/>
            <w:vAlign w:val="center"/>
          </w:tcPr>
          <w:p w14:paraId="4D37947A">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3851.7</w:t>
            </w:r>
          </w:p>
        </w:tc>
        <w:tc>
          <w:tcPr>
            <w:tcW w:w="1318" w:type="dxa"/>
            <w:vAlign w:val="center"/>
          </w:tcPr>
          <w:p w14:paraId="6847EA47">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环保投资</w:t>
            </w:r>
          </w:p>
          <w:p w14:paraId="29F39D75">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（万元）</w:t>
            </w:r>
          </w:p>
        </w:tc>
        <w:tc>
          <w:tcPr>
            <w:tcW w:w="2982" w:type="dxa"/>
            <w:vAlign w:val="center"/>
          </w:tcPr>
          <w:p w14:paraId="01EC480E">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128</w:t>
            </w:r>
          </w:p>
        </w:tc>
      </w:tr>
      <w:tr w14:paraId="592F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9" w:type="dxa"/>
            <w:vAlign w:val="center"/>
          </w:tcPr>
          <w:p w14:paraId="4ECFFA78">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环保投资占比（%）</w:t>
            </w:r>
          </w:p>
        </w:tc>
        <w:tc>
          <w:tcPr>
            <w:tcW w:w="2931" w:type="dxa"/>
            <w:vAlign w:val="center"/>
          </w:tcPr>
          <w:p w14:paraId="1BC89BD2">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3.32</w:t>
            </w:r>
          </w:p>
        </w:tc>
        <w:tc>
          <w:tcPr>
            <w:tcW w:w="1318" w:type="dxa"/>
            <w:vAlign w:val="center"/>
          </w:tcPr>
          <w:p w14:paraId="7A0E930A">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施工工期</w:t>
            </w:r>
          </w:p>
        </w:tc>
        <w:tc>
          <w:tcPr>
            <w:tcW w:w="2982" w:type="dxa"/>
            <w:vAlign w:val="center"/>
          </w:tcPr>
          <w:p w14:paraId="1C2BD8FA">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单井钻井期90天；单井试油期为300天</w:t>
            </w:r>
          </w:p>
        </w:tc>
      </w:tr>
      <w:tr w14:paraId="2655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59" w:type="dxa"/>
            <w:vAlign w:val="center"/>
          </w:tcPr>
          <w:p w14:paraId="148602DE">
            <w:pPr>
              <w:widowControl w:val="0"/>
              <w:kinsoku/>
              <w:autoSpaceDE/>
              <w:autoSpaceDN/>
              <w:spacing w:line="400" w:lineRule="exact"/>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是否开工建设</w:t>
            </w:r>
          </w:p>
        </w:tc>
        <w:tc>
          <w:tcPr>
            <w:tcW w:w="7231" w:type="dxa"/>
            <w:gridSpan w:val="3"/>
            <w:vAlign w:val="center"/>
          </w:tcPr>
          <w:p w14:paraId="7428CC0C">
            <w:pPr>
              <w:widowControl w:val="0"/>
              <w:kinsoku/>
              <w:autoSpaceDE/>
              <w:autoSpaceDN/>
              <w:spacing w:line="400" w:lineRule="exact"/>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sym w:font="Wingdings 2" w:char="0052"/>
            </w:r>
            <w:r>
              <w:rPr>
                <w:rFonts w:ascii="Times New Roman" w:hAnsi="Times New Roman" w:eastAsia="宋体" w:cs="Times New Roman"/>
                <w:snapToGrid/>
                <w:color w:val="auto"/>
                <w:kern w:val="2"/>
                <w:sz w:val="24"/>
                <w:szCs w:val="24"/>
                <w:highlight w:val="none"/>
                <w:lang w:eastAsia="zh-CN"/>
              </w:rPr>
              <w:t>否</w:t>
            </w:r>
          </w:p>
          <w:p w14:paraId="5C28DA8C">
            <w:pPr>
              <w:widowControl w:val="0"/>
              <w:kinsoku/>
              <w:autoSpaceDE/>
              <w:autoSpaceDN/>
              <w:spacing w:line="400" w:lineRule="exact"/>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□是：</w:t>
            </w:r>
          </w:p>
        </w:tc>
      </w:tr>
      <w:tr w14:paraId="7932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59" w:type="dxa"/>
            <w:vAlign w:val="center"/>
          </w:tcPr>
          <w:p w14:paraId="2BA61C62">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专项评价</w:t>
            </w:r>
          </w:p>
          <w:p w14:paraId="1E9BB07F">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设置情况</w:t>
            </w:r>
          </w:p>
        </w:tc>
        <w:tc>
          <w:tcPr>
            <w:tcW w:w="7231" w:type="dxa"/>
            <w:gridSpan w:val="3"/>
            <w:vAlign w:val="center"/>
          </w:tcPr>
          <w:p w14:paraId="55CECA42">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无</w:t>
            </w:r>
          </w:p>
        </w:tc>
      </w:tr>
      <w:tr w14:paraId="6DA4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9" w:type="dxa"/>
            <w:vAlign w:val="center"/>
          </w:tcPr>
          <w:p w14:paraId="0E7B179C">
            <w:pPr>
              <w:widowControl w:val="0"/>
              <w:kinsoku/>
              <w:spacing w:line="40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项目建设的背景与必要性</w:t>
            </w:r>
          </w:p>
        </w:tc>
        <w:tc>
          <w:tcPr>
            <w:tcW w:w="7231" w:type="dxa"/>
            <w:gridSpan w:val="3"/>
            <w:vAlign w:val="center"/>
          </w:tcPr>
          <w:p w14:paraId="5CC37803">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（1）保障国家能源安全的需要 石油天然气是国家战略性资源。随着我国经济社会的快速发展，对油气资源的需求持续增长。为贯彻落实国家关于“加大国内油气勘探开发力度，保障国家能源安全”的战略部署，吐哈油田分公司积极推进准噶尔盆地等重点区域的勘探工作。本项目位于准噶尔盆地阜康凹陷，通过钻探评价井，旨在进一步查明该区块的含油气情况，落实地质储量，对于提升我国西部地区能源供应保障能力具有重要意义。</w:t>
            </w:r>
          </w:p>
          <w:p w14:paraId="0ADBDAB3">
            <w:pPr>
              <w:widowControl w:val="0"/>
              <w:kinsoku/>
              <w:spacing w:line="360" w:lineRule="auto"/>
              <w:ind w:firstLine="4"/>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lang w:eastAsia="zh-CN"/>
              </w:rPr>
              <w:t>（2）落实吐哈油田发展规划的需要 根据《吐哈油田公司勘探与生产业务“十四五”发展规划》，准噶尔盆地东部及阜康断裂带是重点勘探领域。本项目康探1块阜4803H、阜4805H井的实施，是落实该规划关于“大打勘探发现进攻仗、落实规模储量区”的具体举措。项目的实施将为后续产能建设提供翔实的地质资料和技术参数，对促进地方经济发展和油田公司可持续发展具有十分必要的现实意义。</w:t>
            </w:r>
          </w:p>
        </w:tc>
      </w:tr>
      <w:tr w14:paraId="12AE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jc w:val="center"/>
        </w:trPr>
        <w:tc>
          <w:tcPr>
            <w:tcW w:w="1459" w:type="dxa"/>
            <w:vAlign w:val="center"/>
          </w:tcPr>
          <w:p w14:paraId="136E616D">
            <w:pPr>
              <w:widowControl w:val="0"/>
              <w:kinsoku/>
              <w:spacing w:line="4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规划情况</w:t>
            </w:r>
          </w:p>
        </w:tc>
        <w:tc>
          <w:tcPr>
            <w:tcW w:w="7231" w:type="dxa"/>
            <w:gridSpan w:val="3"/>
            <w:vAlign w:val="center"/>
          </w:tcPr>
          <w:p w14:paraId="0C9C60C0">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1.规划名称：《新疆维吾尔自治区矿产资源总体规划（2021-2025年）》；</w:t>
            </w:r>
          </w:p>
          <w:p w14:paraId="66386A88">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审批机关：自然资源部；</w:t>
            </w:r>
          </w:p>
          <w:p w14:paraId="1D5BD9DF">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审批文号：自然资函〔2022〕1092号。</w:t>
            </w:r>
          </w:p>
          <w:p w14:paraId="67C1FA27">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2.规划名称：《新疆维吾尔自治区昌吉回族自治州矿产资源总体规划（2021-2025年）》；</w:t>
            </w:r>
          </w:p>
          <w:p w14:paraId="17A6A893">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规划编制单位：昌吉回族自治州人民政府。</w:t>
            </w:r>
          </w:p>
          <w:p w14:paraId="6F9DD349">
            <w:pPr>
              <w:pStyle w:val="22"/>
              <w:widowControl w:val="0"/>
              <w:kinsoku/>
              <w:spacing w:before="3" w:line="360" w:lineRule="auto"/>
              <w:ind w:right="3"/>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3.规划名称：《吐哈油田公司勘探与生产业务“十四五”发展规划》；</w:t>
            </w:r>
          </w:p>
          <w:p w14:paraId="14BF8717">
            <w:pPr>
              <w:pStyle w:val="5"/>
              <w:widowControl w:val="0"/>
              <w:kinsoku/>
              <w:ind w:firstLine="0" w:firstLineChars="0"/>
              <w:jc w:val="both"/>
              <w:rPr>
                <w:rFonts w:ascii="Times New Roman" w:hAnsi="Times New Roman" w:cs="Times New Roman"/>
                <w:color w:val="auto"/>
                <w:highlight w:val="none"/>
                <w:lang w:eastAsia="zh-CN"/>
              </w:rPr>
            </w:pPr>
            <w:r>
              <w:rPr>
                <w:rFonts w:ascii="Times New Roman" w:hAnsi="Times New Roman" w:eastAsia="宋体" w:cs="Times New Roman"/>
                <w:color w:val="auto"/>
                <w:sz w:val="24"/>
                <w:szCs w:val="24"/>
                <w:highlight w:val="none"/>
                <w:lang w:eastAsia="zh-CN"/>
              </w:rPr>
              <w:t>规划编制单位：中国石油天然气股份有限公司吐哈油田分公司。</w:t>
            </w:r>
          </w:p>
        </w:tc>
      </w:tr>
      <w:tr w14:paraId="1235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9" w:type="dxa"/>
            <w:vAlign w:val="center"/>
          </w:tcPr>
          <w:p w14:paraId="42404E45">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规划环境影响评价情况</w:t>
            </w:r>
          </w:p>
        </w:tc>
        <w:tc>
          <w:tcPr>
            <w:tcW w:w="7231" w:type="dxa"/>
            <w:gridSpan w:val="3"/>
            <w:vAlign w:val="center"/>
          </w:tcPr>
          <w:p w14:paraId="38079717">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1.环评文件名称：《新疆维吾尔自治区矿产资源总体规划（2021-2025年）环境影响报告书》；</w:t>
            </w:r>
          </w:p>
          <w:p w14:paraId="163C2806">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审查机关：生态环境部；</w:t>
            </w:r>
          </w:p>
          <w:p w14:paraId="1CD8196A">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审查文件名称及文号：关于《新疆维吾尔自治区矿产资源总体规划（2021-2025年）环境影响报告书》的审查意见（环审〔2022〕124号）。</w:t>
            </w:r>
          </w:p>
          <w:p w14:paraId="2953C9EE">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2、环评文件名称：《新疆维吾尔自治区昌吉回族自治州矿产资源总体规划（2021—2025年）环境影响报告书》；</w:t>
            </w:r>
          </w:p>
          <w:p w14:paraId="0E7681CF">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审查机关：昌吉回族自治州生态环境局；</w:t>
            </w:r>
          </w:p>
          <w:p w14:paraId="735EAD93">
            <w:pPr>
              <w:widowControl w:val="0"/>
              <w:kinsoku/>
              <w:spacing w:line="360" w:lineRule="auto"/>
              <w:ind w:firstLine="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审查文件名称及文号：关于《新疆维吾尔自治区昌吉回族自治州矿产资源总体规划（2021—2025年）环境影响报告书》的审查意见（昌州环函〔2023〕40号）。</w:t>
            </w:r>
          </w:p>
        </w:tc>
      </w:tr>
      <w:tr w14:paraId="7E50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1" w:hRule="atLeast"/>
          <w:jc w:val="center"/>
        </w:trPr>
        <w:tc>
          <w:tcPr>
            <w:tcW w:w="1459" w:type="dxa"/>
            <w:vAlign w:val="center"/>
          </w:tcPr>
          <w:p w14:paraId="3669BDE7">
            <w:pPr>
              <w:widowControl w:val="0"/>
              <w:kinsoku/>
              <w:spacing w:line="43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规划及规划环境影响评价符合性分析</w:t>
            </w:r>
          </w:p>
        </w:tc>
        <w:tc>
          <w:tcPr>
            <w:tcW w:w="7231" w:type="dxa"/>
            <w:gridSpan w:val="3"/>
            <w:vAlign w:val="center"/>
          </w:tcPr>
          <w:p w14:paraId="11A72089">
            <w:pPr>
              <w:pStyle w:val="26"/>
              <w:widowControl w:val="0"/>
              <w:kinsoku/>
              <w:spacing w:line="360" w:lineRule="auto"/>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1.与《新疆维吾尔自治区矿产资源总体规划（2021—2025年）》及规划环评的符合性分析</w:t>
            </w:r>
          </w:p>
          <w:p w14:paraId="5397E489">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新疆矿产资源丰富，是我国重要的能源资源开发区。规划将石油、天然气列为重点勘查开采矿种，鼓励勘探和开发；并且依据矿产资源分布特点及勘查开发利用现状，按照“深化北疆东疆，加快南疆勘查开发”的总体思路，划分了环准噶尔、环塔里木、阿尔泰、东准噶尔、西准噶尔、东天山、西天山、西南天山、西昆仑、东昆仑—阿尔金等“两环八带”十个勘查开发区。规划环评要求对产生的污染物采取相应的治理措施，对实施过程中产生的生态影响采取有效的减缓措施。</w:t>
            </w:r>
          </w:p>
          <w:p w14:paraId="05274187">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本项目拟部署的2口勘探井占地位于“两环八带”十个勘查开发区”中的环准噶尔能源矿产勘查开发区，且属于陆地矿产资源地质勘查（含油气资源勘探），符合规划要求；</w:t>
            </w:r>
          </w:p>
          <w:p w14:paraId="4E097EC8">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同时，本项目严格按照《新疆维吾尔自治区矿产资源总体规划（2021-2025年）环境影响报告书》要求对施工期产生的“三废”、噪声及生态影响均提出了相应的治理或减缓措施，符合规划环评相关要求。</w:t>
            </w:r>
          </w:p>
          <w:p w14:paraId="5D5194F9">
            <w:pPr>
              <w:pStyle w:val="26"/>
              <w:widowControl w:val="0"/>
              <w:kinsoku/>
              <w:spacing w:line="360" w:lineRule="auto"/>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2.与《新疆维吾尔自治区昌吉回族自治州矿产资源总体规划（2021—2025年）》及规划环评的符合性分析</w:t>
            </w:r>
          </w:p>
          <w:p w14:paraId="1DCCF7E4">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规划》将石油、天然气列为鼓励勘察开采的矿种。以油气、煤、地热、硅质原料、饰面石材等矿产资源勘查开发为主，重点加强准噶尔南缘、准东冲断带等地区石油、天然气、页岩气等常规能源勘查，有序开发准东、准南等地区煤炭、煤层气资源，延伸煤炭产业链，推进煤电煤化工一体化等综合资源开发，助力天山北坡城市群经济高质量发展。拟部署勘探井位于准噶尔盆地</w:t>
            </w:r>
            <w:r>
              <w:rPr>
                <w:rFonts w:hint="eastAsia" w:ascii="Times New Roman" w:hAnsi="Times New Roman" w:eastAsia="宋体" w:cs="Times New Roman"/>
                <w:color w:val="auto"/>
                <w:sz w:val="24"/>
                <w:szCs w:val="24"/>
                <w:highlight w:val="none"/>
                <w:lang w:val="en-US" w:eastAsia="zh-CN"/>
              </w:rPr>
              <w:t>阜康凹陷康探1块</w:t>
            </w:r>
            <w:r>
              <w:rPr>
                <w:rFonts w:ascii="Times New Roman" w:hAnsi="Times New Roman" w:eastAsia="宋体" w:cs="Times New Roman"/>
                <w:color w:val="auto"/>
                <w:sz w:val="24"/>
                <w:szCs w:val="24"/>
                <w:highlight w:val="none"/>
                <w:lang w:eastAsia="zh-CN"/>
              </w:rPr>
              <w:t>，属于陆地石油勘探，符合规划相关要求。</w:t>
            </w:r>
          </w:p>
          <w:p w14:paraId="5B4E9ABA">
            <w:pPr>
              <w:pStyle w:val="26"/>
              <w:widowControl/>
              <w:kinsoku/>
              <w:spacing w:line="360" w:lineRule="auto"/>
              <w:jc w:val="both"/>
              <w:rPr>
                <w:rFonts w:ascii="Times New Roman" w:hAnsi="Times New Roman" w:cs="Times New Roman"/>
                <w:color w:val="auto"/>
                <w:sz w:val="24"/>
                <w:szCs w:val="24"/>
                <w:highlight w:val="none"/>
                <w:lang w:eastAsia="zh-CN"/>
              </w:rPr>
            </w:pPr>
            <w:r>
              <w:rPr>
                <w:rFonts w:hint="eastAsia" w:eastAsia="宋体" w:cs="宋体"/>
                <w:color w:val="auto"/>
                <w:sz w:val="24"/>
                <w:szCs w:val="24"/>
                <w:highlight w:val="none"/>
                <w:lang w:eastAsia="zh-CN"/>
              </w:rPr>
              <w:t>施工期将采取严格的生态保护和恢复措施，严格控制施工区扰动范围，废水、废气、固体废物均按照国家标准进行分类收集、集中处理，尽可能减少生态扰动和环境污染。</w:t>
            </w:r>
          </w:p>
          <w:p w14:paraId="7192B48C">
            <w:pPr>
              <w:pStyle w:val="26"/>
              <w:widowControl/>
              <w:kinsoku/>
              <w:spacing w:line="360" w:lineRule="auto"/>
              <w:jc w:val="both"/>
              <w:rPr>
                <w:rFonts w:ascii="Times New Roman" w:hAnsi="Times New Roman" w:cs="Times New Roman"/>
                <w:color w:val="auto"/>
                <w:sz w:val="24"/>
                <w:szCs w:val="24"/>
                <w:highlight w:val="none"/>
                <w:lang w:eastAsia="zh-CN"/>
              </w:rPr>
            </w:pPr>
            <w:r>
              <w:rPr>
                <w:rFonts w:hint="eastAsia" w:eastAsia="宋体" w:cs="宋体"/>
                <w:color w:val="auto"/>
                <w:sz w:val="24"/>
                <w:szCs w:val="24"/>
                <w:highlight w:val="none"/>
                <w:lang w:eastAsia="zh-CN"/>
              </w:rPr>
              <w:t>因此，本项目在选址、建设内容、生态保护措施等方面与《新疆维吾尔自治区昌吉回族自治州矿产资源总体规划（</w:t>
            </w:r>
            <w:r>
              <w:rPr>
                <w:rFonts w:ascii="Times New Roman" w:hAnsi="Times New Roman" w:cs="Times New Roman"/>
                <w:color w:val="auto"/>
                <w:sz w:val="24"/>
                <w:szCs w:val="24"/>
                <w:highlight w:val="none"/>
                <w:lang w:eastAsia="zh-CN"/>
              </w:rPr>
              <w:t>2021—2025</w:t>
            </w:r>
            <w:r>
              <w:rPr>
                <w:rFonts w:hint="eastAsia" w:eastAsia="宋体" w:cs="宋体"/>
                <w:color w:val="auto"/>
                <w:sz w:val="24"/>
                <w:szCs w:val="24"/>
                <w:highlight w:val="none"/>
                <w:lang w:eastAsia="zh-CN"/>
              </w:rPr>
              <w:t>年）》及其环境影响报告书的相关要求保持一致，符合规划及其规划环评的相关导向与管理要求。</w:t>
            </w:r>
          </w:p>
          <w:p w14:paraId="24255D0A">
            <w:pPr>
              <w:pStyle w:val="26"/>
              <w:widowControl w:val="0"/>
              <w:kinsoku/>
              <w:spacing w:line="360" w:lineRule="auto"/>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3.与《吐哈油田公司勘探与生产业务“十四五”发展规划》的符合性分析</w:t>
            </w:r>
          </w:p>
          <w:p w14:paraId="486F1DFA">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根据《吐哈油田公司勘探与生产业务“十四五”发展规划》中“十四五”规划方案</w:t>
            </w:r>
            <w:bookmarkStart w:id="49" w:name="_GoBack"/>
            <w:bookmarkEnd w:id="49"/>
            <w:r>
              <w:rPr>
                <w:rFonts w:ascii="Times New Roman" w:hAnsi="Times New Roman" w:eastAsia="宋体" w:cs="Times New Roman"/>
                <w:color w:val="auto"/>
                <w:sz w:val="24"/>
                <w:szCs w:val="24"/>
                <w:highlight w:val="none"/>
                <w:lang w:eastAsia="zh-CN"/>
              </w:rPr>
              <w:t>中“规划部署内容”：（一）坚持资源战略，大打勘探发现进攻仗，筑牢高质量发展的根基。始终将勘探作为各项工作“龙头”，打好勘探发现进攻仗，发现并落实2～3个5000万吨级整装规模储量区，确保探明储量替换率石油&gt;1.5、天然气&gt;2.5。加大四新领域风险勘探和甩开预探，进一步解放思想，强化基础研究与整体研究，优选突破方向，落实有利勘探领域及区带6～8个，每年采纳风险井位3-5口，力争实现具有战略意义的重大突破。瞄准吐哈盆地中下侏罗系岩性油气藏、胜北致密气、石钱滩天然气、准东和三塘湖页岩油、阜康断裂带东部等领域和区带，加大集中勘探力度，努力将当前发现的好苗头转化为效益建产的规模储量，力争“十四五”新增探明石油储量1.35亿吨、天然气储量900亿方，为新区上产奠定坚实的资源基础。</w:t>
            </w:r>
          </w:p>
          <w:p w14:paraId="69DDD563">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本项目位于准噶尔盆地阜康凹陷康探1块，</w:t>
            </w:r>
            <w:r>
              <w:rPr>
                <w:rFonts w:hint="eastAsia" w:ascii="宋体" w:hAnsi="宋体" w:eastAsia="宋体" w:cs="宋体"/>
                <w:color w:val="auto"/>
                <w:spacing w:val="-2"/>
                <w:sz w:val="24"/>
                <w:szCs w:val="24"/>
                <w:highlight w:val="none"/>
                <w:lang w:eastAsia="zh-CN"/>
              </w:rPr>
              <w:t>属于《吐哈油田公司勘探与生产业务</w:t>
            </w:r>
            <w:r>
              <w:rPr>
                <w:rFonts w:ascii="Times New Roman" w:hAnsi="Times New Roman" w:eastAsia="宋体" w:cs="Times New Roman"/>
                <w:color w:val="auto"/>
                <w:spacing w:val="-2"/>
                <w:sz w:val="24"/>
                <w:szCs w:val="24"/>
                <w:highlight w:val="none"/>
                <w:lang w:eastAsia="zh-CN"/>
              </w:rPr>
              <w:t>“</w:t>
            </w:r>
            <w:r>
              <w:rPr>
                <w:rFonts w:hint="eastAsia" w:ascii="宋体" w:hAnsi="宋体" w:eastAsia="宋体" w:cs="宋体"/>
                <w:color w:val="auto"/>
                <w:spacing w:val="-2"/>
                <w:sz w:val="24"/>
                <w:szCs w:val="24"/>
                <w:highlight w:val="none"/>
                <w:lang w:eastAsia="zh-CN"/>
              </w:rPr>
              <w:t>十四五</w:t>
            </w:r>
            <w:r>
              <w:rPr>
                <w:rFonts w:ascii="Times New Roman" w:hAnsi="Times New Roman" w:eastAsia="宋体" w:cs="Times New Roman"/>
                <w:color w:val="auto"/>
                <w:spacing w:val="-2"/>
                <w:sz w:val="24"/>
                <w:szCs w:val="24"/>
                <w:highlight w:val="none"/>
                <w:lang w:eastAsia="zh-CN"/>
              </w:rPr>
              <w:t>”</w:t>
            </w:r>
            <w:r>
              <w:rPr>
                <w:rFonts w:hint="eastAsia" w:ascii="宋体" w:hAnsi="宋体" w:eastAsia="宋体" w:cs="宋体"/>
                <w:color w:val="auto"/>
                <w:spacing w:val="-2"/>
                <w:sz w:val="24"/>
                <w:szCs w:val="24"/>
                <w:highlight w:val="none"/>
                <w:lang w:eastAsia="zh-CN"/>
              </w:rPr>
              <w:t>发</w:t>
            </w:r>
            <w:r>
              <w:rPr>
                <w:rFonts w:hint="eastAsia" w:ascii="宋体" w:hAnsi="宋体" w:eastAsia="宋体" w:cs="宋体"/>
                <w:color w:val="auto"/>
                <w:sz w:val="24"/>
                <w:szCs w:val="24"/>
                <w:highlight w:val="none"/>
                <w:lang w:eastAsia="zh-CN"/>
              </w:rPr>
              <w:t>展规划》重点开发区块</w:t>
            </w:r>
            <w:r>
              <w:rPr>
                <w:rFonts w:ascii="Times New Roman" w:hAnsi="Times New Roman" w:eastAsia="宋体" w:cs="Times New Roman"/>
                <w:color w:val="auto"/>
                <w:sz w:val="24"/>
                <w:szCs w:val="24"/>
                <w:highlight w:val="none"/>
                <w:lang w:eastAsia="zh-CN"/>
              </w:rPr>
              <w:t>，符合此规划要求。</w:t>
            </w:r>
          </w:p>
        </w:tc>
      </w:tr>
      <w:tr w14:paraId="260A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459" w:type="dxa"/>
            <w:vAlign w:val="center"/>
          </w:tcPr>
          <w:p w14:paraId="631FA3CC">
            <w:pPr>
              <w:widowControl w:val="0"/>
              <w:kinsoku/>
              <w:spacing w:line="400" w:lineRule="exact"/>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其他符合性分析</w:t>
            </w:r>
          </w:p>
        </w:tc>
        <w:tc>
          <w:tcPr>
            <w:tcW w:w="7231" w:type="dxa"/>
            <w:gridSpan w:val="3"/>
            <w:vAlign w:val="center"/>
          </w:tcPr>
          <w:p w14:paraId="4FDBA858">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1.产业政策符合性分析</w:t>
            </w:r>
          </w:p>
          <w:p w14:paraId="38D60CA3">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国家发展和改革委员会发布的《产业结构调整指导目录（2024年本）》，本项目为勘探井项目，属于第一类“鼓励类”中的第七条“石油天然气”中第1项“常规石油、天然气勘探与开采”类项目，为国家鼓励发展的产业。</w:t>
            </w:r>
            <w:r>
              <w:rPr>
                <w:rFonts w:hint="eastAsia" w:ascii="Times New Roman" w:hAnsi="Times New Roman" w:eastAsia="宋体" w:cs="Times New Roman"/>
                <w:color w:val="auto"/>
                <w:sz w:val="24"/>
                <w:szCs w:val="24"/>
                <w:highlight w:val="none"/>
                <w:lang w:val="en-US" w:eastAsia="zh-CN"/>
              </w:rPr>
              <w:t>另外，</w:t>
            </w:r>
            <w:r>
              <w:rPr>
                <w:rFonts w:ascii="Times New Roman" w:hAnsi="Times New Roman" w:eastAsia="宋体" w:cs="Times New Roman"/>
                <w:color w:val="auto"/>
                <w:sz w:val="24"/>
                <w:szCs w:val="24"/>
                <w:highlight w:val="none"/>
                <w:lang w:eastAsia="zh-CN"/>
              </w:rPr>
              <w:t>本项目选用的2.5t/h生物质锅炉配备了专用的生物质燃烧器，采用火室燃烧方式及自动进料技术，不属于《产业结构调整指导目录（2024年本）》限制类中规定的“固定炉排式生物质锅炉”</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因此，本项目符合国家产业政策。</w:t>
            </w:r>
          </w:p>
          <w:p w14:paraId="06AFACCC">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2.生态环境分区管控符合性分析</w:t>
            </w:r>
          </w:p>
          <w:p w14:paraId="1C84D0F3">
            <w:pPr>
              <w:widowControl w:val="0"/>
              <w:kinsoku/>
              <w:spacing w:line="360" w:lineRule="auto"/>
              <w:ind w:firstLine="482" w:firstLineChars="20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（1）与《新疆维吾尔自治区生态环境分区管控动态更新成果》（新环环评发〔2024〕157号）的符合性分析</w:t>
            </w:r>
          </w:p>
          <w:p w14:paraId="2E50AEA7">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项目与《新疆维吾尔自治区生态环境分区管控动态更新成果》（新环环评发〔2024〕157号）的符合性分析具体见表1-1。</w:t>
            </w:r>
          </w:p>
          <w:p w14:paraId="6849153B">
            <w:pPr>
              <w:widowControl w:val="0"/>
              <w:kinsoku/>
              <w:spacing w:line="4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表1-1 本项目与《新疆维吾尔自治区生态环境分区管控动态更新成果》（新环环评发〔2024〕157号）的符合性分析</w:t>
            </w:r>
          </w:p>
          <w:tbl>
            <w:tblPr>
              <w:tblStyle w:val="16"/>
              <w:tblW w:w="6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88"/>
              <w:gridCol w:w="408"/>
              <w:gridCol w:w="2579"/>
              <w:gridCol w:w="2025"/>
              <w:gridCol w:w="547"/>
            </w:tblGrid>
            <w:tr w14:paraId="151E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72" w:type="dxa"/>
                  <w:vAlign w:val="center"/>
                </w:tcPr>
                <w:p w14:paraId="56C06D19">
                  <w:pPr>
                    <w:pStyle w:val="22"/>
                    <w:widowControl w:val="0"/>
                    <w:kinsoku/>
                    <w:spacing w:before="65" w:line="228"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6"/>
                      <w:sz w:val="21"/>
                      <w:szCs w:val="21"/>
                      <w:highlight w:val="none"/>
                    </w:rPr>
                    <w:t>文件名称</w:t>
                  </w:r>
                </w:p>
              </w:tc>
              <w:tc>
                <w:tcPr>
                  <w:tcW w:w="3375" w:type="dxa"/>
                  <w:gridSpan w:val="3"/>
                  <w:vAlign w:val="center"/>
                </w:tcPr>
                <w:p w14:paraId="2F262ACE">
                  <w:pPr>
                    <w:pStyle w:val="22"/>
                    <w:widowControl w:val="0"/>
                    <w:kinsoku/>
                    <w:spacing w:before="65" w:line="228" w:lineRule="auto"/>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8"/>
                      <w:sz w:val="21"/>
                      <w:szCs w:val="21"/>
                      <w:highlight w:val="none"/>
                      <w:lang w:eastAsia="zh-CN"/>
                    </w:rPr>
                    <w:t>环境管理政策有关要求</w:t>
                  </w:r>
                </w:p>
              </w:tc>
              <w:tc>
                <w:tcPr>
                  <w:tcW w:w="2025" w:type="dxa"/>
                  <w:vAlign w:val="center"/>
                </w:tcPr>
                <w:p w14:paraId="6644E8B1">
                  <w:pPr>
                    <w:pStyle w:val="22"/>
                    <w:widowControl w:val="0"/>
                    <w:kinsoku/>
                    <w:spacing w:before="65" w:line="228" w:lineRule="auto"/>
                    <w:jc w:val="center"/>
                    <w:rPr>
                      <w:rFonts w:ascii="Times New Roman" w:hAnsi="Times New Roman" w:cs="Times New Roman"/>
                      <w:b/>
                      <w:bCs/>
                      <w:color w:val="auto"/>
                      <w:spacing w:val="6"/>
                      <w:sz w:val="21"/>
                      <w:szCs w:val="21"/>
                      <w:highlight w:val="none"/>
                      <w:lang w:eastAsia="zh-CN"/>
                    </w:rPr>
                  </w:pPr>
                  <w:r>
                    <w:rPr>
                      <w:rFonts w:ascii="Times New Roman" w:hAnsi="Times New Roman" w:cs="Times New Roman"/>
                      <w:b/>
                      <w:bCs/>
                      <w:color w:val="auto"/>
                      <w:spacing w:val="6"/>
                      <w:sz w:val="21"/>
                      <w:szCs w:val="21"/>
                      <w:highlight w:val="none"/>
                      <w:lang w:eastAsia="zh-CN"/>
                    </w:rPr>
                    <w:t>本项目情况</w:t>
                  </w:r>
                </w:p>
              </w:tc>
              <w:tc>
                <w:tcPr>
                  <w:tcW w:w="547" w:type="dxa"/>
                  <w:vAlign w:val="center"/>
                </w:tcPr>
                <w:p w14:paraId="7C9FAF8E">
                  <w:pPr>
                    <w:pStyle w:val="22"/>
                    <w:widowControl w:val="0"/>
                    <w:kinsoku/>
                    <w:spacing w:before="65" w:line="228" w:lineRule="auto"/>
                    <w:jc w:val="center"/>
                    <w:rPr>
                      <w:rFonts w:ascii="Times New Roman" w:hAnsi="Times New Roman" w:cs="Times New Roman"/>
                      <w:b/>
                      <w:bCs/>
                      <w:color w:val="auto"/>
                      <w:spacing w:val="6"/>
                      <w:sz w:val="21"/>
                      <w:szCs w:val="21"/>
                      <w:highlight w:val="none"/>
                      <w:lang w:eastAsia="zh-CN"/>
                    </w:rPr>
                  </w:pPr>
                  <w:r>
                    <w:rPr>
                      <w:rFonts w:ascii="Times New Roman" w:hAnsi="Times New Roman" w:cs="Times New Roman"/>
                      <w:b/>
                      <w:bCs/>
                      <w:color w:val="auto"/>
                      <w:spacing w:val="6"/>
                      <w:sz w:val="21"/>
                      <w:szCs w:val="21"/>
                      <w:highlight w:val="none"/>
                      <w:lang w:eastAsia="zh-CN"/>
                    </w:rPr>
                    <w:t>符合性</w:t>
                  </w:r>
                </w:p>
              </w:tc>
            </w:tr>
            <w:tr w14:paraId="43CA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672" w:type="dxa"/>
                  <w:vMerge w:val="restart"/>
                  <w:vAlign w:val="center"/>
                </w:tcPr>
                <w:p w14:paraId="5A691864">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关于印发《新疆维吾尔自治区生态环境分区管控动态更新成果》的通知</w:t>
                  </w:r>
                </w:p>
              </w:tc>
              <w:tc>
                <w:tcPr>
                  <w:tcW w:w="388" w:type="dxa"/>
                  <w:vMerge w:val="restart"/>
                  <w:vAlign w:val="center"/>
                </w:tcPr>
                <w:p w14:paraId="0CD98840">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自治区总体管控</w:t>
                  </w:r>
                </w:p>
              </w:tc>
              <w:tc>
                <w:tcPr>
                  <w:tcW w:w="408" w:type="dxa"/>
                  <w:vMerge w:val="restart"/>
                  <w:vAlign w:val="center"/>
                </w:tcPr>
                <w:p w14:paraId="104CC383">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空间布局约束</w:t>
                  </w:r>
                </w:p>
                <w:p w14:paraId="6BF53E45">
                  <w:pPr>
                    <w:widowControl w:val="0"/>
                    <w:kinsoku/>
                    <w:spacing w:line="300" w:lineRule="exact"/>
                    <w:jc w:val="center"/>
                    <w:rPr>
                      <w:rFonts w:ascii="Times New Roman" w:hAnsi="Times New Roman" w:eastAsia="宋体" w:cs="Times New Roman"/>
                      <w:color w:val="auto"/>
                      <w:highlight w:val="none"/>
                    </w:rPr>
                  </w:pPr>
                </w:p>
              </w:tc>
              <w:tc>
                <w:tcPr>
                  <w:tcW w:w="2579" w:type="dxa"/>
                  <w:vAlign w:val="center"/>
                </w:tcPr>
                <w:p w14:paraId="3A62DA6C">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〔A1.1-1〕禁止新建、扩建《产业结构调整指导目录(2024年本)》中淘汰类项目。禁止引入《市场准入负面清单(2022年版)》禁止准入类事项。</w:t>
                  </w:r>
                </w:p>
              </w:tc>
              <w:tc>
                <w:tcPr>
                  <w:tcW w:w="2025" w:type="dxa"/>
                  <w:vAlign w:val="center"/>
                </w:tcPr>
                <w:p w14:paraId="7D6236B9">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本项目不属于《产业结构调整指导目录（2024年本）》中淘汰类项目，也不属于《市场准入负面清单(2025年版)》，禁止准入类事项。</w:t>
                  </w:r>
                </w:p>
              </w:tc>
              <w:tc>
                <w:tcPr>
                  <w:tcW w:w="547" w:type="dxa"/>
                  <w:vAlign w:val="center"/>
                </w:tcPr>
                <w:p w14:paraId="3BDA6113">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2D6D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vAlign w:val="center"/>
                </w:tcPr>
                <w:p w14:paraId="5C9E0F36">
                  <w:pPr>
                    <w:widowControl w:val="0"/>
                    <w:kinsoku/>
                    <w:spacing w:line="300" w:lineRule="exact"/>
                    <w:jc w:val="center"/>
                    <w:rPr>
                      <w:rFonts w:ascii="Times New Roman" w:hAnsi="Times New Roman" w:eastAsia="宋体" w:cs="Times New Roman"/>
                      <w:color w:val="auto"/>
                      <w:highlight w:val="none"/>
                    </w:rPr>
                  </w:pPr>
                </w:p>
              </w:tc>
              <w:tc>
                <w:tcPr>
                  <w:tcW w:w="388" w:type="dxa"/>
                  <w:vMerge w:val="continue"/>
                  <w:vAlign w:val="center"/>
                </w:tcPr>
                <w:p w14:paraId="36BA62CF">
                  <w:pPr>
                    <w:widowControl w:val="0"/>
                    <w:kinsoku/>
                    <w:spacing w:line="300" w:lineRule="exact"/>
                    <w:jc w:val="center"/>
                    <w:rPr>
                      <w:rFonts w:ascii="Times New Roman" w:hAnsi="Times New Roman" w:eastAsia="宋体" w:cs="Times New Roman"/>
                      <w:color w:val="auto"/>
                      <w:highlight w:val="none"/>
                    </w:rPr>
                  </w:pPr>
                </w:p>
              </w:tc>
              <w:tc>
                <w:tcPr>
                  <w:tcW w:w="408" w:type="dxa"/>
                  <w:vMerge w:val="continue"/>
                  <w:vAlign w:val="center"/>
                </w:tcPr>
                <w:p w14:paraId="276D7106">
                  <w:pPr>
                    <w:widowControl w:val="0"/>
                    <w:kinsoku/>
                    <w:spacing w:line="300" w:lineRule="exact"/>
                    <w:jc w:val="center"/>
                    <w:rPr>
                      <w:rFonts w:ascii="Times New Roman" w:hAnsi="Times New Roman" w:eastAsia="宋体" w:cs="Times New Roman"/>
                      <w:color w:val="auto"/>
                      <w:highlight w:val="none"/>
                    </w:rPr>
                  </w:pPr>
                </w:p>
              </w:tc>
              <w:tc>
                <w:tcPr>
                  <w:tcW w:w="2579" w:type="dxa"/>
                  <w:vAlign w:val="center"/>
                </w:tcPr>
                <w:p w14:paraId="2C95B425">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2025" w:type="dxa"/>
                  <w:vAlign w:val="center"/>
                </w:tcPr>
                <w:p w14:paraId="062CB56E">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本项目建设活动符合《新疆维吾尔自治区矿产资源总体规划（2021-2025年）》规划要求，符合生态环境功能区划、国民经济发展规划、产业发展规划、国土空间规划等相关规划及重点生态功能区负面清单要求。</w:t>
                  </w:r>
                </w:p>
              </w:tc>
              <w:tc>
                <w:tcPr>
                  <w:tcW w:w="547" w:type="dxa"/>
                  <w:vAlign w:val="center"/>
                </w:tcPr>
                <w:p w14:paraId="7C38E319">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符合</w:t>
                  </w:r>
                </w:p>
              </w:tc>
            </w:tr>
            <w:tr w14:paraId="4F10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672" w:type="dxa"/>
                  <w:vMerge w:val="continue"/>
                  <w:vAlign w:val="center"/>
                </w:tcPr>
                <w:p w14:paraId="4EA66446">
                  <w:pPr>
                    <w:widowControl w:val="0"/>
                    <w:kinsoku/>
                    <w:spacing w:line="300" w:lineRule="exact"/>
                    <w:jc w:val="center"/>
                    <w:rPr>
                      <w:rFonts w:ascii="Times New Roman" w:hAnsi="Times New Roman" w:eastAsia="宋体" w:cs="Times New Roman"/>
                      <w:color w:val="auto"/>
                      <w:highlight w:val="none"/>
                    </w:rPr>
                  </w:pPr>
                </w:p>
              </w:tc>
              <w:tc>
                <w:tcPr>
                  <w:tcW w:w="388" w:type="dxa"/>
                  <w:vMerge w:val="continue"/>
                  <w:vAlign w:val="center"/>
                </w:tcPr>
                <w:p w14:paraId="6061A9B2">
                  <w:pPr>
                    <w:widowControl w:val="0"/>
                    <w:kinsoku/>
                    <w:spacing w:line="300" w:lineRule="exact"/>
                    <w:jc w:val="center"/>
                    <w:rPr>
                      <w:rFonts w:ascii="Times New Roman" w:hAnsi="Times New Roman" w:eastAsia="宋体" w:cs="Times New Roman"/>
                      <w:color w:val="auto"/>
                      <w:highlight w:val="none"/>
                    </w:rPr>
                  </w:pPr>
                </w:p>
              </w:tc>
              <w:tc>
                <w:tcPr>
                  <w:tcW w:w="408" w:type="dxa"/>
                  <w:vMerge w:val="continue"/>
                  <w:vAlign w:val="center"/>
                </w:tcPr>
                <w:p w14:paraId="1DB7EA75">
                  <w:pPr>
                    <w:widowControl w:val="0"/>
                    <w:kinsoku/>
                    <w:spacing w:line="300" w:lineRule="exact"/>
                    <w:jc w:val="center"/>
                    <w:rPr>
                      <w:rFonts w:ascii="Times New Roman" w:hAnsi="Times New Roman" w:eastAsia="宋体" w:cs="Times New Roman"/>
                      <w:color w:val="auto"/>
                      <w:highlight w:val="none"/>
                    </w:rPr>
                  </w:pPr>
                </w:p>
              </w:tc>
              <w:tc>
                <w:tcPr>
                  <w:tcW w:w="2579" w:type="dxa"/>
                  <w:vAlign w:val="center"/>
                </w:tcPr>
                <w:p w14:paraId="33AA4759">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2025" w:type="dxa"/>
                  <w:vAlign w:val="center"/>
                </w:tcPr>
                <w:p w14:paraId="267FE7B1">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本项目不占用基本农田和耕地，占用灌木林地，环评提出按照国家、自治区相关补偿要求进行补偿。</w:t>
                  </w:r>
                </w:p>
              </w:tc>
              <w:tc>
                <w:tcPr>
                  <w:tcW w:w="547" w:type="dxa"/>
                  <w:vAlign w:val="center"/>
                </w:tcPr>
                <w:p w14:paraId="13E83A49">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符合</w:t>
                  </w:r>
                </w:p>
              </w:tc>
            </w:tr>
            <w:tr w14:paraId="0B04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vAlign w:val="center"/>
                </w:tcPr>
                <w:p w14:paraId="4EAA0EBD">
                  <w:pPr>
                    <w:widowControl w:val="0"/>
                    <w:kinsoku/>
                    <w:spacing w:line="300" w:lineRule="exact"/>
                    <w:jc w:val="center"/>
                    <w:rPr>
                      <w:rFonts w:ascii="Times New Roman" w:hAnsi="Times New Roman" w:eastAsia="宋体" w:cs="Times New Roman"/>
                      <w:color w:val="auto"/>
                      <w:highlight w:val="none"/>
                    </w:rPr>
                  </w:pPr>
                </w:p>
              </w:tc>
              <w:tc>
                <w:tcPr>
                  <w:tcW w:w="388" w:type="dxa"/>
                  <w:vMerge w:val="continue"/>
                  <w:vAlign w:val="center"/>
                </w:tcPr>
                <w:p w14:paraId="6D0455AE">
                  <w:pPr>
                    <w:widowControl w:val="0"/>
                    <w:kinsoku/>
                    <w:spacing w:line="300" w:lineRule="exact"/>
                    <w:jc w:val="center"/>
                    <w:rPr>
                      <w:rFonts w:ascii="Times New Roman" w:hAnsi="Times New Roman" w:eastAsia="宋体" w:cs="Times New Roman"/>
                      <w:color w:val="auto"/>
                      <w:highlight w:val="none"/>
                    </w:rPr>
                  </w:pPr>
                </w:p>
              </w:tc>
              <w:tc>
                <w:tcPr>
                  <w:tcW w:w="408" w:type="dxa"/>
                  <w:vMerge w:val="restart"/>
                  <w:vAlign w:val="center"/>
                </w:tcPr>
                <w:p w14:paraId="5A57D910">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污染物排放管理</w:t>
                  </w:r>
                </w:p>
              </w:tc>
              <w:tc>
                <w:tcPr>
                  <w:tcW w:w="2579" w:type="dxa"/>
                  <w:vAlign w:val="center"/>
                </w:tcPr>
                <w:p w14:paraId="772F2788">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〔A2.1-1〕新、改、扩建重点行业建设项目应符合“三线一单”、产业政策、区域环评、规划环评和行业环境准入管控要求。</w:t>
                  </w:r>
                </w:p>
              </w:tc>
              <w:tc>
                <w:tcPr>
                  <w:tcW w:w="2025" w:type="dxa"/>
                  <w:vAlign w:val="center"/>
                </w:tcPr>
                <w:p w14:paraId="670C7BBF">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本项目的建设符合生态环境分区管控要求，符合《产业结构调整指导目录（2024年本）》，符合《新疆维吾尔自治区矿产资源总体规划（2021-2025年）环境影响报告书》及审查意见。</w:t>
                  </w:r>
                </w:p>
              </w:tc>
              <w:tc>
                <w:tcPr>
                  <w:tcW w:w="547" w:type="dxa"/>
                  <w:vAlign w:val="center"/>
                </w:tcPr>
                <w:p w14:paraId="64F44B97">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符合</w:t>
                  </w:r>
                </w:p>
              </w:tc>
            </w:tr>
            <w:tr w14:paraId="196B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672" w:type="dxa"/>
                  <w:vMerge w:val="continue"/>
                  <w:vAlign w:val="center"/>
                </w:tcPr>
                <w:p w14:paraId="525430CE">
                  <w:pPr>
                    <w:widowControl w:val="0"/>
                    <w:kinsoku/>
                    <w:spacing w:line="300" w:lineRule="exact"/>
                    <w:jc w:val="center"/>
                    <w:rPr>
                      <w:rFonts w:ascii="Times New Roman" w:hAnsi="Times New Roman" w:eastAsia="宋体" w:cs="Times New Roman"/>
                      <w:color w:val="auto"/>
                      <w:highlight w:val="none"/>
                    </w:rPr>
                  </w:pPr>
                </w:p>
              </w:tc>
              <w:tc>
                <w:tcPr>
                  <w:tcW w:w="388" w:type="dxa"/>
                  <w:vMerge w:val="continue"/>
                  <w:vAlign w:val="center"/>
                </w:tcPr>
                <w:p w14:paraId="02E13471">
                  <w:pPr>
                    <w:widowControl w:val="0"/>
                    <w:kinsoku/>
                    <w:spacing w:line="300" w:lineRule="exact"/>
                    <w:jc w:val="center"/>
                    <w:rPr>
                      <w:rFonts w:ascii="Times New Roman" w:hAnsi="Times New Roman" w:eastAsia="宋体" w:cs="Times New Roman"/>
                      <w:color w:val="auto"/>
                      <w:highlight w:val="none"/>
                    </w:rPr>
                  </w:pPr>
                </w:p>
              </w:tc>
              <w:tc>
                <w:tcPr>
                  <w:tcW w:w="408" w:type="dxa"/>
                  <w:vMerge w:val="continue"/>
                  <w:vAlign w:val="center"/>
                </w:tcPr>
                <w:p w14:paraId="14A59238">
                  <w:pPr>
                    <w:widowControl w:val="0"/>
                    <w:kinsoku/>
                    <w:spacing w:line="300" w:lineRule="exact"/>
                    <w:jc w:val="center"/>
                    <w:rPr>
                      <w:rFonts w:ascii="Times New Roman" w:hAnsi="Times New Roman" w:eastAsia="宋体" w:cs="Times New Roman"/>
                      <w:color w:val="auto"/>
                      <w:highlight w:val="none"/>
                    </w:rPr>
                  </w:pPr>
                </w:p>
              </w:tc>
              <w:tc>
                <w:tcPr>
                  <w:tcW w:w="2579" w:type="dxa"/>
                  <w:vAlign w:val="center"/>
                </w:tcPr>
                <w:p w14:paraId="2EE7268B">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〔A2.2-8〕严控土壤重金属污染，加强油(气)田开发土壤污染防治，以历史遗留工业企业污染场地为重点，开展土壤污染风险管控与修复工程。</w:t>
                  </w:r>
                </w:p>
              </w:tc>
              <w:tc>
                <w:tcPr>
                  <w:tcW w:w="2025" w:type="dxa"/>
                  <w:vAlign w:val="center"/>
                </w:tcPr>
                <w:p w14:paraId="74BE75D0">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本项目属于陆地矿产资源地质勘查，落地油100%回收，废防渗材料、废润滑油、废润滑油桶集中收集后暂存于危废贮存点，定期委托有资质的单位处理。固废均得到了合理处置，不会对土壤环境造成严重的污染。</w:t>
                  </w:r>
                </w:p>
              </w:tc>
              <w:tc>
                <w:tcPr>
                  <w:tcW w:w="547" w:type="dxa"/>
                  <w:vAlign w:val="center"/>
                </w:tcPr>
                <w:p w14:paraId="49BAAC2A">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符合</w:t>
                  </w:r>
                </w:p>
              </w:tc>
            </w:tr>
            <w:tr w14:paraId="2283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jc w:val="center"/>
              </w:trPr>
              <w:tc>
                <w:tcPr>
                  <w:tcW w:w="672" w:type="dxa"/>
                  <w:vMerge w:val="continue"/>
                  <w:vAlign w:val="center"/>
                </w:tcPr>
                <w:p w14:paraId="52FE7782">
                  <w:pPr>
                    <w:widowControl w:val="0"/>
                    <w:kinsoku/>
                    <w:spacing w:line="300" w:lineRule="exact"/>
                    <w:jc w:val="center"/>
                    <w:rPr>
                      <w:rFonts w:ascii="Times New Roman" w:hAnsi="Times New Roman" w:eastAsia="宋体" w:cs="Times New Roman"/>
                      <w:color w:val="auto"/>
                      <w:highlight w:val="none"/>
                    </w:rPr>
                  </w:pPr>
                </w:p>
              </w:tc>
              <w:tc>
                <w:tcPr>
                  <w:tcW w:w="388" w:type="dxa"/>
                  <w:vMerge w:val="continue"/>
                  <w:vAlign w:val="center"/>
                </w:tcPr>
                <w:p w14:paraId="073BA3B3">
                  <w:pPr>
                    <w:widowControl w:val="0"/>
                    <w:kinsoku/>
                    <w:spacing w:line="300" w:lineRule="exact"/>
                    <w:jc w:val="center"/>
                    <w:rPr>
                      <w:rFonts w:ascii="Times New Roman" w:hAnsi="Times New Roman" w:eastAsia="宋体" w:cs="Times New Roman"/>
                      <w:color w:val="auto"/>
                      <w:highlight w:val="none"/>
                    </w:rPr>
                  </w:pPr>
                </w:p>
              </w:tc>
              <w:tc>
                <w:tcPr>
                  <w:tcW w:w="408" w:type="dxa"/>
                  <w:vAlign w:val="center"/>
                </w:tcPr>
                <w:p w14:paraId="1603CBF8">
                  <w:pPr>
                    <w:widowControl w:val="0"/>
                    <w:kinsoku/>
                    <w:spacing w:line="300" w:lineRule="exact"/>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环境风险防控</w:t>
                  </w:r>
                </w:p>
              </w:tc>
              <w:tc>
                <w:tcPr>
                  <w:tcW w:w="2579" w:type="dxa"/>
                  <w:vAlign w:val="center"/>
                </w:tcPr>
                <w:p w14:paraId="2AB49694">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2025" w:type="dxa"/>
                  <w:vAlign w:val="center"/>
                </w:tcPr>
                <w:p w14:paraId="6D01690E">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本环评对项目可能产生的环境风险进行了分析，并提出了相应的风险防范措施和应急措施。</w:t>
                  </w:r>
                </w:p>
              </w:tc>
              <w:tc>
                <w:tcPr>
                  <w:tcW w:w="547" w:type="dxa"/>
                  <w:vAlign w:val="center"/>
                </w:tcPr>
                <w:p w14:paraId="6A282E40">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符合</w:t>
                  </w:r>
                </w:p>
              </w:tc>
            </w:tr>
            <w:tr w14:paraId="3109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4" w:hRule="atLeast"/>
                <w:jc w:val="center"/>
              </w:trPr>
              <w:tc>
                <w:tcPr>
                  <w:tcW w:w="672" w:type="dxa"/>
                  <w:vMerge w:val="continue"/>
                  <w:vAlign w:val="center"/>
                </w:tcPr>
                <w:p w14:paraId="21C6723F">
                  <w:pPr>
                    <w:widowControl w:val="0"/>
                    <w:kinsoku/>
                    <w:spacing w:line="300" w:lineRule="exact"/>
                    <w:jc w:val="center"/>
                    <w:rPr>
                      <w:rFonts w:ascii="Times New Roman" w:hAnsi="Times New Roman" w:eastAsia="宋体" w:cs="Times New Roman"/>
                      <w:color w:val="auto"/>
                      <w:highlight w:val="none"/>
                    </w:rPr>
                  </w:pPr>
                </w:p>
              </w:tc>
              <w:tc>
                <w:tcPr>
                  <w:tcW w:w="388" w:type="dxa"/>
                  <w:vMerge w:val="continue"/>
                  <w:vAlign w:val="center"/>
                </w:tcPr>
                <w:p w14:paraId="5519A18B">
                  <w:pPr>
                    <w:widowControl w:val="0"/>
                    <w:kinsoku/>
                    <w:spacing w:line="300" w:lineRule="exact"/>
                    <w:jc w:val="center"/>
                    <w:rPr>
                      <w:rFonts w:ascii="Times New Roman" w:hAnsi="Times New Roman" w:eastAsia="宋体" w:cs="Times New Roman"/>
                      <w:color w:val="auto"/>
                      <w:highlight w:val="none"/>
                    </w:rPr>
                  </w:pPr>
                </w:p>
              </w:tc>
              <w:tc>
                <w:tcPr>
                  <w:tcW w:w="408" w:type="dxa"/>
                  <w:vAlign w:val="center"/>
                </w:tcPr>
                <w:p w14:paraId="53573659">
                  <w:pPr>
                    <w:widowControl w:val="0"/>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资源利用效率</w:t>
                  </w:r>
                </w:p>
              </w:tc>
              <w:tc>
                <w:tcPr>
                  <w:tcW w:w="2579" w:type="dxa"/>
                  <w:vAlign w:val="center"/>
                </w:tcPr>
                <w:p w14:paraId="53CCE0E7">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2025" w:type="dxa"/>
                  <w:vAlign w:val="center"/>
                </w:tcPr>
                <w:p w14:paraId="75DCDF52">
                  <w:pPr>
                    <w:widowControl w:val="0"/>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本项目属于陆地矿产资源地质勘查，含油污泥、沾油废防渗材料、废润滑油、废润滑油桶均为危废。集中收集后暂存于危废贮存点，定期委托有资质的单位处理。落地油100%回收。固废均得到了合理处置。</w:t>
                  </w:r>
                </w:p>
              </w:tc>
              <w:tc>
                <w:tcPr>
                  <w:tcW w:w="547" w:type="dxa"/>
                  <w:vAlign w:val="center"/>
                </w:tcPr>
                <w:p w14:paraId="35705216">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661186BD">
            <w:pPr>
              <w:widowControl w:val="0"/>
              <w:kinsoku/>
              <w:spacing w:line="360" w:lineRule="auto"/>
              <w:ind w:firstLine="482" w:firstLineChars="20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（2）与《关于发布昌吉回族自治州生态环境分区管控动态更新成果的公告》的符合性分析</w:t>
            </w:r>
          </w:p>
          <w:p w14:paraId="496AE43D">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生态保护红线</w:t>
            </w:r>
          </w:p>
          <w:p w14:paraId="24C2E15D">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用地周围无国家公园、自然保护区、森林公园的生态保育区和核心景观区、地质公园的地质遗迹保护区、世界自然遗产的核心区和缓冲区、湿地公园的湿地保育区和恢复重建区、饮用水水源地一级保护区、水产种质资源保护区的核心区以及其他类型禁止开发区的核心保护区域。项目建设不会占用生态红线保护区。</w:t>
            </w:r>
          </w:p>
          <w:p w14:paraId="634C6129">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环境质量底线</w:t>
            </w:r>
          </w:p>
          <w:p w14:paraId="04383A77">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本项目为陆地石油勘探项目，无运营期；钻试期产生的污染影响随施工结束而停止，对区域环境质量影响小，不会突破区域环境质量底线。本工程建设不会改变环境功能区，能够严守环境质量底线。</w:t>
            </w:r>
          </w:p>
          <w:p w14:paraId="7C278F2A">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资源利用上线</w:t>
            </w:r>
          </w:p>
          <w:p w14:paraId="14AC3758">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本工程为陆地矿产资源勘查项目，无运营期。本工程占地包括井场、临时道路及其生活营地等，均为临时占地，项目建设占用土地资源相对区域资源利用较少；符合资源利用上限的要求。</w:t>
            </w:r>
          </w:p>
          <w:p w14:paraId="2DD3F2D4">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生态环境准入清单</w:t>
            </w:r>
          </w:p>
          <w:p w14:paraId="371769E9">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关于发布昌吉回族自治州生态环境分区管控动态更新成果的公告》，自治州共划定193个环境管控单元，分为优先保护单元94个、重点管控单元92个和一般管控单元7个，实施分类管控。昌吉州生态环境分区管控单元图见附图1。</w:t>
            </w:r>
          </w:p>
          <w:p w14:paraId="1846E0A5">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经自治区生态环境分区管控平台校核，</w:t>
            </w:r>
            <w:r>
              <w:rPr>
                <w:rFonts w:ascii="Times New Roman" w:hAnsi="Times New Roman" w:eastAsia="宋体" w:cs="Times New Roman"/>
                <w:color w:val="auto"/>
                <w:sz w:val="24"/>
                <w:szCs w:val="24"/>
                <w:highlight w:val="none"/>
                <w:lang w:eastAsia="zh-CN"/>
              </w:rPr>
              <w:t>项目阜4803H、阜4805H钻试场均位于昌吉回族自治州环境管控单元生态环境准入清单动态更新成果（重点管控单元ZH65230220008-阜康市限采区），其具体分析见表1-2。</w:t>
            </w:r>
          </w:p>
          <w:p w14:paraId="7224DAFA">
            <w:pPr>
              <w:widowControl w:val="0"/>
              <w:kinsoku/>
              <w:spacing w:line="4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表1-2 项目与《昌吉回族自治州生态环境分区管控方案》符合性分析一览表</w:t>
            </w:r>
          </w:p>
          <w:tbl>
            <w:tblPr>
              <w:tblStyle w:val="16"/>
              <w:tblW w:w="6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705"/>
              <w:gridCol w:w="2225"/>
              <w:gridCol w:w="2150"/>
              <w:gridCol w:w="680"/>
            </w:tblGrid>
            <w:tr w14:paraId="1DC5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Align w:val="center"/>
                </w:tcPr>
                <w:p w14:paraId="0AF19C23">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管控单元名称</w:t>
                  </w:r>
                </w:p>
              </w:tc>
              <w:tc>
                <w:tcPr>
                  <w:tcW w:w="705" w:type="dxa"/>
                  <w:vAlign w:val="center"/>
                </w:tcPr>
                <w:p w14:paraId="71FFB32B">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环境管控</w:t>
                  </w:r>
                </w:p>
              </w:tc>
              <w:tc>
                <w:tcPr>
                  <w:tcW w:w="2225" w:type="dxa"/>
                  <w:vAlign w:val="center"/>
                </w:tcPr>
                <w:p w14:paraId="79896B42">
                  <w:pPr>
                    <w:widowControl w:val="0"/>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管控要求</w:t>
                  </w:r>
                </w:p>
              </w:tc>
              <w:tc>
                <w:tcPr>
                  <w:tcW w:w="2150" w:type="dxa"/>
                  <w:vAlign w:val="center"/>
                </w:tcPr>
                <w:p w14:paraId="27E4BFE2">
                  <w:pPr>
                    <w:widowControl w:val="0"/>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项目情况</w:t>
                  </w:r>
                </w:p>
              </w:tc>
              <w:tc>
                <w:tcPr>
                  <w:tcW w:w="680" w:type="dxa"/>
                  <w:vAlign w:val="center"/>
                </w:tcPr>
                <w:p w14:paraId="0DA21327">
                  <w:pPr>
                    <w:widowControl w:val="0"/>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相符性</w:t>
                  </w:r>
                </w:p>
              </w:tc>
            </w:tr>
            <w:tr w14:paraId="11AE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restart"/>
                  <w:vAlign w:val="center"/>
                </w:tcPr>
                <w:p w14:paraId="3A339C78">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昌吉回族自治州重点管控单元ZH65230220008-阜康市限采区</w:t>
                  </w:r>
                </w:p>
              </w:tc>
              <w:tc>
                <w:tcPr>
                  <w:tcW w:w="705" w:type="dxa"/>
                  <w:vAlign w:val="center"/>
                </w:tcPr>
                <w:p w14:paraId="69067538">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空间布局约束</w:t>
                  </w:r>
                </w:p>
              </w:tc>
              <w:tc>
                <w:tcPr>
                  <w:tcW w:w="2225" w:type="dxa"/>
                  <w:vAlign w:val="center"/>
                </w:tcPr>
                <w:p w14:paraId="37CBC614">
                  <w:pPr>
                    <w:widowControl w:val="0"/>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1、严格控制缺水地区、水污染严重区域和敏感区域高耗水、高污染行业发展。</w:t>
                  </w:r>
                </w:p>
              </w:tc>
              <w:tc>
                <w:tcPr>
                  <w:tcW w:w="2150" w:type="dxa"/>
                  <w:vAlign w:val="center"/>
                </w:tcPr>
                <w:p w14:paraId="1F7AB3DA">
                  <w:pPr>
                    <w:widowControl w:val="0"/>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工程属于油气勘探项目，属于国家产业政策中鼓励类项目，符合《产业结构调整指导目录（2024年本）》《市场准入负面清单（2025年版）》；施工期严格实行区域用水总量和强度控制，加强用水定额管理；施工期严格控制污染物排放，确保各污染物达标排放。</w:t>
                  </w:r>
                </w:p>
              </w:tc>
              <w:tc>
                <w:tcPr>
                  <w:tcW w:w="680" w:type="dxa"/>
                  <w:vAlign w:val="center"/>
                </w:tcPr>
                <w:p w14:paraId="415269B8">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60F9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14:paraId="6EC4B304">
                  <w:pPr>
                    <w:widowControl w:val="0"/>
                    <w:kinsoku/>
                    <w:jc w:val="center"/>
                    <w:rPr>
                      <w:rFonts w:ascii="Times New Roman" w:hAnsi="Times New Roman" w:eastAsia="宋体" w:cs="Times New Roman"/>
                      <w:color w:val="auto"/>
                      <w:highlight w:val="none"/>
                      <w:lang w:eastAsia="zh-CN"/>
                    </w:rPr>
                  </w:pPr>
                </w:p>
              </w:tc>
              <w:tc>
                <w:tcPr>
                  <w:tcW w:w="705" w:type="dxa"/>
                  <w:vAlign w:val="center"/>
                </w:tcPr>
                <w:p w14:paraId="0B1482EA">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污染物排放管控</w:t>
                  </w:r>
                </w:p>
              </w:tc>
              <w:tc>
                <w:tcPr>
                  <w:tcW w:w="2225" w:type="dxa"/>
                </w:tcPr>
                <w:p w14:paraId="2CEEF232">
                  <w:pPr>
                    <w:widowControl w:val="0"/>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支持企业积极实施节水技术改造，加强工业园区污水集中处理设施运行管理，加快再生水回用设施建设，提升园区水资源循环利用水平。</w:t>
                  </w:r>
                </w:p>
              </w:tc>
              <w:tc>
                <w:tcPr>
                  <w:tcW w:w="2150" w:type="dxa"/>
                  <w:vAlign w:val="center"/>
                </w:tcPr>
                <w:p w14:paraId="65CE41ED">
                  <w:pPr>
                    <w:widowControl w:val="0"/>
                    <w:kinsoku/>
                    <w:jc w:val="both"/>
                    <w:rPr>
                      <w:rFonts w:ascii="Times New Roman" w:hAnsi="Times New Roman" w:eastAsia="宋体" w:cs="Times New Roman"/>
                      <w:b/>
                      <w:bCs/>
                      <w:color w:val="auto"/>
                      <w:highlight w:val="none"/>
                      <w:lang w:eastAsia="zh-CN"/>
                    </w:rPr>
                  </w:pPr>
                  <w:r>
                    <w:rPr>
                      <w:rFonts w:ascii="Times New Roman" w:hAnsi="Times New Roman" w:eastAsia="宋体" w:cs="Times New Roman"/>
                      <w:color w:val="auto"/>
                      <w:highlight w:val="none"/>
                      <w:lang w:eastAsia="zh-CN"/>
                    </w:rPr>
                    <w:t>本项目生活污水经防渗收集池收集后定期由施工队拉运至市政污水处理厂处理；项目井下作业废水拉运到康探001临时拉油站中转运至吉28脱水站并处理达标后，全部回注油藏，不外排。生活垃圾集中收集后委托第三方拉运至当地垃圾场处理。项目建立环境风险监管制度、环境风险预警制度、突发环境事件应急预案、环境风险应急保障制度等环境风险防控体系。组织人员进行应急演练。</w:t>
                  </w:r>
                  <w:r>
                    <w:rPr>
                      <w:rFonts w:ascii="Times New Roman" w:hAnsi="Times New Roman" w:eastAsia="宋体" w:cs="Times New Roman"/>
                      <w:color w:val="auto"/>
                      <w:highlight w:val="none"/>
                      <w:lang w:eastAsia="zh-CN" w:bidi="ar"/>
                    </w:rPr>
                    <w:t>项目推行清洁生产、降低生产水耗，从源头上控制污染物的产生。</w:t>
                  </w:r>
                </w:p>
              </w:tc>
              <w:tc>
                <w:tcPr>
                  <w:tcW w:w="680" w:type="dxa"/>
                  <w:vAlign w:val="center"/>
                </w:tcPr>
                <w:p w14:paraId="34C4122A">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756F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14:paraId="664BFD6A">
                  <w:pPr>
                    <w:widowControl w:val="0"/>
                    <w:kinsoku/>
                    <w:jc w:val="center"/>
                    <w:rPr>
                      <w:rFonts w:ascii="Times New Roman" w:hAnsi="Times New Roman" w:eastAsia="宋体" w:cs="Times New Roman"/>
                      <w:color w:val="auto"/>
                      <w:highlight w:val="none"/>
                      <w:lang w:eastAsia="zh-CN"/>
                    </w:rPr>
                  </w:pPr>
                </w:p>
              </w:tc>
              <w:tc>
                <w:tcPr>
                  <w:tcW w:w="705" w:type="dxa"/>
                  <w:vAlign w:val="center"/>
                </w:tcPr>
                <w:p w14:paraId="0C45C126">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环境风险防控</w:t>
                  </w:r>
                </w:p>
              </w:tc>
              <w:tc>
                <w:tcPr>
                  <w:tcW w:w="2225" w:type="dxa"/>
                  <w:vAlign w:val="center"/>
                </w:tcPr>
                <w:p w14:paraId="6B0F8906">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color w:val="auto"/>
                      <w:highlight w:val="none"/>
                      <w:lang w:eastAsia="zh-CN"/>
                    </w:rPr>
                    <w:t>1、强化重点区域地下水环境风险管控。对化学品生产企业、工业集聚区、尾矿库、矿山开采区、危险废物处置场、垃圾填埋场等地下水污染源及周边区域，逐步开展地下水环境状况调查评估，加强风险管控。</w:t>
                  </w:r>
                </w:p>
              </w:tc>
              <w:tc>
                <w:tcPr>
                  <w:tcW w:w="2150" w:type="dxa"/>
                  <w:vAlign w:val="center"/>
                </w:tcPr>
                <w:p w14:paraId="4E088A30">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color w:val="auto"/>
                      <w:highlight w:val="none"/>
                      <w:lang w:eastAsia="zh-CN"/>
                    </w:rPr>
                    <w:t>本工程属于油气勘探项目，项目建立环境风险监管制度、环境风险预警制度、突发环境事件应急预案、环境风险应急保障制度等环境风险防控体系。</w:t>
                  </w:r>
                  <w:r>
                    <w:rPr>
                      <w:rFonts w:hint="eastAsia" w:ascii="Times New Roman" w:hAnsi="Times New Roman" w:eastAsia="宋体" w:cs="Times New Roman"/>
                      <w:color w:val="auto"/>
                      <w:highlight w:val="none"/>
                      <w:lang w:eastAsia="zh-CN"/>
                    </w:rPr>
                    <w:t>阜4803H采用水基钻井液，阜4805H</w:t>
                  </w:r>
                  <w:r>
                    <w:rPr>
                      <w:rFonts w:ascii="Times New Roman" w:hAnsi="Times New Roman" w:eastAsia="宋体" w:cs="Times New Roman"/>
                      <w:color w:val="auto"/>
                      <w:highlight w:val="none"/>
                      <w:lang w:eastAsia="zh-CN"/>
                    </w:rPr>
                    <w:t>一开、二开采用水基钻井液，三开采用油基钻井液，水基泥浆由钻井公司委托第三方运走进行固液分离，分离后固相处理达标后综合利用，液相由第三方合规处置，油基泥浆</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lang w:eastAsia="zh-CN"/>
                    </w:rPr>
                    <w:t>油基岩屑、含油污泥委托有危废处置资质的单位进行处置。项目产生的生活垃圾集中收集后委托第三方拉运至当地垃圾场处理。</w:t>
                  </w:r>
                </w:p>
              </w:tc>
              <w:tc>
                <w:tcPr>
                  <w:tcW w:w="680" w:type="dxa"/>
                  <w:vAlign w:val="center"/>
                </w:tcPr>
                <w:p w14:paraId="38AA3991">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230A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14:paraId="46F45AB0">
                  <w:pPr>
                    <w:widowControl w:val="0"/>
                    <w:kinsoku/>
                    <w:jc w:val="center"/>
                    <w:rPr>
                      <w:rFonts w:ascii="Times New Roman" w:hAnsi="Times New Roman" w:eastAsia="宋体" w:cs="Times New Roman"/>
                      <w:color w:val="auto"/>
                      <w:highlight w:val="none"/>
                      <w:lang w:eastAsia="zh-CN"/>
                    </w:rPr>
                  </w:pPr>
                </w:p>
              </w:tc>
              <w:tc>
                <w:tcPr>
                  <w:tcW w:w="705" w:type="dxa"/>
                  <w:vAlign w:val="center"/>
                </w:tcPr>
                <w:p w14:paraId="2747F751">
                  <w:pPr>
                    <w:widowControl w:val="0"/>
                    <w:kinsoku/>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资源开发效率要求</w:t>
                  </w:r>
                </w:p>
              </w:tc>
              <w:tc>
                <w:tcPr>
                  <w:tcW w:w="2225" w:type="dxa"/>
                  <w:vAlign w:val="center"/>
                </w:tcPr>
                <w:p w14:paraId="0EE7AF0D">
                  <w:pPr>
                    <w:widowControl w:val="0"/>
                    <w:kinsoku/>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1、县级以上人民政府水行政主管部门应当合理配置地表水、地下水，从严控制地下水取水总量。</w:t>
                  </w:r>
                  <w:r>
                    <w:rPr>
                      <w:rFonts w:ascii="Times New Roman" w:hAnsi="Times New Roman" w:eastAsia="宋体" w:cs="Times New Roman"/>
                      <w:color w:val="auto"/>
                      <w:highlight w:val="none"/>
                      <w:lang w:eastAsia="zh-CN"/>
                    </w:rPr>
                    <w:br w:type="textWrapping"/>
                  </w:r>
                  <w:r>
                    <w:rPr>
                      <w:rFonts w:ascii="Times New Roman" w:hAnsi="Times New Roman" w:eastAsia="宋体" w:cs="Times New Roman"/>
                      <w:color w:val="auto"/>
                      <w:highlight w:val="none"/>
                      <w:lang w:eastAsia="zh-CN"/>
                    </w:rPr>
                    <w:t>2、严守水资源开发利用控制、用水效率控制和水功能区限制纳污“三条红线”，严格实行区域用水总量和强度控制，强化用水定额管理。</w:t>
                  </w:r>
                  <w:r>
                    <w:rPr>
                      <w:rFonts w:ascii="Times New Roman" w:hAnsi="Times New Roman" w:eastAsia="宋体" w:cs="Times New Roman"/>
                      <w:color w:val="auto"/>
                      <w:highlight w:val="none"/>
                    </w:rPr>
                    <w:t>推进地下水超采综合治理。</w:t>
                  </w:r>
                </w:p>
              </w:tc>
              <w:tc>
                <w:tcPr>
                  <w:tcW w:w="2150" w:type="dxa"/>
                  <w:vAlign w:val="center"/>
                </w:tcPr>
                <w:p w14:paraId="69334A48">
                  <w:pPr>
                    <w:widowControl w:val="0"/>
                    <w:kinsoku/>
                    <w:jc w:val="both"/>
                    <w:rPr>
                      <w:rFonts w:ascii="Times New Roman" w:hAnsi="Times New Roman" w:eastAsia="宋体" w:cs="Times New Roman"/>
                      <w:b/>
                      <w:bCs/>
                      <w:color w:val="auto"/>
                      <w:highlight w:val="none"/>
                      <w:lang w:eastAsia="zh-CN"/>
                    </w:rPr>
                  </w:pPr>
                  <w:r>
                    <w:rPr>
                      <w:rFonts w:ascii="Times New Roman" w:hAnsi="Times New Roman" w:eastAsia="宋体" w:cs="Times New Roman"/>
                      <w:color w:val="auto"/>
                      <w:highlight w:val="none"/>
                      <w:lang w:eastAsia="zh-CN"/>
                    </w:rPr>
                    <w:t>本项目施工期严格实行区域用水总量和强度控制，加强用水定额管理；用水通过罐车拉运，用水量较少；项目实行节水制度，降低生产水耗，从源头上控制污染物的产生。本项目不涉及地下水开采。</w:t>
                  </w:r>
                </w:p>
              </w:tc>
              <w:tc>
                <w:tcPr>
                  <w:tcW w:w="680" w:type="dxa"/>
                  <w:vAlign w:val="center"/>
                </w:tcPr>
                <w:p w14:paraId="6FB58DB6">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61DD9FE6">
            <w:pPr>
              <w:widowControl/>
              <w:kinsoku/>
              <w:spacing w:line="360" w:lineRule="auto"/>
              <w:ind w:firstLine="480" w:firstLineChars="200"/>
              <w:jc w:val="both"/>
              <w:rPr>
                <w:rFonts w:ascii="Times New Roman" w:hAnsi="Times New Roman" w:eastAsia="宋体" w:cs="Times New Roman"/>
                <w:b/>
                <w:bCs/>
                <w:color w:val="auto"/>
                <w:kern w:val="2"/>
                <w:sz w:val="24"/>
                <w:szCs w:val="24"/>
                <w:highlight w:val="none"/>
                <w:lang w:eastAsia="zh-CN"/>
              </w:rPr>
            </w:pPr>
            <w:r>
              <w:rPr>
                <w:rFonts w:ascii="Times New Roman" w:hAnsi="Times New Roman" w:eastAsia="宋体" w:cs="Times New Roman"/>
                <w:color w:val="auto"/>
                <w:sz w:val="24"/>
                <w:szCs w:val="24"/>
                <w:highlight w:val="none"/>
                <w:lang w:eastAsia="zh-CN" w:bidi="ar"/>
              </w:rPr>
              <w:t>综上，本项目建设符合生态环境分区管控要求。</w:t>
            </w:r>
          </w:p>
          <w:p w14:paraId="0E4C3657">
            <w:pPr>
              <w:pStyle w:val="22"/>
              <w:widowControl w:val="0"/>
              <w:numPr>
                <w:ilvl w:val="0"/>
                <w:numId w:val="3"/>
              </w:numPr>
              <w:kinsoku/>
              <w:spacing w:before="42" w:line="360" w:lineRule="auto"/>
              <w:jc w:val="both"/>
              <w:rPr>
                <w:rFonts w:ascii="Times New Roman" w:hAnsi="Times New Roman" w:cs="Times New Roman"/>
                <w:b/>
                <w:bCs/>
                <w:color w:val="auto"/>
                <w:kern w:val="2"/>
                <w:sz w:val="24"/>
                <w:szCs w:val="24"/>
                <w:highlight w:val="none"/>
                <w:lang w:eastAsia="zh-CN"/>
              </w:rPr>
            </w:pPr>
            <w:r>
              <w:rPr>
                <w:rFonts w:ascii="Times New Roman" w:hAnsi="Times New Roman" w:cs="Times New Roman"/>
                <w:b/>
                <w:bCs/>
                <w:color w:val="auto"/>
                <w:kern w:val="2"/>
                <w:sz w:val="24"/>
                <w:szCs w:val="24"/>
                <w:highlight w:val="none"/>
                <w:lang w:eastAsia="zh-CN"/>
              </w:rPr>
              <w:t>与《石油天然气开采业污染防治技术政策》的符合性</w:t>
            </w:r>
          </w:p>
          <w:p w14:paraId="1CCD5DC8">
            <w:pPr>
              <w:pStyle w:val="22"/>
              <w:widowControl w:val="0"/>
              <w:kinsoku/>
              <w:spacing w:line="360" w:lineRule="auto"/>
              <w:ind w:firstLine="480" w:firstLineChars="200"/>
              <w:jc w:val="both"/>
              <w:rPr>
                <w:rFonts w:ascii="Times New Roman" w:hAnsi="Times New Roman" w:cs="Times New Roman"/>
                <w:color w:val="auto"/>
                <w:kern w:val="2"/>
                <w:sz w:val="24"/>
                <w:szCs w:val="24"/>
                <w:highlight w:val="none"/>
                <w:lang w:eastAsia="zh-CN"/>
              </w:rPr>
            </w:pPr>
            <w:r>
              <w:rPr>
                <w:rFonts w:ascii="Times New Roman" w:hAnsi="Times New Roman" w:cs="Times New Roman"/>
                <w:color w:val="auto"/>
                <w:kern w:val="2"/>
                <w:sz w:val="24"/>
                <w:szCs w:val="24"/>
                <w:highlight w:val="none"/>
                <w:lang w:eastAsia="zh-CN"/>
              </w:rPr>
              <w:t>项目与《石油天然气开采业污染防治技术政策》的符合性分析见表1-3。</w:t>
            </w:r>
          </w:p>
          <w:p w14:paraId="0D9381A6">
            <w:pPr>
              <w:widowControl w:val="0"/>
              <w:kinsoku/>
              <w:spacing w:line="4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表1-3 项目与《石油天然气开采业污染防治技术政策》</w:t>
            </w:r>
          </w:p>
          <w:p w14:paraId="6EE1756C">
            <w:pPr>
              <w:widowControl w:val="0"/>
              <w:kinsoku/>
              <w:spacing w:line="40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符合性分析一览表</w:t>
            </w:r>
          </w:p>
          <w:tbl>
            <w:tblPr>
              <w:tblStyle w:val="21"/>
              <w:tblW w:w="68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1"/>
              <w:gridCol w:w="2842"/>
              <w:gridCol w:w="636"/>
            </w:tblGrid>
            <w:tr w14:paraId="32B60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3401" w:type="dxa"/>
                  <w:vAlign w:val="center"/>
                </w:tcPr>
                <w:p w14:paraId="5A62B24F">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《石油天然气开采业污染防治技术政策》</w:t>
                  </w:r>
                </w:p>
              </w:tc>
              <w:tc>
                <w:tcPr>
                  <w:tcW w:w="2842" w:type="dxa"/>
                  <w:vAlign w:val="center"/>
                </w:tcPr>
                <w:p w14:paraId="175F6721">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本项目</w:t>
                  </w:r>
                </w:p>
              </w:tc>
              <w:tc>
                <w:tcPr>
                  <w:tcW w:w="636" w:type="dxa"/>
                  <w:vAlign w:val="center"/>
                </w:tcPr>
                <w:p w14:paraId="42041C14">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符合性</w:t>
                  </w:r>
                </w:p>
              </w:tc>
            </w:tr>
            <w:tr w14:paraId="35031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4" w:hRule="atLeast"/>
                <w:jc w:val="center"/>
              </w:trPr>
              <w:tc>
                <w:tcPr>
                  <w:tcW w:w="3401" w:type="dxa"/>
                  <w:vAlign w:val="center"/>
                </w:tcPr>
                <w:p w14:paraId="0B98725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842" w:type="dxa"/>
                  <w:vAlign w:val="center"/>
                </w:tcPr>
                <w:p w14:paraId="7268155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试油期井下作业废水拉运到康探001临时拉油站中转运至吉28脱水站并处理达标后，全部回注油藏，工业废水回用率大于90%；本环评对项目可能产生的环境风险进行了分析，并提出了相应的风险防范措施和应急预案。</w:t>
                  </w:r>
                </w:p>
              </w:tc>
              <w:tc>
                <w:tcPr>
                  <w:tcW w:w="636" w:type="dxa"/>
                  <w:vAlign w:val="center"/>
                </w:tcPr>
                <w:p w14:paraId="1E08070C">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24948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jc w:val="center"/>
              </w:trPr>
              <w:tc>
                <w:tcPr>
                  <w:tcW w:w="3401" w:type="dxa"/>
                  <w:vAlign w:val="center"/>
                </w:tcPr>
                <w:p w14:paraId="53026B8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油气田开发不得使用含有国际公约禁用化学物质的油气田化学剂，逐步淘汰微毒及以上油气田化学剂，鼓励使用无毒油气田化学剂。</w:t>
                  </w:r>
                </w:p>
              </w:tc>
              <w:tc>
                <w:tcPr>
                  <w:tcW w:w="2842" w:type="dxa"/>
                  <w:vAlign w:val="center"/>
                </w:tcPr>
                <w:p w14:paraId="1EE4C70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本项目不涉及禁用的化学物质。</w:t>
                  </w:r>
                </w:p>
              </w:tc>
              <w:tc>
                <w:tcPr>
                  <w:tcW w:w="636" w:type="dxa"/>
                  <w:vAlign w:val="center"/>
                </w:tcPr>
                <w:p w14:paraId="49B44A55">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0D15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jc w:val="center"/>
              </w:trPr>
              <w:tc>
                <w:tcPr>
                  <w:tcW w:w="3401" w:type="dxa"/>
                  <w:vAlign w:val="center"/>
                </w:tcPr>
                <w:p w14:paraId="707A6A6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落地原油。其中井下作业过程中应配备泄油器、刮油器等。落地原油应及时回收，落地原油回收率应达到100%。</w:t>
                  </w:r>
                </w:p>
              </w:tc>
              <w:tc>
                <w:tcPr>
                  <w:tcW w:w="2842" w:type="dxa"/>
                  <w:vAlign w:val="center"/>
                </w:tcPr>
                <w:p w14:paraId="2351160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井下作业时带罐，井口敷设防渗膜，防止产生落地油。产生的落地油，及时回收，做到100%回收。</w:t>
                  </w:r>
                </w:p>
              </w:tc>
              <w:tc>
                <w:tcPr>
                  <w:tcW w:w="636" w:type="dxa"/>
                  <w:vAlign w:val="center"/>
                </w:tcPr>
                <w:p w14:paraId="78C733A7">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1071D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jc w:val="center"/>
              </w:trPr>
              <w:tc>
                <w:tcPr>
                  <w:tcW w:w="3401" w:type="dxa"/>
                  <w:vAlign w:val="center"/>
                </w:tcPr>
                <w:p w14:paraId="0EB9D82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在钻井过程中，鼓励采用环境友好的钻井液体系。</w:t>
                  </w:r>
                </w:p>
              </w:tc>
              <w:tc>
                <w:tcPr>
                  <w:tcW w:w="2842" w:type="dxa"/>
                  <w:vAlign w:val="center"/>
                </w:tcPr>
                <w:p w14:paraId="0AA5B80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本项目使用的钻井液为环境友好钻井液体系，</w:t>
                  </w:r>
                  <w:r>
                    <w:rPr>
                      <w:rFonts w:hint="eastAsia" w:ascii="Times New Roman" w:hAnsi="Times New Roman" w:eastAsia="宋体" w:cs="Times New Roman"/>
                      <w:color w:val="auto"/>
                      <w:highlight w:val="none"/>
                      <w:lang w:val="en-US" w:eastAsia="zh-CN"/>
                    </w:rPr>
                    <w:t>钻井泥浆外运处置</w:t>
                  </w:r>
                  <w:r>
                    <w:rPr>
                      <w:rFonts w:ascii="Times New Roman" w:hAnsi="Times New Roman" w:eastAsia="宋体" w:cs="Times New Roman"/>
                      <w:color w:val="auto"/>
                      <w:highlight w:val="none"/>
                      <w:lang w:eastAsia="zh-CN"/>
                    </w:rPr>
                    <w:t>。</w:t>
                  </w:r>
                </w:p>
              </w:tc>
              <w:tc>
                <w:tcPr>
                  <w:tcW w:w="636" w:type="dxa"/>
                  <w:vAlign w:val="center"/>
                </w:tcPr>
                <w:p w14:paraId="1292451B">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5CF4D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8" w:hRule="atLeast"/>
                <w:jc w:val="center"/>
              </w:trPr>
              <w:tc>
                <w:tcPr>
                  <w:tcW w:w="3401" w:type="dxa"/>
                  <w:vAlign w:val="center"/>
                </w:tcPr>
                <w:p w14:paraId="7B7B193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在井下作业过程中，酸化液和压裂酸化返排液宜集中配制，酸化残液、压裂残液和返排液应回收利用或进行无害化处置，压裂放喷返排入罐率应达到100%。</w:t>
                  </w:r>
                </w:p>
              </w:tc>
              <w:tc>
                <w:tcPr>
                  <w:tcW w:w="2842" w:type="dxa"/>
                  <w:vAlign w:val="center"/>
                </w:tcPr>
                <w:p w14:paraId="3C83D01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本项目井下作业过程中，严格按照环境保护规定的要求，带罐作业，100%回收。井下作业废水不外排，作业单位自带回收罐回收作业废水，运至吉28脱水站处理达标后回注。</w:t>
                  </w:r>
                </w:p>
              </w:tc>
              <w:tc>
                <w:tcPr>
                  <w:tcW w:w="636" w:type="dxa"/>
                  <w:vAlign w:val="center"/>
                </w:tcPr>
                <w:p w14:paraId="27D2CC50">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7C931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jc w:val="center"/>
              </w:trPr>
              <w:tc>
                <w:tcPr>
                  <w:tcW w:w="3401" w:type="dxa"/>
                  <w:vAlign w:val="center"/>
                </w:tcPr>
                <w:p w14:paraId="37F2A95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在钻井和井下作业过程中，鼓励污油、污水进入生产流程循环利用。</w:t>
                  </w:r>
                </w:p>
              </w:tc>
              <w:tc>
                <w:tcPr>
                  <w:tcW w:w="2842" w:type="dxa"/>
                  <w:vAlign w:val="center"/>
                </w:tcPr>
                <w:p w14:paraId="73562D9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本项目井下作业废水拉运到康探001临时拉油站中转运至吉28脱水站并处理达标后，全部回注油藏；落地油100%回收。</w:t>
                  </w:r>
                </w:p>
              </w:tc>
              <w:tc>
                <w:tcPr>
                  <w:tcW w:w="636" w:type="dxa"/>
                  <w:vAlign w:val="center"/>
                </w:tcPr>
                <w:p w14:paraId="4C1FD74A">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419FD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6" w:hRule="atLeast"/>
                <w:jc w:val="center"/>
              </w:trPr>
              <w:tc>
                <w:tcPr>
                  <w:tcW w:w="3401" w:type="dxa"/>
                  <w:vAlign w:val="center"/>
                </w:tcPr>
                <w:p w14:paraId="3320E84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842" w:type="dxa"/>
                  <w:vAlign w:val="center"/>
                </w:tcPr>
                <w:p w14:paraId="107AE1D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井下作业必须带罐（车）操作，将落地油100%进行回收。</w:t>
                  </w:r>
                </w:p>
              </w:tc>
              <w:tc>
                <w:tcPr>
                  <w:tcW w:w="636" w:type="dxa"/>
                  <w:vAlign w:val="center"/>
                </w:tcPr>
                <w:p w14:paraId="553732AC">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073D1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jc w:val="center"/>
              </w:trPr>
              <w:tc>
                <w:tcPr>
                  <w:tcW w:w="3401" w:type="dxa"/>
                  <w:tcBorders>
                    <w:bottom w:val="single" w:color="000000" w:sz="6" w:space="0"/>
                  </w:tcBorders>
                  <w:vAlign w:val="center"/>
                </w:tcPr>
                <w:p w14:paraId="2D4C3F5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加强油气田建设、勘探开发过程的环境监督管理。</w:t>
                  </w:r>
                </w:p>
              </w:tc>
              <w:tc>
                <w:tcPr>
                  <w:tcW w:w="2842" w:type="dxa"/>
                  <w:tcBorders>
                    <w:bottom w:val="single" w:color="000000" w:sz="6" w:space="0"/>
                  </w:tcBorders>
                  <w:vAlign w:val="center"/>
                </w:tcPr>
                <w:p w14:paraId="6127543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建设单位成立了专职环保部门对钻井、试油过程中的环境影响及减缓措施进行监督管理。</w:t>
                  </w:r>
                </w:p>
              </w:tc>
              <w:tc>
                <w:tcPr>
                  <w:tcW w:w="636" w:type="dxa"/>
                  <w:tcBorders>
                    <w:bottom w:val="single" w:color="000000" w:sz="6" w:space="0"/>
                  </w:tcBorders>
                  <w:vAlign w:val="center"/>
                </w:tcPr>
                <w:p w14:paraId="3CD66067">
                  <w:pPr>
                    <w:keepNext w:val="0"/>
                    <w:keepLines w:val="0"/>
                    <w:pageBreakBefore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4EEEEB76">
            <w:pPr>
              <w:pStyle w:val="22"/>
              <w:widowControl w:val="0"/>
              <w:kinsoku/>
              <w:spacing w:before="42" w:line="360" w:lineRule="auto"/>
              <w:jc w:val="both"/>
              <w:rPr>
                <w:rFonts w:ascii="Times New Roman" w:hAnsi="Times New Roman" w:cs="Times New Roman"/>
                <w:b/>
                <w:bCs/>
                <w:color w:val="auto"/>
                <w:kern w:val="2"/>
                <w:sz w:val="24"/>
                <w:szCs w:val="24"/>
                <w:highlight w:val="none"/>
                <w:lang w:eastAsia="zh-CN"/>
              </w:rPr>
            </w:pPr>
            <w:r>
              <w:rPr>
                <w:rFonts w:ascii="Times New Roman" w:hAnsi="Times New Roman" w:cs="Times New Roman"/>
                <w:b/>
                <w:bCs/>
                <w:color w:val="auto"/>
                <w:kern w:val="2"/>
                <w:sz w:val="24"/>
                <w:szCs w:val="24"/>
                <w:highlight w:val="none"/>
                <w:lang w:eastAsia="zh-CN"/>
              </w:rPr>
              <w:t>4.与《关于进一步加强石油天然气行业环境影响评价管理的通知》（环办环评函〔2019〕910号）符合性分析</w:t>
            </w:r>
          </w:p>
          <w:p w14:paraId="3ECBE5E9">
            <w:pPr>
              <w:pStyle w:val="22"/>
              <w:widowControl w:val="0"/>
              <w:tabs>
                <w:tab w:val="left" w:pos="121"/>
              </w:tabs>
              <w:kinsoku/>
              <w:spacing w:before="6" w:line="376" w:lineRule="auto"/>
              <w:ind w:left="1" w:firstLine="420"/>
              <w:jc w:val="both"/>
              <w:rPr>
                <w:rFonts w:ascii="Times New Roman" w:hAnsi="Times New Roman" w:cs="Times New Roman"/>
                <w:color w:val="auto"/>
                <w:spacing w:val="5"/>
                <w:sz w:val="24"/>
                <w:szCs w:val="24"/>
                <w:highlight w:val="none"/>
                <w:lang w:eastAsia="zh-CN"/>
              </w:rPr>
            </w:pPr>
            <w:r>
              <w:rPr>
                <w:rFonts w:ascii="Times New Roman" w:hAnsi="Times New Roman" w:cs="Times New Roman"/>
                <w:color w:val="auto"/>
                <w:spacing w:val="5"/>
                <w:sz w:val="24"/>
                <w:szCs w:val="24"/>
                <w:highlight w:val="none"/>
                <w:lang w:eastAsia="zh-CN"/>
              </w:rPr>
              <w:t>该文件中要求：未确定产能建设规模的陆地油气开采新区块，</w:t>
            </w:r>
            <w:r>
              <w:rPr>
                <w:rFonts w:ascii="Times New Roman" w:hAnsi="Times New Roman" w:cs="Times New Roman"/>
                <w:color w:val="auto"/>
                <w:spacing w:val="4"/>
                <w:sz w:val="24"/>
                <w:szCs w:val="24"/>
                <w:highlight w:val="none"/>
                <w:lang w:eastAsia="zh-CN"/>
              </w:rPr>
              <w:t>建设评价井</w:t>
            </w:r>
            <w:r>
              <w:rPr>
                <w:rFonts w:ascii="Times New Roman" w:hAnsi="Times New Roman" w:cs="Times New Roman"/>
                <w:color w:val="auto"/>
                <w:spacing w:val="5"/>
                <w:sz w:val="24"/>
                <w:szCs w:val="24"/>
                <w:highlight w:val="none"/>
                <w:lang w:eastAsia="zh-CN"/>
              </w:rPr>
              <w:t>应当编制环境影响报告表。项目为油气勘探项目，经编制环境影响报告表后报主管部门作为项目环境保护管理的依据，可以满足该文件的要求。</w:t>
            </w:r>
          </w:p>
          <w:p w14:paraId="2F3FDF88">
            <w:pPr>
              <w:pStyle w:val="22"/>
              <w:widowControl w:val="0"/>
              <w:tabs>
                <w:tab w:val="left" w:pos="121"/>
              </w:tabs>
              <w:kinsoku/>
              <w:spacing w:before="6" w:line="376" w:lineRule="auto"/>
              <w:ind w:left="1" w:firstLine="42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5"/>
                <w:sz w:val="24"/>
                <w:szCs w:val="24"/>
                <w:highlight w:val="none"/>
                <w:lang w:eastAsia="zh-CN"/>
              </w:rPr>
              <w:t>本项目与《关</w:t>
            </w:r>
            <w:r>
              <w:rPr>
                <w:rFonts w:ascii="Times New Roman" w:hAnsi="Times New Roman" w:cs="Times New Roman"/>
                <w:color w:val="auto"/>
                <w:spacing w:val="1"/>
                <w:sz w:val="24"/>
                <w:szCs w:val="24"/>
                <w:highlight w:val="none"/>
                <w:lang w:eastAsia="zh-CN"/>
              </w:rPr>
              <w:t>于进一步加强石油天然气行业环境影响评价管理的通知》</w:t>
            </w:r>
            <w:r>
              <w:rPr>
                <w:rFonts w:ascii="Times New Roman" w:hAnsi="Times New Roman" w:cs="Times New Roman"/>
                <w:color w:val="auto"/>
                <w:sz w:val="24"/>
                <w:szCs w:val="24"/>
                <w:highlight w:val="none"/>
                <w:lang w:eastAsia="zh-CN"/>
              </w:rPr>
              <w:t>相符性见表1-4。</w:t>
            </w:r>
          </w:p>
          <w:p w14:paraId="406F2D9D">
            <w:pPr>
              <w:widowControl w:val="0"/>
              <w:kinsoku/>
              <w:spacing w:line="400" w:lineRule="exact"/>
              <w:ind w:firstLine="422" w:firstLineChars="200"/>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表1-4 项目与《关于进一步加强石油天然气行业环境影响评价管理的通知》符合性分析一览表</w:t>
            </w:r>
          </w:p>
          <w:tbl>
            <w:tblPr>
              <w:tblStyle w:val="21"/>
              <w:tblW w:w="65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6"/>
              <w:gridCol w:w="3081"/>
              <w:gridCol w:w="2193"/>
              <w:gridCol w:w="608"/>
            </w:tblGrid>
            <w:tr w14:paraId="3B32D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jc w:val="center"/>
              </w:trPr>
              <w:tc>
                <w:tcPr>
                  <w:tcW w:w="656" w:type="dxa"/>
                  <w:vAlign w:val="center"/>
                </w:tcPr>
                <w:p w14:paraId="0435A546">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序号</w:t>
                  </w:r>
                </w:p>
              </w:tc>
              <w:tc>
                <w:tcPr>
                  <w:tcW w:w="3081" w:type="dxa"/>
                  <w:vAlign w:val="center"/>
                </w:tcPr>
                <w:p w14:paraId="19121B9D">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《关于进一步加强石油天然气行业环境影响评价管理的通知》</w:t>
                  </w:r>
                </w:p>
              </w:tc>
              <w:tc>
                <w:tcPr>
                  <w:tcW w:w="2193" w:type="dxa"/>
                  <w:vAlign w:val="center"/>
                </w:tcPr>
                <w:p w14:paraId="66BA1DD0">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本项目</w:t>
                  </w:r>
                </w:p>
              </w:tc>
              <w:tc>
                <w:tcPr>
                  <w:tcW w:w="608" w:type="dxa"/>
                  <w:vAlign w:val="center"/>
                </w:tcPr>
                <w:p w14:paraId="0D16B538">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符合性</w:t>
                  </w:r>
                </w:p>
              </w:tc>
            </w:tr>
            <w:tr w14:paraId="623A7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 w:hRule="atLeast"/>
                <w:jc w:val="center"/>
              </w:trPr>
              <w:tc>
                <w:tcPr>
                  <w:tcW w:w="656" w:type="dxa"/>
                  <w:vAlign w:val="center"/>
                </w:tcPr>
                <w:p w14:paraId="27FFAA1C">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c>
                <w:tcPr>
                  <w:tcW w:w="3081" w:type="dxa"/>
                  <w:vAlign w:val="center"/>
                </w:tcPr>
                <w:p w14:paraId="162DC4A6">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确定产能建设规模后，原则上不得以勘探名义继续开展单井环评。</w:t>
                  </w:r>
                </w:p>
              </w:tc>
              <w:tc>
                <w:tcPr>
                  <w:tcW w:w="2193" w:type="dxa"/>
                  <w:vAlign w:val="center"/>
                </w:tcPr>
                <w:p w14:paraId="74DDCAED">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本项目共计划勘探2口井，目前均未勘探，正在环评报告编制阶段</w:t>
                  </w:r>
                </w:p>
              </w:tc>
              <w:tc>
                <w:tcPr>
                  <w:tcW w:w="608" w:type="dxa"/>
                  <w:vAlign w:val="center"/>
                </w:tcPr>
                <w:p w14:paraId="7BBECFE5">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008B3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jc w:val="center"/>
              </w:trPr>
              <w:tc>
                <w:tcPr>
                  <w:tcW w:w="656" w:type="dxa"/>
                  <w:vAlign w:val="center"/>
                </w:tcPr>
                <w:p w14:paraId="76F38B18">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w:t>
                  </w:r>
                </w:p>
              </w:tc>
              <w:tc>
                <w:tcPr>
                  <w:tcW w:w="3081" w:type="dxa"/>
                  <w:vAlign w:val="center"/>
                </w:tcPr>
                <w:p w14:paraId="782C1658">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项目环评应当深入评价项目建设、运营带来的环境影响和环境风险，提出有效的生态环境保护和环境风险防范措施。</w:t>
                  </w:r>
                </w:p>
              </w:tc>
              <w:tc>
                <w:tcPr>
                  <w:tcW w:w="2193" w:type="dxa"/>
                  <w:vAlign w:val="center"/>
                </w:tcPr>
                <w:p w14:paraId="4E622D45">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本次环评深入评价项目建设、带来的环境影响和环境风险，提出有效的生态环境保护和环境风险防范措施。</w:t>
                  </w:r>
                </w:p>
              </w:tc>
              <w:tc>
                <w:tcPr>
                  <w:tcW w:w="608" w:type="dxa"/>
                  <w:vAlign w:val="center"/>
                </w:tcPr>
                <w:p w14:paraId="276FA149">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02F1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jc w:val="center"/>
              </w:trPr>
              <w:tc>
                <w:tcPr>
                  <w:tcW w:w="656" w:type="dxa"/>
                  <w:vAlign w:val="center"/>
                </w:tcPr>
                <w:p w14:paraId="772129EA">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w:t>
                  </w:r>
                </w:p>
              </w:tc>
              <w:tc>
                <w:tcPr>
                  <w:tcW w:w="3081" w:type="dxa"/>
                  <w:vAlign w:val="center"/>
                </w:tcPr>
                <w:p w14:paraId="4E51EC65">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依托其他防治设施的或者委托第三方处置的，应当论证其可行性和有效性。</w:t>
                  </w:r>
                </w:p>
              </w:tc>
              <w:tc>
                <w:tcPr>
                  <w:tcW w:w="2193" w:type="dxa"/>
                  <w:vAlign w:val="center"/>
                </w:tcPr>
                <w:p w14:paraId="37E6C3C5">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本项目依托工程及其可行性分析详见“第二章：依托工程”。</w:t>
                  </w:r>
                </w:p>
              </w:tc>
              <w:tc>
                <w:tcPr>
                  <w:tcW w:w="608" w:type="dxa"/>
                  <w:vAlign w:val="center"/>
                </w:tcPr>
                <w:p w14:paraId="2AF137AE">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686F9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2" w:hRule="atLeast"/>
                <w:jc w:val="center"/>
              </w:trPr>
              <w:tc>
                <w:tcPr>
                  <w:tcW w:w="656" w:type="dxa"/>
                  <w:vAlign w:val="center"/>
                </w:tcPr>
                <w:p w14:paraId="14A814AD">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4</w:t>
                  </w:r>
                </w:p>
              </w:tc>
              <w:tc>
                <w:tcPr>
                  <w:tcW w:w="3081" w:type="dxa"/>
                  <w:vAlign w:val="center"/>
                </w:tcPr>
                <w:p w14:paraId="0F2DDF16">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涉及废水回注的，应当论证回注的环境可行性，采取切实可行的地下水污染防治和监控措施，不得回注与油气开采无关的废水，严禁造成地下水污染。</w:t>
                  </w:r>
                </w:p>
              </w:tc>
              <w:tc>
                <w:tcPr>
                  <w:tcW w:w="2193" w:type="dxa"/>
                  <w:vAlign w:val="center"/>
                </w:tcPr>
                <w:p w14:paraId="6DD3F5E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井下作业废水拉运到康探001临时拉油站中转运至吉28脱水站并处理达标后，全部回注油藏，依托工程及其可行性分析详见“第二章：依托工程”。本项目采取了地下水污染防治和监控措施，防止造成地下水污染，详见报告环保措施章节。</w:t>
                  </w:r>
                </w:p>
              </w:tc>
              <w:tc>
                <w:tcPr>
                  <w:tcW w:w="608" w:type="dxa"/>
                  <w:vAlign w:val="center"/>
                </w:tcPr>
                <w:p w14:paraId="778C9CFD">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123B4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jc w:val="center"/>
              </w:trPr>
              <w:tc>
                <w:tcPr>
                  <w:tcW w:w="656" w:type="dxa"/>
                  <w:vAlign w:val="center"/>
                </w:tcPr>
                <w:p w14:paraId="1C1825B3">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5</w:t>
                  </w:r>
                </w:p>
              </w:tc>
              <w:tc>
                <w:tcPr>
                  <w:tcW w:w="3081" w:type="dxa"/>
                  <w:vAlign w:val="center"/>
                </w:tcPr>
                <w:p w14:paraId="656AF853">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油气开采产生的废弃油基泥浆、含油钻屑及其他固体废物，应当遵循减量化、资源化、无害化原则，按照国家和地方有关固体废物的管理规定进行处置。</w:t>
                  </w:r>
                </w:p>
              </w:tc>
              <w:tc>
                <w:tcPr>
                  <w:tcW w:w="2193" w:type="dxa"/>
                  <w:vAlign w:val="center"/>
                </w:tcPr>
                <w:p w14:paraId="53C5801D">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本项目产生的含油污泥、落地油泥、废防渗材料、废润滑油、废润滑油桶贮存于危废贮存点后定期交由有资质的单位处置。</w:t>
                  </w:r>
                </w:p>
              </w:tc>
              <w:tc>
                <w:tcPr>
                  <w:tcW w:w="608" w:type="dxa"/>
                  <w:vAlign w:val="center"/>
                </w:tcPr>
                <w:p w14:paraId="5AD0AAF4">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2DFC2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jc w:val="center"/>
              </w:trPr>
              <w:tc>
                <w:tcPr>
                  <w:tcW w:w="656" w:type="dxa"/>
                  <w:tcBorders>
                    <w:bottom w:val="single" w:color="000000" w:sz="6" w:space="0"/>
                  </w:tcBorders>
                  <w:vAlign w:val="center"/>
                </w:tcPr>
                <w:p w14:paraId="07C68714">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6</w:t>
                  </w:r>
                </w:p>
              </w:tc>
              <w:tc>
                <w:tcPr>
                  <w:tcW w:w="3081" w:type="dxa"/>
                  <w:tcBorders>
                    <w:bottom w:val="single" w:color="000000" w:sz="6" w:space="0"/>
                  </w:tcBorders>
                  <w:vAlign w:val="center"/>
                </w:tcPr>
                <w:p w14:paraId="6638B366">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施工期应当尽量减少施工占地、缩短施工时间、选择合理施工方式、落实环境敏感区管控要求以及其他生态环境保护措施，降低生态环境影响。</w:t>
                  </w:r>
                </w:p>
              </w:tc>
              <w:tc>
                <w:tcPr>
                  <w:tcW w:w="2193" w:type="dxa"/>
                  <w:tcBorders>
                    <w:bottom w:val="single" w:color="000000" w:sz="6" w:space="0"/>
                  </w:tcBorders>
                  <w:vAlign w:val="center"/>
                </w:tcPr>
                <w:p w14:paraId="2847458B">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施工期严格控制占地面积，施工单位在占地范围内施工，严格控制和管理运输车辆及重型机械施工作业范围。</w:t>
                  </w:r>
                </w:p>
              </w:tc>
              <w:tc>
                <w:tcPr>
                  <w:tcW w:w="608" w:type="dxa"/>
                  <w:tcBorders>
                    <w:bottom w:val="single" w:color="000000" w:sz="6" w:space="0"/>
                  </w:tcBorders>
                  <w:vAlign w:val="center"/>
                </w:tcPr>
                <w:p w14:paraId="5143B824">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3D0A8FE5">
            <w:pPr>
              <w:pStyle w:val="22"/>
              <w:widowControl w:val="0"/>
              <w:kinsoku/>
              <w:spacing w:before="42" w:line="360" w:lineRule="auto"/>
              <w:jc w:val="both"/>
              <w:rPr>
                <w:rFonts w:ascii="Times New Roman" w:hAnsi="Times New Roman" w:cs="Times New Roman"/>
                <w:b/>
                <w:bCs/>
                <w:color w:val="auto"/>
                <w:kern w:val="2"/>
                <w:sz w:val="24"/>
                <w:szCs w:val="24"/>
                <w:highlight w:val="none"/>
                <w:lang w:eastAsia="zh-CN"/>
              </w:rPr>
            </w:pPr>
            <w:r>
              <w:rPr>
                <w:rFonts w:ascii="Times New Roman" w:hAnsi="Times New Roman" w:cs="Times New Roman"/>
                <w:b/>
                <w:bCs/>
                <w:color w:val="auto"/>
                <w:kern w:val="2"/>
                <w:sz w:val="24"/>
                <w:szCs w:val="24"/>
                <w:highlight w:val="none"/>
                <w:lang w:eastAsia="zh-CN"/>
              </w:rPr>
              <w:t>5.与《陆上石油天然气开采业绿色矿山建设规范》（DZ/T0317-2018）符合性分析</w:t>
            </w:r>
          </w:p>
          <w:p w14:paraId="593F14D0">
            <w:pPr>
              <w:pStyle w:val="22"/>
              <w:widowControl w:val="0"/>
              <w:kinsoku/>
              <w:spacing w:line="360" w:lineRule="auto"/>
              <w:ind w:firstLine="480" w:firstLineChars="200"/>
              <w:jc w:val="both"/>
              <w:rPr>
                <w:rFonts w:ascii="Times New Roman" w:hAnsi="Times New Roman" w:cs="Times New Roman"/>
                <w:color w:val="auto"/>
                <w:kern w:val="2"/>
                <w:sz w:val="24"/>
                <w:szCs w:val="24"/>
                <w:highlight w:val="none"/>
                <w:lang w:eastAsia="zh-CN"/>
              </w:rPr>
            </w:pPr>
            <w:r>
              <w:rPr>
                <w:rFonts w:ascii="Times New Roman" w:hAnsi="Times New Roman" w:cs="Times New Roman"/>
                <w:color w:val="auto"/>
                <w:kern w:val="2"/>
                <w:sz w:val="24"/>
                <w:szCs w:val="24"/>
                <w:highlight w:val="none"/>
                <w:lang w:eastAsia="zh-CN"/>
              </w:rPr>
              <w:t>项目与《陆上石油天然气开采业绿色矿山建设规范》（DZ/T0317-2018）符合性分析见表1-5。</w:t>
            </w:r>
          </w:p>
          <w:p w14:paraId="640E5A7C">
            <w:pPr>
              <w:pStyle w:val="22"/>
              <w:widowControl w:val="0"/>
              <w:kinsoku/>
              <w:spacing w:line="360" w:lineRule="auto"/>
              <w:jc w:val="center"/>
              <w:rPr>
                <w:rFonts w:ascii="Times New Roman" w:hAnsi="Times New Roman" w:cs="Times New Roman"/>
                <w:b/>
                <w:bCs/>
                <w:color w:val="auto"/>
                <w:spacing w:val="6"/>
                <w:sz w:val="21"/>
                <w:szCs w:val="21"/>
                <w:highlight w:val="none"/>
                <w:lang w:eastAsia="zh-CN"/>
              </w:rPr>
            </w:pPr>
            <w:r>
              <w:rPr>
                <w:rFonts w:ascii="Times New Roman" w:hAnsi="Times New Roman" w:cs="Times New Roman"/>
                <w:b/>
                <w:bCs/>
                <w:color w:val="auto"/>
                <w:spacing w:val="6"/>
                <w:sz w:val="21"/>
                <w:szCs w:val="21"/>
                <w:highlight w:val="none"/>
                <w:lang w:eastAsia="zh-CN"/>
              </w:rPr>
              <w:t>表1-5 项目与《陆上石油天然气开采业绿色矿山建设规范》</w:t>
            </w:r>
          </w:p>
          <w:p w14:paraId="15B2289B">
            <w:pPr>
              <w:pStyle w:val="22"/>
              <w:widowControl w:val="0"/>
              <w:kinsoku/>
              <w:spacing w:line="226" w:lineRule="auto"/>
              <w:jc w:val="center"/>
              <w:rPr>
                <w:rFonts w:ascii="Times New Roman" w:hAnsi="Times New Roman" w:cs="Times New Roman"/>
                <w:color w:val="auto"/>
                <w:sz w:val="21"/>
                <w:szCs w:val="21"/>
                <w:highlight w:val="none"/>
                <w:lang w:eastAsia="zh-CN"/>
              </w:rPr>
            </w:pPr>
            <w:r>
              <w:rPr>
                <w:rFonts w:ascii="Times New Roman" w:hAnsi="Times New Roman" w:cs="Times New Roman"/>
                <w:b/>
                <w:bCs/>
                <w:color w:val="auto"/>
                <w:spacing w:val="7"/>
                <w:sz w:val="21"/>
                <w:szCs w:val="21"/>
                <w:highlight w:val="none"/>
              </w:rPr>
              <w:t>符合性分析一览表</w:t>
            </w:r>
          </w:p>
          <w:tbl>
            <w:tblPr>
              <w:tblStyle w:val="21"/>
              <w:tblW w:w="65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0"/>
              <w:gridCol w:w="2937"/>
              <w:gridCol w:w="561"/>
            </w:tblGrid>
            <w:tr w14:paraId="02932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jc w:val="center"/>
              </w:trPr>
              <w:tc>
                <w:tcPr>
                  <w:tcW w:w="3060" w:type="dxa"/>
                  <w:vAlign w:val="center"/>
                </w:tcPr>
                <w:p w14:paraId="6ECC88D0">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《陆上石油天然气开采业绿色矿山建设规范》</w:t>
                  </w:r>
                </w:p>
              </w:tc>
              <w:tc>
                <w:tcPr>
                  <w:tcW w:w="2937" w:type="dxa"/>
                  <w:vAlign w:val="center"/>
                </w:tcPr>
                <w:p w14:paraId="37A990D8">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本项目</w:t>
                  </w:r>
                </w:p>
              </w:tc>
              <w:tc>
                <w:tcPr>
                  <w:tcW w:w="561" w:type="dxa"/>
                  <w:vAlign w:val="center"/>
                </w:tcPr>
                <w:p w14:paraId="7F267CEA">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符合性</w:t>
                  </w:r>
                </w:p>
              </w:tc>
            </w:tr>
            <w:tr w14:paraId="22278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jc w:val="center"/>
              </w:trPr>
              <w:tc>
                <w:tcPr>
                  <w:tcW w:w="3060" w:type="dxa"/>
                  <w:vAlign w:val="center"/>
                </w:tcPr>
                <w:p w14:paraId="61DA06AB">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应实施绿色钻井技术体系，科学选择钻井方式、环境友好型钻井液及井控措施配备完善的固控系统，及时妥善处置钻井泥浆。</w:t>
                  </w:r>
                </w:p>
              </w:tc>
              <w:tc>
                <w:tcPr>
                  <w:tcW w:w="2937" w:type="dxa"/>
                  <w:vAlign w:val="center"/>
                </w:tcPr>
                <w:p w14:paraId="043EBE12">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本项目采用环境友好钻井液及井控措施。</w:t>
                  </w:r>
                </w:p>
              </w:tc>
              <w:tc>
                <w:tcPr>
                  <w:tcW w:w="561" w:type="dxa"/>
                  <w:vAlign w:val="center"/>
                </w:tcPr>
                <w:p w14:paraId="760E6AE3">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740F4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jc w:val="center"/>
              </w:trPr>
              <w:tc>
                <w:tcPr>
                  <w:tcW w:w="3060" w:type="dxa"/>
                  <w:vAlign w:val="center"/>
                </w:tcPr>
                <w:p w14:paraId="61C21BBA">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应按照矿山地质环境保护与土地复垦方案进行地质环境治理和土地复垦。</w:t>
                  </w:r>
                </w:p>
              </w:tc>
              <w:tc>
                <w:tcPr>
                  <w:tcW w:w="2937" w:type="dxa"/>
                  <w:vAlign w:val="center"/>
                </w:tcPr>
                <w:p w14:paraId="6EAEA48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本次环评要求工程结束后恢复原貌。</w:t>
                  </w:r>
                </w:p>
              </w:tc>
              <w:tc>
                <w:tcPr>
                  <w:tcW w:w="561" w:type="dxa"/>
                  <w:vAlign w:val="center"/>
                </w:tcPr>
                <w:p w14:paraId="3CE9E552">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2646F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jc w:val="center"/>
              </w:trPr>
              <w:tc>
                <w:tcPr>
                  <w:tcW w:w="3060" w:type="dxa"/>
                  <w:vAlign w:val="center"/>
                </w:tcPr>
                <w:p w14:paraId="097F4990">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油气开采过程中产生的含油污泥。采取技术措施进行原油回收处理和利用，处理后固体物含油率低</w:t>
                  </w:r>
                  <w:r>
                    <w:rPr>
                      <w:rFonts w:hint="eastAsia" w:ascii="Times New Roman" w:hAnsi="Times New Roman" w:eastAsia="宋体" w:cs="Times New Roman"/>
                      <w:color w:val="auto"/>
                      <w:highlight w:val="none"/>
                      <w:lang w:val="en-US" w:eastAsia="zh-CN"/>
                    </w:rPr>
                    <w:t>于</w:t>
                  </w:r>
                  <w:r>
                    <w:rPr>
                      <w:rFonts w:ascii="Times New Roman" w:hAnsi="Times New Roman" w:eastAsia="宋体" w:cs="Times New Roman"/>
                      <w:color w:val="auto"/>
                      <w:highlight w:val="none"/>
                      <w:lang w:eastAsia="zh-CN"/>
                    </w:rPr>
                    <w:t>2%。</w:t>
                  </w:r>
                </w:p>
              </w:tc>
              <w:tc>
                <w:tcPr>
                  <w:tcW w:w="2937" w:type="dxa"/>
                  <w:vAlign w:val="center"/>
                </w:tcPr>
                <w:p w14:paraId="7335D0AF">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本工程落地油要求100%回收。</w:t>
                  </w:r>
                </w:p>
              </w:tc>
              <w:tc>
                <w:tcPr>
                  <w:tcW w:w="561" w:type="dxa"/>
                  <w:vAlign w:val="center"/>
                </w:tcPr>
                <w:p w14:paraId="7293AC54">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102F2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jc w:val="center"/>
              </w:trPr>
              <w:tc>
                <w:tcPr>
                  <w:tcW w:w="3060" w:type="dxa"/>
                  <w:vAlign w:val="center"/>
                </w:tcPr>
                <w:p w14:paraId="0C3C15E9">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油气生产过程中产生的废液、废气、固体废物应建档分类管理，并清洁化、无害化处置，处置率应达到100%。</w:t>
                  </w:r>
                </w:p>
              </w:tc>
              <w:tc>
                <w:tcPr>
                  <w:tcW w:w="2937" w:type="dxa"/>
                  <w:vAlign w:val="center"/>
                </w:tcPr>
                <w:p w14:paraId="78213873">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本项目试油压裂过程中产生的废水、压裂返排液、钻井岩屑、废防渗材料、落地油泥、废润滑油、废润滑油桶均能妥善处置。</w:t>
                  </w:r>
                </w:p>
              </w:tc>
              <w:tc>
                <w:tcPr>
                  <w:tcW w:w="561" w:type="dxa"/>
                  <w:vAlign w:val="center"/>
                </w:tcPr>
                <w:p w14:paraId="2D7F8572">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7D2BAD07">
            <w:pPr>
              <w:pStyle w:val="22"/>
              <w:widowControl w:val="0"/>
              <w:kinsoku/>
              <w:spacing w:before="42" w:line="360" w:lineRule="auto"/>
              <w:jc w:val="both"/>
              <w:rPr>
                <w:rFonts w:ascii="Times New Roman" w:hAnsi="Times New Roman" w:cs="Times New Roman"/>
                <w:b/>
                <w:bCs/>
                <w:color w:val="auto"/>
                <w:kern w:val="2"/>
                <w:sz w:val="24"/>
                <w:szCs w:val="24"/>
                <w:highlight w:val="none"/>
                <w:lang w:eastAsia="zh-CN"/>
              </w:rPr>
            </w:pPr>
            <w:r>
              <w:rPr>
                <w:rFonts w:ascii="Times New Roman" w:hAnsi="Times New Roman" w:cs="Times New Roman"/>
                <w:b/>
                <w:bCs/>
                <w:color w:val="auto"/>
                <w:kern w:val="2"/>
                <w:sz w:val="24"/>
                <w:szCs w:val="24"/>
                <w:highlight w:val="none"/>
                <w:lang w:eastAsia="zh-CN"/>
              </w:rPr>
              <w:t>6.与《新疆生态环境保护“十四五”规划》符合性分析</w:t>
            </w:r>
          </w:p>
          <w:p w14:paraId="0F99DA0F">
            <w:pPr>
              <w:pStyle w:val="22"/>
              <w:widowControl w:val="0"/>
              <w:kinsoku/>
              <w:spacing w:line="360" w:lineRule="auto"/>
              <w:ind w:firstLine="480" w:firstLineChars="200"/>
              <w:jc w:val="both"/>
              <w:rPr>
                <w:rFonts w:ascii="Times New Roman" w:hAnsi="Times New Roman" w:cs="Times New Roman"/>
                <w:color w:val="auto"/>
                <w:kern w:val="2"/>
                <w:sz w:val="24"/>
                <w:szCs w:val="24"/>
                <w:highlight w:val="none"/>
                <w:lang w:eastAsia="zh-CN"/>
              </w:rPr>
            </w:pPr>
            <w:r>
              <w:rPr>
                <w:rFonts w:ascii="Times New Roman" w:hAnsi="Times New Roman" w:cs="Times New Roman"/>
                <w:color w:val="auto"/>
                <w:kern w:val="2"/>
                <w:sz w:val="24"/>
                <w:szCs w:val="24"/>
                <w:highlight w:val="none"/>
                <w:lang w:eastAsia="zh-CN"/>
              </w:rPr>
              <w:t>项目与《新疆生态环境保护“十四五”规划》符合性分析见表1-6。</w:t>
            </w:r>
          </w:p>
          <w:p w14:paraId="1BDE7A98">
            <w:pPr>
              <w:widowControl w:val="0"/>
              <w:kinsoku/>
              <w:spacing w:line="400" w:lineRule="exact"/>
              <w:ind w:firstLine="450" w:firstLineChars="200"/>
              <w:jc w:val="center"/>
              <w:rPr>
                <w:rFonts w:ascii="Times New Roman" w:hAnsi="Times New Roman" w:eastAsia="宋体" w:cs="Times New Roman"/>
                <w:b/>
                <w:bCs/>
                <w:color w:val="auto"/>
                <w:spacing w:val="6"/>
                <w:highlight w:val="none"/>
                <w:lang w:eastAsia="zh-CN"/>
              </w:rPr>
            </w:pPr>
            <w:r>
              <w:rPr>
                <w:rFonts w:ascii="Times New Roman" w:hAnsi="Times New Roman" w:eastAsia="宋体" w:cs="Times New Roman"/>
                <w:b/>
                <w:bCs/>
                <w:color w:val="auto"/>
                <w:spacing w:val="7"/>
                <w:highlight w:val="none"/>
                <w:lang w:eastAsia="zh-CN"/>
              </w:rPr>
              <w:t>表1-6 项目与《新疆生态环境保护“十四五”规划》符合性分析</w:t>
            </w:r>
            <w:r>
              <w:rPr>
                <w:rFonts w:ascii="Times New Roman" w:hAnsi="Times New Roman" w:eastAsia="宋体" w:cs="Times New Roman"/>
                <w:b/>
                <w:bCs/>
                <w:color w:val="auto"/>
                <w:spacing w:val="6"/>
                <w:highlight w:val="none"/>
                <w:lang w:eastAsia="zh-CN"/>
              </w:rPr>
              <w:t>一览表</w:t>
            </w:r>
          </w:p>
          <w:tbl>
            <w:tblPr>
              <w:tblStyle w:val="21"/>
              <w:tblW w:w="65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15"/>
              <w:gridCol w:w="3252"/>
              <w:gridCol w:w="491"/>
            </w:tblGrid>
            <w:tr w14:paraId="537D5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2815" w:type="dxa"/>
                  <w:vAlign w:val="center"/>
                </w:tcPr>
                <w:p w14:paraId="4111CB45">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《新疆生态环境保护“十四五”规划》</w:t>
                  </w:r>
                </w:p>
              </w:tc>
              <w:tc>
                <w:tcPr>
                  <w:tcW w:w="3252" w:type="dxa"/>
                  <w:vAlign w:val="center"/>
                </w:tcPr>
                <w:p w14:paraId="62AFFCCB">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本项目</w:t>
                  </w:r>
                </w:p>
              </w:tc>
              <w:tc>
                <w:tcPr>
                  <w:tcW w:w="491" w:type="dxa"/>
                  <w:vAlign w:val="center"/>
                </w:tcPr>
                <w:p w14:paraId="1481D2B6">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符合性</w:t>
                  </w:r>
                </w:p>
              </w:tc>
            </w:tr>
            <w:tr w14:paraId="47EFA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3" w:hRule="atLeast"/>
                <w:jc w:val="center"/>
              </w:trPr>
              <w:tc>
                <w:tcPr>
                  <w:tcW w:w="2815" w:type="dxa"/>
                  <w:vAlign w:val="center"/>
                </w:tcPr>
                <w:p w14:paraId="0A880E03">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实施最严格的生态保护制度。坚决遏制“两高”项目盲目发</w:t>
                  </w:r>
                </w:p>
                <w:p w14:paraId="208E3693">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展，严格执行能源、矿产资源开发自治区人民政府“一支笔”审批制度、环境保护“一票否决”制度，落实“三线一单”生态环境分区管控要求，守住生态保护红线、环境质量底线和资源利用上线，实施生态环境准入清单管控。强化危险废物全过程环境监管。督促各类危险废物产生单位和经营单位依法申报危险废物产生处置情况，报备管理计划，做好信息公开工作，规范运行危险废物转移联单。</w:t>
                  </w:r>
                </w:p>
              </w:tc>
              <w:tc>
                <w:tcPr>
                  <w:tcW w:w="3252" w:type="dxa"/>
                  <w:vAlign w:val="center"/>
                </w:tcPr>
                <w:p w14:paraId="0AD062B2">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为油气资源勘探项目，不属于“高污染、高环境风险产品”项目；位于重点管控单元，不涉及生态保护红线；废气、噪声均可实现达标排放，废水和固体废物均得到妥善处置，不会突破区域环境质量底线；施工过程中会消耗少量的电能和水，工程资源消耗量相对区域资源利用总量较少，符合资源上限要求；符合区域生态环境分区管控要求。本环评要求定期更新和申报危险废物管理计划，对危险废物贮存、转移和处置进行全过程管理，建立危险废物管理台账，本次可充分依托中国石油天然气股份有限公司吐哈油田分公司准东采油管理区已有管理制度。</w:t>
                  </w:r>
                </w:p>
              </w:tc>
              <w:tc>
                <w:tcPr>
                  <w:tcW w:w="491" w:type="dxa"/>
                  <w:vAlign w:val="center"/>
                </w:tcPr>
                <w:p w14:paraId="77671077">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76E5D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jc w:val="center"/>
              </w:trPr>
              <w:tc>
                <w:tcPr>
                  <w:tcW w:w="2815" w:type="dxa"/>
                  <w:tcBorders>
                    <w:bottom w:val="single" w:color="000000" w:sz="6" w:space="0"/>
                  </w:tcBorders>
                  <w:vAlign w:val="center"/>
                </w:tcPr>
                <w:p w14:paraId="4F2ECA8E">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加强应急监测装备配置，定期开展应急演练，增强实战能力。</w:t>
                  </w:r>
                </w:p>
              </w:tc>
              <w:tc>
                <w:tcPr>
                  <w:tcW w:w="3252" w:type="dxa"/>
                  <w:tcBorders>
                    <w:bottom w:val="single" w:color="000000" w:sz="6" w:space="0"/>
                  </w:tcBorders>
                  <w:vAlign w:val="center"/>
                </w:tcPr>
                <w:p w14:paraId="511D9ABA">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本项目拟设置应急监测设备，并定期进行应急演练工作。</w:t>
                  </w:r>
                </w:p>
              </w:tc>
              <w:tc>
                <w:tcPr>
                  <w:tcW w:w="491" w:type="dxa"/>
                  <w:tcBorders>
                    <w:bottom w:val="single" w:color="000000" w:sz="6" w:space="0"/>
                  </w:tcBorders>
                  <w:vAlign w:val="center"/>
                </w:tcPr>
                <w:p w14:paraId="77C5B60C">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6AFA63CA">
            <w:pPr>
              <w:pStyle w:val="22"/>
              <w:widowControl w:val="0"/>
              <w:kinsoku/>
              <w:spacing w:before="42" w:line="360" w:lineRule="auto"/>
              <w:jc w:val="both"/>
              <w:rPr>
                <w:rFonts w:ascii="Times New Roman" w:hAnsi="Times New Roman" w:cs="Times New Roman"/>
                <w:b/>
                <w:bCs/>
                <w:color w:val="auto"/>
                <w:kern w:val="2"/>
                <w:sz w:val="24"/>
                <w:szCs w:val="24"/>
                <w:highlight w:val="none"/>
                <w:lang w:eastAsia="zh-CN"/>
              </w:rPr>
            </w:pPr>
            <w:r>
              <w:rPr>
                <w:rFonts w:ascii="Times New Roman" w:hAnsi="Times New Roman" w:cs="Times New Roman"/>
                <w:b/>
                <w:bCs/>
                <w:color w:val="auto"/>
                <w:kern w:val="2"/>
                <w:sz w:val="24"/>
                <w:szCs w:val="24"/>
                <w:highlight w:val="none"/>
                <w:lang w:eastAsia="zh-CN"/>
              </w:rPr>
              <w:t>7.与《昌吉回族自治州生态环境保护与建设“十四五”规划》符合性分析</w:t>
            </w:r>
          </w:p>
          <w:p w14:paraId="22D31985">
            <w:pPr>
              <w:pStyle w:val="22"/>
              <w:widowControl w:val="0"/>
              <w:kinsoku/>
              <w:spacing w:line="360" w:lineRule="auto"/>
              <w:ind w:firstLine="480" w:firstLineChars="200"/>
              <w:jc w:val="both"/>
              <w:rPr>
                <w:rFonts w:ascii="Times New Roman" w:hAnsi="Times New Roman" w:cs="Times New Roman"/>
                <w:color w:val="auto"/>
                <w:kern w:val="2"/>
                <w:sz w:val="24"/>
                <w:szCs w:val="24"/>
                <w:highlight w:val="none"/>
                <w:lang w:eastAsia="zh-CN"/>
              </w:rPr>
            </w:pPr>
            <w:r>
              <w:rPr>
                <w:rFonts w:ascii="Times New Roman" w:hAnsi="Times New Roman" w:cs="Times New Roman"/>
                <w:color w:val="auto"/>
                <w:kern w:val="2"/>
                <w:sz w:val="24"/>
                <w:szCs w:val="24"/>
                <w:highlight w:val="none"/>
                <w:lang w:eastAsia="zh-CN"/>
              </w:rPr>
              <w:t>项目与《昌吉回族自治州生态环境保护与建设“十四五”规划》符合性分析见表1-7。</w:t>
            </w:r>
          </w:p>
          <w:p w14:paraId="1786D4C4">
            <w:pPr>
              <w:widowControl w:val="0"/>
              <w:kinsoku/>
              <w:spacing w:line="400" w:lineRule="exact"/>
              <w:jc w:val="center"/>
              <w:rPr>
                <w:rFonts w:ascii="Times New Roman" w:hAnsi="Times New Roman" w:eastAsia="宋体" w:cs="Times New Roman"/>
                <w:b/>
                <w:bCs/>
                <w:color w:val="auto"/>
                <w:spacing w:val="7"/>
                <w:highlight w:val="none"/>
                <w:lang w:eastAsia="zh-CN"/>
              </w:rPr>
            </w:pPr>
            <w:r>
              <w:rPr>
                <w:rFonts w:ascii="Times New Roman" w:hAnsi="Times New Roman" w:eastAsia="宋体" w:cs="Times New Roman"/>
                <w:b/>
                <w:bCs/>
                <w:color w:val="auto"/>
                <w:spacing w:val="7"/>
                <w:highlight w:val="none"/>
                <w:lang w:eastAsia="zh-CN"/>
              </w:rPr>
              <w:t>表1-7 与《昌吉回族自治州生态环境保护与建设“十四五”规划》符合性分析一览表</w:t>
            </w:r>
          </w:p>
          <w:tbl>
            <w:tblPr>
              <w:tblStyle w:val="21"/>
              <w:tblW w:w="66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37"/>
              <w:gridCol w:w="2697"/>
              <w:gridCol w:w="685"/>
            </w:tblGrid>
            <w:tr w14:paraId="2B0BB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237" w:type="dxa"/>
                </w:tcPr>
                <w:p w14:paraId="2A9D27B0">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《昌吉回族自治州生态环境保护与建设“十四五”规划》</w:t>
                  </w:r>
                </w:p>
              </w:tc>
              <w:tc>
                <w:tcPr>
                  <w:tcW w:w="2697" w:type="dxa"/>
                  <w:vAlign w:val="center"/>
                </w:tcPr>
                <w:p w14:paraId="6A086586">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本项目</w:t>
                  </w:r>
                </w:p>
              </w:tc>
              <w:tc>
                <w:tcPr>
                  <w:tcW w:w="685" w:type="dxa"/>
                  <w:vAlign w:val="center"/>
                </w:tcPr>
                <w:p w14:paraId="5F2BB6AC">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符合性</w:t>
                  </w:r>
                </w:p>
              </w:tc>
            </w:tr>
            <w:tr w14:paraId="16BBF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jc w:val="center"/>
              </w:trPr>
              <w:tc>
                <w:tcPr>
                  <w:tcW w:w="3237" w:type="dxa"/>
                  <w:vAlign w:val="center"/>
                </w:tcPr>
                <w:p w14:paraId="7C12CD83">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将生态保护红线、环境质量底线、资源利用上线的硬约束落实到环境管控单元，建立差别化的生态环境准入清单，加强“三线一单”成果在政策制定、环境准入、执法监管等方面的应用。</w:t>
                  </w:r>
                </w:p>
              </w:tc>
              <w:tc>
                <w:tcPr>
                  <w:tcW w:w="2697" w:type="dxa"/>
                  <w:vAlign w:val="center"/>
                </w:tcPr>
                <w:p w14:paraId="78630FD9">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本项目不涉及生态保护红线，不会突破区域环境质量底线，不会突破区域资源利用上线。</w:t>
                  </w:r>
                </w:p>
              </w:tc>
              <w:tc>
                <w:tcPr>
                  <w:tcW w:w="685" w:type="dxa"/>
                  <w:vAlign w:val="center"/>
                </w:tcPr>
                <w:p w14:paraId="0B640261">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3FEE1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jc w:val="center"/>
              </w:trPr>
              <w:tc>
                <w:tcPr>
                  <w:tcW w:w="3237" w:type="dxa"/>
                  <w:vAlign w:val="center"/>
                </w:tcPr>
                <w:p w14:paraId="431FE5B9">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强化水资源刚性约束，深入推进最严格水资源管理制度，严守水资源开发利用控制、用水效率控制和水功能区限制纳污“三条红线”，严格实行区域用水总量和强度控制，强化节水约束性指标管理。</w:t>
                  </w:r>
                </w:p>
              </w:tc>
              <w:tc>
                <w:tcPr>
                  <w:tcW w:w="2697" w:type="dxa"/>
                  <w:vAlign w:val="center"/>
                </w:tcPr>
                <w:p w14:paraId="39BCC1A6">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拟部署井钻试期仅消耗少量新鲜水，用量在区域可承受范围内，不会突破区域资源利用上限。</w:t>
                  </w:r>
                </w:p>
              </w:tc>
              <w:tc>
                <w:tcPr>
                  <w:tcW w:w="685" w:type="dxa"/>
                  <w:vAlign w:val="center"/>
                </w:tcPr>
                <w:p w14:paraId="195DD62C">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362FE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jc w:val="center"/>
              </w:trPr>
              <w:tc>
                <w:tcPr>
                  <w:tcW w:w="3237" w:type="dxa"/>
                  <w:vAlign w:val="center"/>
                </w:tcPr>
                <w:p w14:paraId="2C606959">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推进地表水与地下水协同防治。统筹区域地表水、地下水生态环境监管。</w:t>
                  </w:r>
                </w:p>
              </w:tc>
              <w:tc>
                <w:tcPr>
                  <w:tcW w:w="2697" w:type="dxa"/>
                  <w:vAlign w:val="center"/>
                </w:tcPr>
                <w:p w14:paraId="09B644B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钻井过程无废水产生，试油过程产生的井下作业废水拉运到康探001临时拉油站中转运至吉28脱水站并处理达标后，全部回注油藏；钻井过程中使用水泥固井，有效地将含水层与井筒分隔开保护地下水不受污染。</w:t>
                  </w:r>
                </w:p>
              </w:tc>
              <w:tc>
                <w:tcPr>
                  <w:tcW w:w="685" w:type="dxa"/>
                  <w:vAlign w:val="center"/>
                </w:tcPr>
                <w:p w14:paraId="3075E71C">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4DDBF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jc w:val="center"/>
              </w:trPr>
              <w:tc>
                <w:tcPr>
                  <w:tcW w:w="3237" w:type="dxa"/>
                  <w:vAlign w:val="center"/>
                </w:tcPr>
                <w:p w14:paraId="66F658D9">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以北部沙漠防风固沙生态维护区、中部平原农田防护人居环境维护区和南部山地水源涵养生态维护区3个水土保持分区为基础，划分重点预防范围和重点治理范围。</w:t>
                  </w:r>
                </w:p>
              </w:tc>
              <w:tc>
                <w:tcPr>
                  <w:tcW w:w="2697" w:type="dxa"/>
                  <w:vAlign w:val="center"/>
                </w:tcPr>
                <w:p w14:paraId="13BB7672">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本环评已提出了相应的水土保持措施，可将项目引起的水土流失的程度降低到最小限度。</w:t>
                  </w:r>
                </w:p>
              </w:tc>
              <w:tc>
                <w:tcPr>
                  <w:tcW w:w="685" w:type="dxa"/>
                  <w:vAlign w:val="center"/>
                </w:tcPr>
                <w:p w14:paraId="19BB9F53">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41448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 w:hRule="atLeast"/>
                <w:jc w:val="center"/>
              </w:trPr>
              <w:tc>
                <w:tcPr>
                  <w:tcW w:w="3237" w:type="dxa"/>
                  <w:tcBorders>
                    <w:bottom w:val="single" w:color="000000" w:sz="6" w:space="0"/>
                  </w:tcBorders>
                  <w:vAlign w:val="center"/>
                </w:tcPr>
                <w:p w14:paraId="0AB522F0">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加强生态环境应急管理。实施企业环境应急预案电子化备案，完成昌吉市政府突发环境事件应急预案修编。</w:t>
                  </w:r>
                </w:p>
              </w:tc>
              <w:tc>
                <w:tcPr>
                  <w:tcW w:w="2697" w:type="dxa"/>
                  <w:tcBorders>
                    <w:bottom w:val="single" w:color="000000" w:sz="6" w:space="0"/>
                  </w:tcBorders>
                  <w:vAlign w:val="center"/>
                </w:tcPr>
                <w:p w14:paraId="6209F992">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本项目归属中国石油天然气股份有限公司吐哈油田分公司准东采油管理区管辖，项目实施后需纳入《中国石油天然气股份有限公司吐哈油田分公司准东采油管理区突发环境事件应急预案》。</w:t>
                  </w:r>
                </w:p>
              </w:tc>
              <w:tc>
                <w:tcPr>
                  <w:tcW w:w="685" w:type="dxa"/>
                  <w:tcBorders>
                    <w:bottom w:val="single" w:color="000000" w:sz="6" w:space="0"/>
                  </w:tcBorders>
                  <w:vAlign w:val="center"/>
                </w:tcPr>
                <w:p w14:paraId="33B85292">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7C03C4E8">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8.与新疆维吾尔自治区主体功能区规划的相符性分析</w:t>
            </w:r>
          </w:p>
          <w:p w14:paraId="37A600E0">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新疆维吾尔自治区主体功能区规划》（2016年10月24日），新疆分为以下主体功能区：按开发方式，分为优化开发区域、重点开发区域、限制开发区域和禁止开发区域四类；按开发内容，分为城市化地区、农产品主产区和重点生态功能区三类；按层级，分为国家和自治区级两个层面。</w:t>
            </w:r>
          </w:p>
          <w:p w14:paraId="767C704E">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建设地点位于新疆维吾尔自治区昌吉回族自治州阜康市境内，属于《新疆维吾尔自治区主体功能区规划》中的国家级重点开发区域（天山北坡地区），该区域的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1EED65DC">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本项目为油气资源勘探项目，项目的建设有利于提高油气资源的安全供应能力和开发利用水平，支撑地区经济，因此本项目符合自治区对该区域的功能定位要求。新疆维吾尔自治区主体功能区规划图见附图5。</w:t>
            </w:r>
          </w:p>
          <w:p w14:paraId="146976C6">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9.与《新疆生态功能区划》的相符性分析</w:t>
            </w:r>
          </w:p>
          <w:p w14:paraId="2CFE5935">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根据《新疆生态功能区划简表》，项目所属生态功能区的主要生态服务功能、主要生态环境问题、主要保护目标和主要发展方向等内容详见表1-8，生态功能区划图详见附图4。</w:t>
            </w:r>
          </w:p>
          <w:p w14:paraId="34B10079">
            <w:pPr>
              <w:pStyle w:val="22"/>
              <w:widowControl w:val="0"/>
              <w:kinsoku/>
              <w:spacing w:before="1" w:line="226" w:lineRule="auto"/>
              <w:jc w:val="center"/>
              <w:rPr>
                <w:rFonts w:ascii="Times New Roman" w:hAnsi="Times New Roman" w:cs="Times New Roman"/>
                <w:b/>
                <w:bCs/>
                <w:color w:val="auto"/>
                <w:spacing w:val="5"/>
                <w:sz w:val="21"/>
                <w:szCs w:val="21"/>
                <w:highlight w:val="none"/>
              </w:rPr>
            </w:pPr>
            <w:r>
              <w:rPr>
                <w:rFonts w:ascii="Times New Roman" w:hAnsi="Times New Roman" w:cs="Times New Roman"/>
                <w:b/>
                <w:bCs/>
                <w:color w:val="auto"/>
                <w:spacing w:val="5"/>
                <w:sz w:val="21"/>
                <w:szCs w:val="21"/>
                <w:highlight w:val="none"/>
              </w:rPr>
              <w:t>表</w:t>
            </w:r>
            <w:r>
              <w:rPr>
                <w:rFonts w:ascii="Times New Roman" w:hAnsi="Times New Roman" w:cs="Times New Roman"/>
                <w:b/>
                <w:bCs/>
                <w:color w:val="auto"/>
                <w:spacing w:val="5"/>
                <w:sz w:val="21"/>
                <w:szCs w:val="21"/>
                <w:highlight w:val="none"/>
                <w:lang w:eastAsia="zh-CN"/>
              </w:rPr>
              <w:t>1</w:t>
            </w:r>
            <w:r>
              <w:rPr>
                <w:rFonts w:ascii="Times New Roman" w:hAnsi="Times New Roman" w:cs="Times New Roman"/>
                <w:b/>
                <w:bCs/>
                <w:color w:val="auto"/>
                <w:spacing w:val="5"/>
                <w:sz w:val="21"/>
                <w:szCs w:val="21"/>
                <w:highlight w:val="none"/>
              </w:rPr>
              <w:t>-</w:t>
            </w:r>
            <w:r>
              <w:rPr>
                <w:rFonts w:ascii="Times New Roman" w:hAnsi="Times New Roman" w:cs="Times New Roman"/>
                <w:b/>
                <w:bCs/>
                <w:color w:val="auto"/>
                <w:spacing w:val="5"/>
                <w:sz w:val="21"/>
                <w:szCs w:val="21"/>
                <w:highlight w:val="none"/>
                <w:lang w:eastAsia="zh-CN"/>
              </w:rPr>
              <w:t xml:space="preserve">8 </w:t>
            </w:r>
            <w:r>
              <w:rPr>
                <w:rFonts w:ascii="Times New Roman" w:hAnsi="Times New Roman" w:cs="Times New Roman"/>
                <w:b/>
                <w:bCs/>
                <w:color w:val="auto"/>
                <w:spacing w:val="5"/>
                <w:sz w:val="21"/>
                <w:szCs w:val="21"/>
                <w:highlight w:val="none"/>
              </w:rPr>
              <w:t>生态功能区划简表</w:t>
            </w:r>
          </w:p>
          <w:tbl>
            <w:tblPr>
              <w:tblStyle w:val="21"/>
              <w:tblW w:w="66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6"/>
              <w:gridCol w:w="1315"/>
              <w:gridCol w:w="4798"/>
            </w:tblGrid>
            <w:tr w14:paraId="4AB62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586" w:type="dxa"/>
                  <w:vMerge w:val="restart"/>
                  <w:tcBorders>
                    <w:top w:val="single" w:color="000000" w:sz="10" w:space="0"/>
                    <w:bottom w:val="nil"/>
                  </w:tcBorders>
                  <w:vAlign w:val="center"/>
                </w:tcPr>
                <w:p w14:paraId="056C00F8">
                  <w:pPr>
                    <w:pStyle w:val="22"/>
                    <w:kinsoku/>
                    <w:spacing w:before="25" w:line="233"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生态功能分区单元</w:t>
                  </w:r>
                </w:p>
              </w:tc>
              <w:tc>
                <w:tcPr>
                  <w:tcW w:w="1315" w:type="dxa"/>
                  <w:tcBorders>
                    <w:top w:val="single" w:color="000000" w:sz="10" w:space="0"/>
                  </w:tcBorders>
                  <w:vAlign w:val="center"/>
                </w:tcPr>
                <w:p w14:paraId="1B6DE9DC">
                  <w:pPr>
                    <w:pStyle w:val="22"/>
                    <w:kinsoku/>
                    <w:spacing w:before="58" w:line="233"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6"/>
                      <w:sz w:val="21"/>
                      <w:szCs w:val="21"/>
                      <w:highlight w:val="none"/>
                    </w:rPr>
                    <w:t>生态区</w:t>
                  </w:r>
                </w:p>
              </w:tc>
              <w:tc>
                <w:tcPr>
                  <w:tcW w:w="4798" w:type="dxa"/>
                  <w:tcBorders>
                    <w:top w:val="single" w:color="000000" w:sz="10" w:space="0"/>
                    <w:right w:val="single" w:color="000000" w:sz="4" w:space="0"/>
                  </w:tcBorders>
                  <w:vAlign w:val="center"/>
                </w:tcPr>
                <w:p w14:paraId="62B16680">
                  <w:pPr>
                    <w:pStyle w:val="22"/>
                    <w:kinsoku/>
                    <w:spacing w:before="58" w:line="228"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Ⅱ准噶尔盆地温性荒漠与绿洲农业生态区</w:t>
                  </w:r>
                </w:p>
              </w:tc>
            </w:tr>
            <w:tr w14:paraId="6BB96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6" w:type="dxa"/>
                  <w:vMerge w:val="continue"/>
                  <w:tcBorders>
                    <w:top w:val="nil"/>
                    <w:bottom w:val="nil"/>
                  </w:tcBorders>
                  <w:vAlign w:val="center"/>
                </w:tcPr>
                <w:p w14:paraId="48A600B5">
                  <w:pPr>
                    <w:kinsoku/>
                    <w:jc w:val="center"/>
                    <w:rPr>
                      <w:rFonts w:ascii="Times New Roman" w:hAnsi="Times New Roman" w:eastAsia="宋体" w:cs="Times New Roman"/>
                      <w:color w:val="auto"/>
                      <w:highlight w:val="none"/>
                      <w:lang w:eastAsia="zh-CN"/>
                    </w:rPr>
                  </w:pPr>
                </w:p>
              </w:tc>
              <w:tc>
                <w:tcPr>
                  <w:tcW w:w="1315" w:type="dxa"/>
                  <w:vAlign w:val="center"/>
                </w:tcPr>
                <w:p w14:paraId="2375E969">
                  <w:pPr>
                    <w:pStyle w:val="22"/>
                    <w:kinsoku/>
                    <w:spacing w:before="69" w:line="233"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6"/>
                      <w:sz w:val="21"/>
                      <w:szCs w:val="21"/>
                      <w:highlight w:val="none"/>
                    </w:rPr>
                    <w:t>生态亚区</w:t>
                  </w:r>
                </w:p>
              </w:tc>
              <w:tc>
                <w:tcPr>
                  <w:tcW w:w="4798" w:type="dxa"/>
                  <w:tcBorders>
                    <w:right w:val="single" w:color="000000" w:sz="4" w:space="0"/>
                  </w:tcBorders>
                  <w:vAlign w:val="center"/>
                </w:tcPr>
                <w:p w14:paraId="7D8829D2">
                  <w:pPr>
                    <w:pStyle w:val="22"/>
                    <w:kinsoku/>
                    <w:spacing w:before="69" w:line="241"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36"/>
                      <w:sz w:val="21"/>
                      <w:szCs w:val="21"/>
                      <w:highlight w:val="none"/>
                      <w:lang w:eastAsia="zh-CN"/>
                    </w:rPr>
                    <w:t xml:space="preserve">Ⅱ  </w:t>
                  </w:r>
                  <w:r>
                    <w:rPr>
                      <w:rFonts w:ascii="Times New Roman" w:hAnsi="Times New Roman" w:cs="Times New Roman"/>
                      <w:color w:val="auto"/>
                      <w:spacing w:val="9"/>
                      <w:position w:val="-2"/>
                      <w:sz w:val="21"/>
                      <w:szCs w:val="21"/>
                      <w:highlight w:val="none"/>
                      <w:vertAlign w:val="subscript"/>
                      <w:lang w:eastAsia="zh-CN"/>
                    </w:rPr>
                    <w:t>5</w:t>
                  </w:r>
                  <w:r>
                    <w:rPr>
                      <w:rFonts w:ascii="Times New Roman" w:hAnsi="Times New Roman" w:cs="Times New Roman"/>
                      <w:color w:val="auto"/>
                      <w:spacing w:val="9"/>
                      <w:sz w:val="21"/>
                      <w:szCs w:val="21"/>
                      <w:highlight w:val="none"/>
                      <w:lang w:eastAsia="zh-CN"/>
                    </w:rPr>
                    <w:t>准噶尔盆地南部荒漠绿洲农业生态亚区</w:t>
                  </w:r>
                </w:p>
              </w:tc>
            </w:tr>
            <w:tr w14:paraId="612C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586" w:type="dxa"/>
                  <w:vMerge w:val="continue"/>
                  <w:tcBorders>
                    <w:top w:val="nil"/>
                  </w:tcBorders>
                  <w:vAlign w:val="center"/>
                </w:tcPr>
                <w:p w14:paraId="425E2FD9">
                  <w:pPr>
                    <w:kinsoku/>
                    <w:jc w:val="center"/>
                    <w:rPr>
                      <w:rFonts w:ascii="Times New Roman" w:hAnsi="Times New Roman" w:eastAsia="宋体" w:cs="Times New Roman"/>
                      <w:color w:val="auto"/>
                      <w:highlight w:val="none"/>
                      <w:lang w:eastAsia="zh-CN"/>
                    </w:rPr>
                  </w:pPr>
                </w:p>
              </w:tc>
              <w:tc>
                <w:tcPr>
                  <w:tcW w:w="1315" w:type="dxa"/>
                  <w:vAlign w:val="center"/>
                </w:tcPr>
                <w:p w14:paraId="325E6409">
                  <w:pPr>
                    <w:pStyle w:val="22"/>
                    <w:kinsoku/>
                    <w:spacing w:before="94" w:line="229"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7"/>
                      <w:sz w:val="21"/>
                      <w:szCs w:val="21"/>
                      <w:highlight w:val="none"/>
                    </w:rPr>
                    <w:t>生态功能区</w:t>
                  </w:r>
                </w:p>
              </w:tc>
              <w:tc>
                <w:tcPr>
                  <w:tcW w:w="4798" w:type="dxa"/>
                  <w:tcBorders>
                    <w:right w:val="single" w:color="000000" w:sz="4" w:space="0"/>
                  </w:tcBorders>
                  <w:vAlign w:val="center"/>
                </w:tcPr>
                <w:p w14:paraId="6A307CB1">
                  <w:pPr>
                    <w:pStyle w:val="22"/>
                    <w:kinsoku/>
                    <w:spacing w:before="94" w:line="226"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9"/>
                      <w:sz w:val="21"/>
                      <w:szCs w:val="21"/>
                      <w:highlight w:val="none"/>
                      <w:lang w:eastAsia="zh-CN"/>
                    </w:rPr>
                    <w:t>28.阜康一木垒绿洲农业、荒漠草地保护生态功</w:t>
                  </w:r>
                  <w:r>
                    <w:rPr>
                      <w:rFonts w:ascii="Times New Roman" w:hAnsi="Times New Roman" w:cs="Times New Roman"/>
                      <w:color w:val="auto"/>
                      <w:spacing w:val="8"/>
                      <w:sz w:val="21"/>
                      <w:szCs w:val="21"/>
                      <w:highlight w:val="none"/>
                      <w:lang w:eastAsia="zh-CN"/>
                    </w:rPr>
                    <w:t>能区</w:t>
                  </w:r>
                </w:p>
              </w:tc>
            </w:tr>
            <w:tr w14:paraId="5079F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901" w:type="dxa"/>
                  <w:gridSpan w:val="2"/>
                  <w:vAlign w:val="center"/>
                </w:tcPr>
                <w:p w14:paraId="0356CF0F">
                  <w:pPr>
                    <w:pStyle w:val="22"/>
                    <w:kinsoku/>
                    <w:spacing w:before="68"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主要生态服务功能</w:t>
                  </w:r>
                </w:p>
              </w:tc>
              <w:tc>
                <w:tcPr>
                  <w:tcW w:w="4798" w:type="dxa"/>
                  <w:tcBorders>
                    <w:right w:val="single" w:color="000000" w:sz="4" w:space="0"/>
                  </w:tcBorders>
                  <w:vAlign w:val="center"/>
                </w:tcPr>
                <w:p w14:paraId="345232F7">
                  <w:pPr>
                    <w:pStyle w:val="22"/>
                    <w:kinsoku/>
                    <w:spacing w:before="68" w:line="228"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9"/>
                      <w:sz w:val="21"/>
                      <w:szCs w:val="21"/>
                      <w:highlight w:val="none"/>
                      <w:lang w:eastAsia="zh-CN"/>
                    </w:rPr>
                    <w:t>农牧业产品生产、人居环境、荒漠化控制</w:t>
                  </w:r>
                </w:p>
              </w:tc>
            </w:tr>
            <w:tr w14:paraId="521A0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901" w:type="dxa"/>
                  <w:gridSpan w:val="2"/>
                  <w:vAlign w:val="center"/>
                </w:tcPr>
                <w:p w14:paraId="710345EE">
                  <w:pPr>
                    <w:pStyle w:val="22"/>
                    <w:kinsoku/>
                    <w:spacing w:before="68" w:line="228" w:lineRule="auto"/>
                    <w:jc w:val="center"/>
                    <w:rPr>
                      <w:rFonts w:ascii="Times New Roman" w:hAnsi="Times New Roman" w:cs="Times New Roman"/>
                      <w:color w:val="auto"/>
                      <w:spacing w:val="8"/>
                      <w:sz w:val="21"/>
                      <w:szCs w:val="21"/>
                      <w:highlight w:val="none"/>
                    </w:rPr>
                  </w:pPr>
                  <w:r>
                    <w:rPr>
                      <w:rFonts w:ascii="Times New Roman" w:hAnsi="Times New Roman" w:cs="Times New Roman"/>
                      <w:color w:val="auto"/>
                      <w:spacing w:val="8"/>
                      <w:sz w:val="21"/>
                      <w:szCs w:val="21"/>
                      <w:highlight w:val="none"/>
                    </w:rPr>
                    <w:t>隶属行政区</w:t>
                  </w:r>
                </w:p>
              </w:tc>
              <w:tc>
                <w:tcPr>
                  <w:tcW w:w="4798" w:type="dxa"/>
                  <w:tcBorders>
                    <w:right w:val="single" w:color="000000" w:sz="4" w:space="0"/>
                  </w:tcBorders>
                  <w:vAlign w:val="center"/>
                </w:tcPr>
                <w:p w14:paraId="259EA483">
                  <w:pPr>
                    <w:pStyle w:val="22"/>
                    <w:kinsoku/>
                    <w:spacing w:before="68" w:line="228" w:lineRule="auto"/>
                    <w:jc w:val="center"/>
                    <w:rPr>
                      <w:rFonts w:ascii="Times New Roman" w:hAnsi="Times New Roman" w:cs="Times New Roman"/>
                      <w:color w:val="auto"/>
                      <w:spacing w:val="8"/>
                      <w:sz w:val="21"/>
                      <w:szCs w:val="21"/>
                      <w:highlight w:val="none"/>
                      <w:lang w:eastAsia="zh-CN"/>
                    </w:rPr>
                  </w:pPr>
                  <w:r>
                    <w:rPr>
                      <w:rFonts w:ascii="Times New Roman" w:hAnsi="Times New Roman" w:cs="Times New Roman"/>
                      <w:color w:val="auto"/>
                      <w:spacing w:val="8"/>
                      <w:sz w:val="21"/>
                      <w:szCs w:val="21"/>
                      <w:highlight w:val="none"/>
                      <w:lang w:eastAsia="zh-CN"/>
                    </w:rPr>
                    <w:t>阜康市、吉木萨尔县、奇台县、木垒县</w:t>
                  </w:r>
                </w:p>
              </w:tc>
            </w:tr>
            <w:tr w14:paraId="75219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1901" w:type="dxa"/>
                  <w:gridSpan w:val="2"/>
                  <w:vAlign w:val="center"/>
                </w:tcPr>
                <w:p w14:paraId="4AE056E0">
                  <w:pPr>
                    <w:pStyle w:val="22"/>
                    <w:kinsoku/>
                    <w:spacing w:before="60" w:line="228" w:lineRule="auto"/>
                    <w:jc w:val="center"/>
                    <w:rPr>
                      <w:rFonts w:ascii="Times New Roman" w:hAnsi="Times New Roman" w:cs="Times New Roman"/>
                      <w:color w:val="auto"/>
                      <w:spacing w:val="9"/>
                      <w:sz w:val="21"/>
                      <w:szCs w:val="21"/>
                      <w:highlight w:val="none"/>
                    </w:rPr>
                  </w:pPr>
                  <w:r>
                    <w:rPr>
                      <w:rFonts w:ascii="Times New Roman" w:hAnsi="Times New Roman" w:cs="Times New Roman"/>
                      <w:color w:val="auto"/>
                      <w:spacing w:val="9"/>
                      <w:sz w:val="21"/>
                      <w:szCs w:val="21"/>
                      <w:highlight w:val="none"/>
                    </w:rPr>
                    <w:t>主要生态环境问题</w:t>
                  </w:r>
                </w:p>
              </w:tc>
              <w:tc>
                <w:tcPr>
                  <w:tcW w:w="4798" w:type="dxa"/>
                  <w:tcBorders>
                    <w:right w:val="single" w:color="000000" w:sz="4" w:space="0"/>
                  </w:tcBorders>
                  <w:vAlign w:val="center"/>
                </w:tcPr>
                <w:p w14:paraId="1B71BB0D">
                  <w:pPr>
                    <w:pStyle w:val="22"/>
                    <w:kinsoku/>
                    <w:spacing w:before="60" w:line="228" w:lineRule="auto"/>
                    <w:jc w:val="center"/>
                    <w:rPr>
                      <w:rFonts w:ascii="Times New Roman" w:hAnsi="Times New Roman" w:cs="Times New Roman"/>
                      <w:color w:val="auto"/>
                      <w:spacing w:val="8"/>
                      <w:sz w:val="21"/>
                      <w:szCs w:val="21"/>
                      <w:highlight w:val="none"/>
                      <w:lang w:eastAsia="zh-CN"/>
                    </w:rPr>
                  </w:pPr>
                  <w:r>
                    <w:rPr>
                      <w:rFonts w:ascii="Times New Roman" w:hAnsi="Times New Roman" w:cs="Times New Roman"/>
                      <w:color w:val="auto"/>
                      <w:spacing w:val="8"/>
                      <w:sz w:val="21"/>
                      <w:szCs w:val="21"/>
                      <w:highlight w:val="none"/>
                      <w:lang w:eastAsia="zh-CN"/>
                    </w:rPr>
                    <w:t>地下水超采、荒漠植被退化、沙漠化威胁、局部土壤盐渍化、河流萎缩、滥开荒地</w:t>
                  </w:r>
                </w:p>
              </w:tc>
            </w:tr>
            <w:tr w14:paraId="571FA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1901" w:type="dxa"/>
                  <w:gridSpan w:val="2"/>
                  <w:vAlign w:val="center"/>
                </w:tcPr>
                <w:p w14:paraId="247F760A">
                  <w:pPr>
                    <w:pStyle w:val="22"/>
                    <w:kinsoku/>
                    <w:spacing w:before="60" w:line="228" w:lineRule="auto"/>
                    <w:jc w:val="center"/>
                    <w:rPr>
                      <w:rFonts w:ascii="Times New Roman" w:hAnsi="Times New Roman" w:cs="Times New Roman"/>
                      <w:color w:val="auto"/>
                      <w:spacing w:val="9"/>
                      <w:sz w:val="21"/>
                      <w:szCs w:val="21"/>
                      <w:highlight w:val="none"/>
                      <w:lang w:eastAsia="zh-CN"/>
                    </w:rPr>
                  </w:pPr>
                  <w:r>
                    <w:rPr>
                      <w:rFonts w:ascii="Times New Roman" w:hAnsi="Times New Roman" w:cs="Times New Roman"/>
                      <w:color w:val="auto"/>
                      <w:spacing w:val="9"/>
                      <w:sz w:val="21"/>
                      <w:szCs w:val="21"/>
                      <w:highlight w:val="none"/>
                      <w:lang w:eastAsia="zh-CN"/>
                    </w:rPr>
                    <w:t>主要生态敏感因子、敏感程度</w:t>
                  </w:r>
                </w:p>
              </w:tc>
              <w:tc>
                <w:tcPr>
                  <w:tcW w:w="4798" w:type="dxa"/>
                  <w:tcBorders>
                    <w:right w:val="single" w:color="000000" w:sz="4" w:space="0"/>
                  </w:tcBorders>
                  <w:vAlign w:val="center"/>
                </w:tcPr>
                <w:p w14:paraId="48E01202">
                  <w:pPr>
                    <w:pStyle w:val="22"/>
                    <w:kinsoku/>
                    <w:spacing w:before="60" w:line="228"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9"/>
                      <w:sz w:val="21"/>
                      <w:szCs w:val="21"/>
                      <w:highlight w:val="none"/>
                      <w:lang w:eastAsia="zh-CN"/>
                    </w:rPr>
                    <w:t>生物多样性和生境中度敏感，土壤侵蚀轻度敏感、不敏感，土</w:t>
                  </w:r>
                  <w:r>
                    <w:rPr>
                      <w:rFonts w:ascii="Times New Roman" w:hAnsi="Times New Roman" w:cs="Times New Roman"/>
                      <w:color w:val="auto"/>
                      <w:spacing w:val="8"/>
                      <w:sz w:val="21"/>
                      <w:szCs w:val="21"/>
                      <w:highlight w:val="none"/>
                      <w:lang w:eastAsia="zh-CN"/>
                    </w:rPr>
                    <w:t>地沙漠化、土壤盐渍化不敏感</w:t>
                  </w:r>
                </w:p>
              </w:tc>
            </w:tr>
            <w:tr w14:paraId="672E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901" w:type="dxa"/>
                  <w:gridSpan w:val="2"/>
                  <w:vAlign w:val="center"/>
                </w:tcPr>
                <w:p w14:paraId="75949E8B">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7"/>
                      <w:sz w:val="21"/>
                      <w:szCs w:val="21"/>
                      <w:highlight w:val="none"/>
                    </w:rPr>
                    <w:t>主要保护目标</w:t>
                  </w:r>
                </w:p>
              </w:tc>
              <w:tc>
                <w:tcPr>
                  <w:tcW w:w="4798" w:type="dxa"/>
                  <w:tcBorders>
                    <w:right w:val="single" w:color="000000" w:sz="4" w:space="0"/>
                  </w:tcBorders>
                  <w:vAlign w:val="center"/>
                </w:tcPr>
                <w:p w14:paraId="61933394">
                  <w:pPr>
                    <w:pStyle w:val="22"/>
                    <w:kinsoku/>
                    <w:spacing w:before="64" w:line="227"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9"/>
                      <w:sz w:val="21"/>
                      <w:szCs w:val="21"/>
                      <w:highlight w:val="none"/>
                      <w:lang w:eastAsia="zh-CN"/>
                    </w:rPr>
                    <w:t>保护基本农田、保护荒漠植被、保护土壤环境质量</w:t>
                  </w:r>
                </w:p>
              </w:tc>
            </w:tr>
            <w:tr w14:paraId="08555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1901" w:type="dxa"/>
                  <w:gridSpan w:val="2"/>
                  <w:vAlign w:val="center"/>
                </w:tcPr>
                <w:p w14:paraId="032F7ECF">
                  <w:pPr>
                    <w:pStyle w:val="22"/>
                    <w:kinsoku/>
                    <w:spacing w:before="65" w:line="228" w:lineRule="auto"/>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主要保护措施</w:t>
                  </w:r>
                </w:p>
              </w:tc>
              <w:tc>
                <w:tcPr>
                  <w:tcW w:w="4798" w:type="dxa"/>
                  <w:tcBorders>
                    <w:right w:val="single" w:color="000000" w:sz="4" w:space="0"/>
                  </w:tcBorders>
                  <w:vAlign w:val="center"/>
                </w:tcPr>
                <w:p w14:paraId="502075D5">
                  <w:pPr>
                    <w:pStyle w:val="22"/>
                    <w:kinsoku/>
                    <w:spacing w:before="31" w:line="227"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9"/>
                      <w:sz w:val="21"/>
                      <w:szCs w:val="21"/>
                      <w:highlight w:val="none"/>
                      <w:lang w:eastAsia="zh-CN"/>
                    </w:rPr>
                    <w:t>节水灌溉、草场休牧、对前山坡耕地和北部沙化土地实施退耕还林(草)，在水源无保障、植被稀少、生态脆弱地带禁止开荒</w:t>
                  </w:r>
                  <w:r>
                    <w:rPr>
                      <w:rFonts w:ascii="Times New Roman" w:hAnsi="Times New Roman" w:cs="Times New Roman"/>
                      <w:color w:val="auto"/>
                      <w:spacing w:val="8"/>
                      <w:sz w:val="21"/>
                      <w:szCs w:val="21"/>
                      <w:highlight w:val="none"/>
                      <w:lang w:eastAsia="zh-CN"/>
                    </w:rPr>
                    <w:t>、加强农田投入品的使用管理</w:t>
                  </w:r>
                </w:p>
              </w:tc>
            </w:tr>
            <w:tr w14:paraId="32410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1901" w:type="dxa"/>
                  <w:gridSpan w:val="2"/>
                  <w:tcBorders>
                    <w:bottom w:val="single" w:color="000000" w:sz="10" w:space="0"/>
                  </w:tcBorders>
                  <w:vAlign w:val="center"/>
                </w:tcPr>
                <w:p w14:paraId="4C7C039C">
                  <w:pPr>
                    <w:pStyle w:val="22"/>
                    <w:kinsoku/>
                    <w:spacing w:before="65" w:line="228" w:lineRule="auto"/>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主要发展方向</w:t>
                  </w:r>
                </w:p>
              </w:tc>
              <w:tc>
                <w:tcPr>
                  <w:tcW w:w="4798" w:type="dxa"/>
                  <w:tcBorders>
                    <w:bottom w:val="single" w:color="000000" w:sz="10" w:space="0"/>
                    <w:right w:val="single" w:color="000000" w:sz="4" w:space="0"/>
                  </w:tcBorders>
                  <w:vAlign w:val="center"/>
                </w:tcPr>
                <w:p w14:paraId="4CA35D59">
                  <w:pPr>
                    <w:pStyle w:val="22"/>
                    <w:kinsoku/>
                    <w:spacing w:before="64" w:line="228"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9"/>
                      <w:sz w:val="21"/>
                      <w:szCs w:val="21"/>
                      <w:highlight w:val="none"/>
                      <w:lang w:eastAsia="zh-CN"/>
                    </w:rPr>
                    <w:t>农牧结合，发展优质、高效特色农业</w:t>
                  </w:r>
                </w:p>
              </w:tc>
            </w:tr>
          </w:tbl>
          <w:p w14:paraId="046F9E75">
            <w:pPr>
              <w:pStyle w:val="22"/>
              <w:widowControl w:val="0"/>
              <w:kinsoku/>
              <w:spacing w:before="42" w:line="360" w:lineRule="auto"/>
              <w:ind w:left="4"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只有钻井期、试油期，不涉及运营期；项目建设占用的土地资源相对区域资源较少，且为临时用地；项目单井施工期较短，资源消耗量较少，不涉及地下水的开采活动。采取一定的环保措施后，项目产生的废气、废水、噪声等对环境影响较小。项目建设符合《新疆生态功能区划》相关要求。</w:t>
            </w:r>
          </w:p>
          <w:p w14:paraId="491EAB32">
            <w:pPr>
              <w:pStyle w:val="22"/>
              <w:widowControl w:val="0"/>
              <w:kinsoku/>
              <w:spacing w:before="42" w:line="360" w:lineRule="auto"/>
              <w:jc w:val="both"/>
              <w:rPr>
                <w:rFonts w:ascii="Times New Roman" w:hAnsi="Times New Roman" w:cs="Times New Roman"/>
                <w:b/>
                <w:bCs/>
                <w:color w:val="auto"/>
                <w:spacing w:val="-5"/>
                <w:sz w:val="24"/>
                <w:szCs w:val="24"/>
                <w:highlight w:val="none"/>
                <w:lang w:eastAsia="zh-CN"/>
              </w:rPr>
            </w:pPr>
            <w:r>
              <w:rPr>
                <w:rFonts w:ascii="Times New Roman" w:hAnsi="Times New Roman" w:cs="Times New Roman"/>
                <w:b/>
                <w:bCs/>
                <w:color w:val="auto"/>
                <w:spacing w:val="-5"/>
                <w:sz w:val="24"/>
                <w:szCs w:val="24"/>
                <w:highlight w:val="none"/>
                <w:lang w:eastAsia="zh-CN"/>
              </w:rPr>
              <w:t>10.与《新疆维吾尔自治区重点行业生态环境准入条件（2024年）》（新环环评发〔2024〕93号）符合性分析</w:t>
            </w:r>
          </w:p>
          <w:p w14:paraId="389A7BF3">
            <w:pPr>
              <w:pStyle w:val="22"/>
              <w:widowControl w:val="0"/>
              <w:kinsoku/>
              <w:spacing w:line="360" w:lineRule="auto"/>
              <w:ind w:firstLine="460" w:firstLineChars="200"/>
              <w:jc w:val="both"/>
              <w:rPr>
                <w:rFonts w:ascii="Times New Roman" w:hAnsi="Times New Roman" w:cs="Times New Roman"/>
                <w:b/>
                <w:bCs/>
                <w:color w:val="auto"/>
                <w:spacing w:val="-5"/>
                <w:sz w:val="24"/>
                <w:szCs w:val="24"/>
                <w:highlight w:val="none"/>
                <w:lang w:eastAsia="zh-CN"/>
              </w:rPr>
            </w:pPr>
            <w:r>
              <w:rPr>
                <w:rFonts w:ascii="Times New Roman" w:hAnsi="Times New Roman" w:cs="Times New Roman"/>
                <w:color w:val="auto"/>
                <w:spacing w:val="-5"/>
                <w:sz w:val="24"/>
                <w:szCs w:val="24"/>
                <w:highlight w:val="none"/>
                <w:lang w:eastAsia="zh-CN"/>
              </w:rPr>
              <w:t>项目与《新疆维吾尔自治区重点行业生态环境准入条件（2024年）》（新环环评发〔2024〕93号）符合性分析见表1-9。</w:t>
            </w:r>
          </w:p>
          <w:p w14:paraId="1991EA81">
            <w:pPr>
              <w:pStyle w:val="22"/>
              <w:widowControl w:val="0"/>
              <w:kinsoku/>
              <w:spacing w:before="1" w:line="360" w:lineRule="auto"/>
              <w:jc w:val="center"/>
              <w:rPr>
                <w:rFonts w:ascii="Times New Roman" w:hAnsi="Times New Roman" w:cs="Times New Roman"/>
                <w:b/>
                <w:bCs/>
                <w:color w:val="auto"/>
                <w:spacing w:val="5"/>
                <w:sz w:val="21"/>
                <w:szCs w:val="21"/>
                <w:highlight w:val="none"/>
                <w:lang w:eastAsia="zh-CN"/>
              </w:rPr>
            </w:pPr>
            <w:r>
              <w:rPr>
                <w:rFonts w:ascii="Times New Roman" w:hAnsi="Times New Roman" w:cs="Times New Roman"/>
                <w:b/>
                <w:bCs/>
                <w:color w:val="auto"/>
                <w:spacing w:val="5"/>
                <w:sz w:val="21"/>
                <w:szCs w:val="21"/>
                <w:highlight w:val="none"/>
                <w:lang w:eastAsia="zh-CN"/>
              </w:rPr>
              <w:t>表1-9 与《新疆维吾尔自治区重点行业生态环境准入条件</w:t>
            </w:r>
          </w:p>
          <w:p w14:paraId="0DDE0672">
            <w:pPr>
              <w:pStyle w:val="22"/>
              <w:widowControl w:val="0"/>
              <w:kinsoku/>
              <w:spacing w:before="1" w:line="360" w:lineRule="auto"/>
              <w:jc w:val="center"/>
              <w:rPr>
                <w:rFonts w:ascii="Times New Roman" w:hAnsi="Times New Roman" w:cs="Times New Roman"/>
                <w:b/>
                <w:bCs/>
                <w:color w:val="auto"/>
                <w:spacing w:val="5"/>
                <w:sz w:val="21"/>
                <w:szCs w:val="21"/>
                <w:highlight w:val="none"/>
                <w:lang w:eastAsia="zh-CN"/>
              </w:rPr>
            </w:pPr>
            <w:r>
              <w:rPr>
                <w:rFonts w:ascii="Times New Roman" w:hAnsi="Times New Roman" w:cs="Times New Roman"/>
                <w:b/>
                <w:bCs/>
                <w:color w:val="auto"/>
                <w:spacing w:val="5"/>
                <w:sz w:val="21"/>
                <w:szCs w:val="21"/>
                <w:highlight w:val="none"/>
                <w:lang w:eastAsia="zh-CN"/>
              </w:rPr>
              <w:t>（2024年）》符合性分析一览表</w:t>
            </w:r>
          </w:p>
          <w:tbl>
            <w:tblPr>
              <w:tblStyle w:val="21"/>
              <w:tblW w:w="6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8"/>
              <w:gridCol w:w="3156"/>
              <w:gridCol w:w="2542"/>
              <w:gridCol w:w="502"/>
            </w:tblGrid>
            <w:tr w14:paraId="21E4C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5" w:hRule="atLeast"/>
                <w:jc w:val="center"/>
              </w:trPr>
              <w:tc>
                <w:tcPr>
                  <w:tcW w:w="518" w:type="dxa"/>
                  <w:tcBorders>
                    <w:top w:val="single" w:color="000000" w:sz="2" w:space="0"/>
                    <w:left w:val="single" w:color="000000" w:sz="2" w:space="0"/>
                  </w:tcBorders>
                  <w:vAlign w:val="center"/>
                </w:tcPr>
                <w:p w14:paraId="19AA0401">
                  <w:pPr>
                    <w:widowControl w:val="0"/>
                    <w:kinsoku/>
                    <w:spacing w:line="300" w:lineRule="exact"/>
                    <w:jc w:val="center"/>
                    <w:textAlignment w:val="auto"/>
                    <w:rPr>
                      <w:rFonts w:ascii="Times New Roman" w:hAnsi="Times New Roman" w:eastAsia="宋体" w:cs="Times New Roman"/>
                      <w:b/>
                      <w:bCs/>
                      <w:snapToGrid/>
                      <w:color w:val="auto"/>
                      <w:kern w:val="2"/>
                      <w:highlight w:val="none"/>
                      <w:lang w:eastAsia="zh-CN"/>
                    </w:rPr>
                  </w:pPr>
                  <w:r>
                    <w:rPr>
                      <w:rFonts w:ascii="Times New Roman" w:hAnsi="Times New Roman" w:eastAsia="宋体" w:cs="Times New Roman"/>
                      <w:b/>
                      <w:bCs/>
                      <w:snapToGrid/>
                      <w:color w:val="auto"/>
                      <w:kern w:val="2"/>
                      <w:highlight w:val="none"/>
                      <w:lang w:eastAsia="zh-CN"/>
                    </w:rPr>
                    <w:t>序号</w:t>
                  </w:r>
                </w:p>
              </w:tc>
              <w:tc>
                <w:tcPr>
                  <w:tcW w:w="3156" w:type="dxa"/>
                  <w:tcBorders>
                    <w:top w:val="single" w:color="000000" w:sz="2" w:space="0"/>
                  </w:tcBorders>
                  <w:vAlign w:val="center"/>
                </w:tcPr>
                <w:p w14:paraId="2A6863DF">
                  <w:pPr>
                    <w:widowControl w:val="0"/>
                    <w:kinsoku/>
                    <w:spacing w:line="300" w:lineRule="exact"/>
                    <w:jc w:val="center"/>
                    <w:textAlignment w:val="auto"/>
                    <w:rPr>
                      <w:rFonts w:ascii="Times New Roman" w:hAnsi="Times New Roman" w:eastAsia="宋体" w:cs="Times New Roman"/>
                      <w:b/>
                      <w:bCs/>
                      <w:snapToGrid/>
                      <w:color w:val="auto"/>
                      <w:kern w:val="2"/>
                      <w:highlight w:val="none"/>
                      <w:lang w:eastAsia="zh-CN"/>
                    </w:rPr>
                  </w:pPr>
                  <w:r>
                    <w:rPr>
                      <w:rFonts w:ascii="Times New Roman" w:hAnsi="Times New Roman" w:eastAsia="宋体" w:cs="Times New Roman"/>
                      <w:b/>
                      <w:bCs/>
                      <w:snapToGrid/>
                      <w:color w:val="auto"/>
                      <w:kern w:val="2"/>
                      <w:highlight w:val="none"/>
                      <w:lang w:eastAsia="zh-CN"/>
                    </w:rPr>
                    <w:t>《新疆维吾尔自治区重点行业生态环境准入条件（2024年）》中相关规定</w:t>
                  </w:r>
                </w:p>
              </w:tc>
              <w:tc>
                <w:tcPr>
                  <w:tcW w:w="2542" w:type="dxa"/>
                  <w:tcBorders>
                    <w:top w:val="single" w:color="000000" w:sz="2" w:space="0"/>
                  </w:tcBorders>
                  <w:vAlign w:val="center"/>
                </w:tcPr>
                <w:p w14:paraId="01CC1CC2">
                  <w:pPr>
                    <w:widowControl w:val="0"/>
                    <w:kinsoku/>
                    <w:spacing w:line="300" w:lineRule="exact"/>
                    <w:jc w:val="center"/>
                    <w:textAlignment w:val="auto"/>
                    <w:rPr>
                      <w:rFonts w:ascii="Times New Roman" w:hAnsi="Times New Roman" w:eastAsia="宋体" w:cs="Times New Roman"/>
                      <w:b/>
                      <w:bCs/>
                      <w:snapToGrid/>
                      <w:color w:val="auto"/>
                      <w:kern w:val="2"/>
                      <w:highlight w:val="none"/>
                      <w:lang w:eastAsia="zh-CN"/>
                    </w:rPr>
                  </w:pPr>
                  <w:r>
                    <w:rPr>
                      <w:rFonts w:ascii="Times New Roman" w:hAnsi="Times New Roman" w:eastAsia="宋体" w:cs="Times New Roman"/>
                      <w:b/>
                      <w:bCs/>
                      <w:snapToGrid/>
                      <w:color w:val="auto"/>
                      <w:kern w:val="2"/>
                      <w:highlight w:val="none"/>
                      <w:lang w:eastAsia="zh-CN"/>
                    </w:rPr>
                    <w:t>本项目采取的相关措施</w:t>
                  </w:r>
                </w:p>
              </w:tc>
              <w:tc>
                <w:tcPr>
                  <w:tcW w:w="502" w:type="dxa"/>
                  <w:tcBorders>
                    <w:top w:val="single" w:color="000000" w:sz="2" w:space="0"/>
                  </w:tcBorders>
                  <w:vAlign w:val="center"/>
                </w:tcPr>
                <w:p w14:paraId="0E78018A">
                  <w:pPr>
                    <w:widowControl w:val="0"/>
                    <w:kinsoku/>
                    <w:spacing w:line="300" w:lineRule="exact"/>
                    <w:jc w:val="center"/>
                    <w:textAlignment w:val="auto"/>
                    <w:rPr>
                      <w:rFonts w:ascii="Times New Roman" w:hAnsi="Times New Roman" w:eastAsia="宋体" w:cs="Times New Roman"/>
                      <w:b/>
                      <w:bCs/>
                      <w:snapToGrid/>
                      <w:color w:val="auto"/>
                      <w:kern w:val="2"/>
                      <w:highlight w:val="none"/>
                      <w:lang w:eastAsia="zh-CN"/>
                    </w:rPr>
                  </w:pPr>
                  <w:r>
                    <w:rPr>
                      <w:rFonts w:ascii="Times New Roman" w:hAnsi="Times New Roman" w:eastAsia="宋体" w:cs="Times New Roman"/>
                      <w:b/>
                      <w:bCs/>
                      <w:snapToGrid/>
                      <w:color w:val="auto"/>
                      <w:kern w:val="2"/>
                      <w:highlight w:val="none"/>
                      <w:lang w:eastAsia="zh-CN"/>
                    </w:rPr>
                    <w:t>分析</w:t>
                  </w:r>
                </w:p>
                <w:p w14:paraId="2CDFD46B">
                  <w:pPr>
                    <w:widowControl w:val="0"/>
                    <w:kinsoku/>
                    <w:spacing w:line="300" w:lineRule="exact"/>
                    <w:jc w:val="center"/>
                    <w:textAlignment w:val="auto"/>
                    <w:rPr>
                      <w:rFonts w:ascii="Times New Roman" w:hAnsi="Times New Roman" w:eastAsia="宋体" w:cs="Times New Roman"/>
                      <w:b/>
                      <w:bCs/>
                      <w:snapToGrid/>
                      <w:color w:val="auto"/>
                      <w:kern w:val="2"/>
                      <w:highlight w:val="none"/>
                      <w:lang w:eastAsia="zh-CN"/>
                    </w:rPr>
                  </w:pPr>
                  <w:r>
                    <w:rPr>
                      <w:rFonts w:ascii="Times New Roman" w:hAnsi="Times New Roman" w:eastAsia="宋体" w:cs="Times New Roman"/>
                      <w:b/>
                      <w:bCs/>
                      <w:snapToGrid/>
                      <w:color w:val="auto"/>
                      <w:kern w:val="2"/>
                      <w:highlight w:val="none"/>
                      <w:lang w:eastAsia="zh-CN"/>
                    </w:rPr>
                    <w:t>结论</w:t>
                  </w:r>
                </w:p>
              </w:tc>
            </w:tr>
            <w:tr w14:paraId="6AD2E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8" w:type="dxa"/>
                  <w:tcBorders>
                    <w:left w:val="single" w:color="000000" w:sz="2" w:space="0"/>
                  </w:tcBorders>
                  <w:vAlign w:val="center"/>
                </w:tcPr>
                <w:p w14:paraId="611B37D6">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1</w:t>
                  </w:r>
                </w:p>
              </w:tc>
              <w:tc>
                <w:tcPr>
                  <w:tcW w:w="3156" w:type="dxa"/>
                  <w:vAlign w:val="center"/>
                </w:tcPr>
                <w:p w14:paraId="6C39FC15">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施工期应当尽量减少施工占地、严格控制施工作业面积、缩短施工时间、选择合理施工方式、落实环境敏感区管控要求以及其他生态环境保护措施，有效降低生态环境影响。</w:t>
                  </w:r>
                </w:p>
              </w:tc>
              <w:tc>
                <w:tcPr>
                  <w:tcW w:w="2542" w:type="dxa"/>
                  <w:vAlign w:val="center"/>
                </w:tcPr>
                <w:p w14:paraId="0788AEB0">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本项目严格控制施工作业面积、减少施工占地、选择合理施工方式、落实环境敏感区管控要求以及其他生态环境保护措施，有效降低生态环境影响。</w:t>
                  </w:r>
                </w:p>
              </w:tc>
              <w:tc>
                <w:tcPr>
                  <w:tcW w:w="502" w:type="dxa"/>
                  <w:vAlign w:val="center"/>
                </w:tcPr>
                <w:p w14:paraId="21A24F8F">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符合</w:t>
                  </w:r>
                </w:p>
              </w:tc>
            </w:tr>
            <w:tr w14:paraId="5C56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7" w:hRule="atLeast"/>
                <w:jc w:val="center"/>
              </w:trPr>
              <w:tc>
                <w:tcPr>
                  <w:tcW w:w="518" w:type="dxa"/>
                  <w:tcBorders>
                    <w:left w:val="single" w:color="000000" w:sz="2" w:space="0"/>
                  </w:tcBorders>
                  <w:vAlign w:val="center"/>
                </w:tcPr>
                <w:p w14:paraId="39175E23">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2</w:t>
                  </w:r>
                </w:p>
              </w:tc>
              <w:tc>
                <w:tcPr>
                  <w:tcW w:w="3156" w:type="dxa"/>
                  <w:vAlign w:val="center"/>
                </w:tcPr>
                <w:p w14:paraId="50832B5F">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w:t>
                  </w:r>
                </w:p>
              </w:tc>
              <w:tc>
                <w:tcPr>
                  <w:tcW w:w="2542" w:type="dxa"/>
                  <w:vAlign w:val="center"/>
                </w:tcPr>
                <w:p w14:paraId="5323C05D">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本项目为勘探井项目，已设置原油储罐对原油进行储存和装载，项目井下作业废水采取带罐作业，井下作业废水全部回收，</w:t>
                  </w:r>
                  <w:r>
                    <w:rPr>
                      <w:rFonts w:ascii="Times New Roman" w:hAnsi="Times New Roman" w:eastAsia="宋体" w:cs="Times New Roman"/>
                      <w:color w:val="auto"/>
                      <w:highlight w:val="none"/>
                      <w:lang w:eastAsia="zh-CN"/>
                    </w:rPr>
                    <w:t>拉运到康探001临时拉油站中转运至吉28脱水站并处理达标后，全部回注油藏</w:t>
                  </w:r>
                  <w:r>
                    <w:rPr>
                      <w:rFonts w:ascii="Times New Roman" w:hAnsi="Times New Roman" w:eastAsia="宋体" w:cs="Times New Roman"/>
                      <w:snapToGrid/>
                      <w:color w:val="auto"/>
                      <w:kern w:val="2"/>
                      <w:highlight w:val="none"/>
                      <w:lang w:eastAsia="zh-CN"/>
                    </w:rPr>
                    <w:t>，伴生气通过排气管线充分燃烧后放空，工艺过程控制措施、废气收集处理措施以及站场边界非甲烷总烃排放浓度要求满足《陆上石油天然气开采工业大气污染物排放标准》（GB39728-2020）。</w:t>
                  </w:r>
                </w:p>
              </w:tc>
              <w:tc>
                <w:tcPr>
                  <w:tcW w:w="502" w:type="dxa"/>
                  <w:vAlign w:val="center"/>
                </w:tcPr>
                <w:p w14:paraId="1D979C5C">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符合</w:t>
                  </w:r>
                </w:p>
              </w:tc>
            </w:tr>
            <w:tr w14:paraId="3E64D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5" w:hRule="atLeast"/>
                <w:jc w:val="center"/>
              </w:trPr>
              <w:tc>
                <w:tcPr>
                  <w:tcW w:w="518" w:type="dxa"/>
                  <w:tcBorders>
                    <w:left w:val="single" w:color="000000" w:sz="2" w:space="0"/>
                  </w:tcBorders>
                  <w:vAlign w:val="center"/>
                </w:tcPr>
                <w:p w14:paraId="718E2429">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3</w:t>
                  </w:r>
                </w:p>
              </w:tc>
              <w:tc>
                <w:tcPr>
                  <w:tcW w:w="3156" w:type="dxa"/>
                  <w:vAlign w:val="center"/>
                </w:tcPr>
                <w:p w14:paraId="750E3E6A">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压裂废液、酸化废液等井下作业废水应100%返排入罐。</w:t>
                  </w:r>
                </w:p>
              </w:tc>
              <w:tc>
                <w:tcPr>
                  <w:tcW w:w="2542" w:type="dxa"/>
                  <w:vAlign w:val="center"/>
                </w:tcPr>
                <w:p w14:paraId="3E7D5CB9">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本项目井下作业废水采取带罐作业，井下作业废水全部回收，</w:t>
                  </w:r>
                  <w:r>
                    <w:rPr>
                      <w:rFonts w:ascii="Times New Roman" w:hAnsi="Times New Roman" w:eastAsia="宋体" w:cs="Times New Roman"/>
                      <w:color w:val="auto"/>
                      <w:highlight w:val="none"/>
                      <w:lang w:eastAsia="zh-CN"/>
                    </w:rPr>
                    <w:t>拉运到康探001临时拉油站中转运至吉28脱水站并处理达标后，全部回注油藏</w:t>
                  </w:r>
                  <w:r>
                    <w:rPr>
                      <w:rFonts w:ascii="Times New Roman" w:hAnsi="Times New Roman" w:eastAsia="宋体" w:cs="Times New Roman"/>
                      <w:snapToGrid/>
                      <w:color w:val="auto"/>
                      <w:kern w:val="2"/>
                      <w:highlight w:val="none"/>
                      <w:lang w:eastAsia="zh-CN"/>
                    </w:rPr>
                    <w:t>。</w:t>
                  </w:r>
                </w:p>
              </w:tc>
              <w:tc>
                <w:tcPr>
                  <w:tcW w:w="502" w:type="dxa"/>
                  <w:vAlign w:val="center"/>
                </w:tcPr>
                <w:p w14:paraId="6A5AF48E">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符合</w:t>
                  </w:r>
                </w:p>
              </w:tc>
            </w:tr>
            <w:tr w14:paraId="3FD57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9" w:hRule="atLeast"/>
                <w:jc w:val="center"/>
              </w:trPr>
              <w:tc>
                <w:tcPr>
                  <w:tcW w:w="518" w:type="dxa"/>
                  <w:tcBorders>
                    <w:left w:val="single" w:color="000000" w:sz="2" w:space="0"/>
                  </w:tcBorders>
                  <w:vAlign w:val="center"/>
                </w:tcPr>
                <w:p w14:paraId="3D04C09A">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4</w:t>
                  </w:r>
                </w:p>
              </w:tc>
              <w:tc>
                <w:tcPr>
                  <w:tcW w:w="3156" w:type="dxa"/>
                  <w:vAlign w:val="center"/>
                </w:tcPr>
                <w:p w14:paraId="7A5DBA72">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2542" w:type="dxa"/>
                  <w:vAlign w:val="center"/>
                </w:tcPr>
                <w:p w14:paraId="78C693D5">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本项目井下作业废水</w:t>
                  </w:r>
                  <w:r>
                    <w:rPr>
                      <w:rFonts w:ascii="Times New Roman" w:hAnsi="Times New Roman" w:eastAsia="宋体" w:cs="Times New Roman"/>
                      <w:color w:val="auto"/>
                      <w:highlight w:val="none"/>
                      <w:lang w:eastAsia="zh-CN"/>
                    </w:rPr>
                    <w:t>拉运到康探001临时拉油站中转运至吉28脱水站并处理达标后，全部回注油藏</w:t>
                  </w:r>
                  <w:r>
                    <w:rPr>
                      <w:rFonts w:ascii="Times New Roman" w:hAnsi="Times New Roman" w:eastAsia="宋体" w:cs="Times New Roman"/>
                      <w:snapToGrid/>
                      <w:color w:val="auto"/>
                      <w:kern w:val="2"/>
                      <w:highlight w:val="none"/>
                      <w:lang w:eastAsia="zh-CN"/>
                    </w:rPr>
                    <w:t>。</w:t>
                  </w:r>
                </w:p>
              </w:tc>
              <w:tc>
                <w:tcPr>
                  <w:tcW w:w="502" w:type="dxa"/>
                  <w:vAlign w:val="center"/>
                </w:tcPr>
                <w:p w14:paraId="75224C49">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符合</w:t>
                  </w:r>
                </w:p>
              </w:tc>
            </w:tr>
            <w:tr w14:paraId="6B740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8" w:type="dxa"/>
                  <w:tcBorders>
                    <w:left w:val="single" w:color="000000" w:sz="2" w:space="0"/>
                  </w:tcBorders>
                  <w:vAlign w:val="center"/>
                </w:tcPr>
                <w:p w14:paraId="7BD285FD">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5</w:t>
                  </w:r>
                </w:p>
              </w:tc>
              <w:tc>
                <w:tcPr>
                  <w:tcW w:w="3156" w:type="dxa"/>
                  <w:vAlign w:val="center"/>
                </w:tcPr>
                <w:p w14:paraId="566B393D">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废弃钻井泥浆及岩屑应采取“泥浆不落地”工艺，勘探、开发过程产生的落地原油回收率应达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2542" w:type="dxa"/>
                  <w:vAlign w:val="center"/>
                </w:tcPr>
                <w:p w14:paraId="6A7FBC96">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本项目废弃钻井泥浆及岩屑采取“泥浆不落地”工艺，勘探、开发过程产生的落地原油回收率达到100%。废弃水基钻井泥浆及岩屑经“泥浆不落地”设备处理后，固相检测达到《油气田钻井固体废物综合利用污染控制要求》（DB 65/T3997-2017）相关标准限值后资源化利用，不满足综合利用要求的按照《一般工业固体废物贮存和填埋污染控制标准》（GB18599-2020）要求委托单位进行处置；废弃油基钻井泥浆等危险废物，按照国家有关规定制定危险废物管理计划，建立危险废物管理台账，委托有相应资质的单位无害化处置。</w:t>
                  </w:r>
                </w:p>
              </w:tc>
              <w:tc>
                <w:tcPr>
                  <w:tcW w:w="502" w:type="dxa"/>
                  <w:vAlign w:val="center"/>
                </w:tcPr>
                <w:p w14:paraId="4172C81E">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符合</w:t>
                  </w:r>
                </w:p>
              </w:tc>
            </w:tr>
            <w:tr w14:paraId="067D5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518" w:type="dxa"/>
                  <w:tcBorders>
                    <w:left w:val="single" w:color="000000" w:sz="2" w:space="0"/>
                  </w:tcBorders>
                  <w:vAlign w:val="center"/>
                </w:tcPr>
                <w:p w14:paraId="5DABD48E">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6</w:t>
                  </w:r>
                </w:p>
              </w:tc>
              <w:tc>
                <w:tcPr>
                  <w:tcW w:w="3156" w:type="dxa"/>
                  <w:vAlign w:val="center"/>
                </w:tcPr>
                <w:p w14:paraId="240620EE">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噪声排放应达到《工业企业厂界环境噪声排放标准》（GB12348）要求。</w:t>
                  </w:r>
                </w:p>
              </w:tc>
              <w:tc>
                <w:tcPr>
                  <w:tcW w:w="2542" w:type="dxa"/>
                  <w:vAlign w:val="center"/>
                </w:tcPr>
                <w:p w14:paraId="1A2A2008">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项目噪声排放应达到《工业企业厂界环境噪声排放标准》（GB12348-2008）要求。</w:t>
                  </w:r>
                </w:p>
              </w:tc>
              <w:tc>
                <w:tcPr>
                  <w:tcW w:w="502" w:type="dxa"/>
                  <w:vAlign w:val="center"/>
                </w:tcPr>
                <w:p w14:paraId="5D1B9704">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符合</w:t>
                  </w:r>
                </w:p>
              </w:tc>
            </w:tr>
            <w:tr w14:paraId="459B6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jc w:val="center"/>
              </w:trPr>
              <w:tc>
                <w:tcPr>
                  <w:tcW w:w="518" w:type="dxa"/>
                  <w:tcBorders>
                    <w:left w:val="single" w:color="000000" w:sz="2" w:space="0"/>
                  </w:tcBorders>
                  <w:vAlign w:val="center"/>
                </w:tcPr>
                <w:p w14:paraId="10D53D8D">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7</w:t>
                  </w:r>
                </w:p>
              </w:tc>
              <w:tc>
                <w:tcPr>
                  <w:tcW w:w="3156" w:type="dxa"/>
                  <w:vAlign w:val="center"/>
                </w:tcPr>
                <w:p w14:paraId="5FA6F887">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对拟退役的废弃井（站）场、管道、道路等工程设施应进行生态修复，生态修复前应对废弃油（气）井、管道进行封堵或设施拆除，确保无土壤及地下水环境污染遗留问题、废弃物得到妥善处置。</w:t>
                  </w:r>
                </w:p>
              </w:tc>
              <w:tc>
                <w:tcPr>
                  <w:tcW w:w="2542" w:type="dxa"/>
                  <w:vAlign w:val="center"/>
                </w:tcPr>
                <w:p w14:paraId="239936A0">
                  <w:pPr>
                    <w:widowControl w:val="0"/>
                    <w:kinsoku/>
                    <w:spacing w:line="300" w:lineRule="exact"/>
                    <w:jc w:val="both"/>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对拟退役的废弃井（站）场、道路等工程设施进行生态修复，生态修复前对废弃井进行封堵或设施拆除，确保无土壤及地下水环境污染遗留问题、废弃物得到妥善处置。</w:t>
                  </w:r>
                </w:p>
              </w:tc>
              <w:tc>
                <w:tcPr>
                  <w:tcW w:w="502" w:type="dxa"/>
                  <w:vAlign w:val="center"/>
                </w:tcPr>
                <w:p w14:paraId="47D15AF6">
                  <w:pPr>
                    <w:widowControl w:val="0"/>
                    <w:kinsoku/>
                    <w:spacing w:line="300" w:lineRule="exact"/>
                    <w:jc w:val="center"/>
                    <w:textAlignment w:val="auto"/>
                    <w:rPr>
                      <w:rFonts w:ascii="Times New Roman" w:hAnsi="Times New Roman" w:eastAsia="宋体" w:cs="Times New Roman"/>
                      <w:snapToGrid/>
                      <w:color w:val="auto"/>
                      <w:kern w:val="2"/>
                      <w:highlight w:val="none"/>
                      <w:lang w:eastAsia="zh-CN"/>
                    </w:rPr>
                  </w:pPr>
                  <w:r>
                    <w:rPr>
                      <w:rFonts w:ascii="Times New Roman" w:hAnsi="Times New Roman" w:eastAsia="宋体" w:cs="Times New Roman"/>
                      <w:snapToGrid/>
                      <w:color w:val="auto"/>
                      <w:kern w:val="2"/>
                      <w:highlight w:val="none"/>
                      <w:lang w:eastAsia="zh-CN"/>
                    </w:rPr>
                    <w:t>符合</w:t>
                  </w:r>
                </w:p>
              </w:tc>
            </w:tr>
          </w:tbl>
          <w:p w14:paraId="7642665F">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11.与《新疆生态环境保护“十四五”规划》（2021年12月24日）的相符性分析</w:t>
            </w:r>
          </w:p>
          <w:p w14:paraId="6C5E3F2C">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规划》指出“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本项目位于新疆维吾尔自治区昌吉回族自治州阜康市境内，不属于“两高”项目和不符合产业准入标准和政策的落后项目，符合昌吉回族自治州生态环境分区管控要求。因此，本项目符合《新疆生态环境保护“十四五”规划》（2021年12月24日）的要求。</w:t>
            </w:r>
          </w:p>
          <w:p w14:paraId="76AA7424">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12.与《新疆维吾尔自治区大气污染防治条例》符合性分析</w:t>
            </w:r>
          </w:p>
          <w:p w14:paraId="04367E58">
            <w:pPr>
              <w:pStyle w:val="22"/>
              <w:widowControl w:val="0"/>
              <w:kinsoku/>
              <w:spacing w:before="35" w:line="359" w:lineRule="auto"/>
              <w:ind w:left="3" w:right="87" w:firstLine="486"/>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新疆维吾尔自治区大气污染防治条例》第三十七条规定：各级人民政府应当加强对建设施工、矿产资源开采、物料运输的扬尘和沙尘污染的治理，保持道路清洁、控制堆料和渣土堆放，科学合理扩大绿地、水面、湿地、地面铺装和防风固沙绿化面积</w:t>
            </w:r>
            <w:r>
              <w:rPr>
                <w:rFonts w:ascii="Times New Roman" w:hAnsi="Times New Roman" w:cs="Times New Roman"/>
                <w:color w:val="auto"/>
                <w:spacing w:val="-3"/>
                <w:sz w:val="24"/>
                <w:szCs w:val="24"/>
                <w:highlight w:val="none"/>
                <w:lang w:eastAsia="zh-CN"/>
              </w:rPr>
              <w:t>,防治扬尘污染。第四十四条矿山开采产生的废石、废</w:t>
            </w:r>
            <w:r>
              <w:rPr>
                <w:rFonts w:ascii="Times New Roman" w:hAnsi="Times New Roman" w:cs="Times New Roman"/>
                <w:color w:val="auto"/>
                <w:spacing w:val="-4"/>
                <w:sz w:val="24"/>
                <w:szCs w:val="24"/>
                <w:highlight w:val="none"/>
                <w:lang w:eastAsia="zh-CN"/>
              </w:rPr>
              <w:t>渣、泥土</w:t>
            </w:r>
            <w:r>
              <w:rPr>
                <w:rFonts w:ascii="Times New Roman" w:hAnsi="Times New Roman" w:cs="Times New Roman"/>
                <w:color w:val="auto"/>
                <w:spacing w:val="-1"/>
                <w:sz w:val="24"/>
                <w:szCs w:val="24"/>
                <w:highlight w:val="none"/>
                <w:lang w:eastAsia="zh-CN"/>
              </w:rPr>
              <w:t>等应当堆放到专门存放地，并采取围挡、设置防尘网或者防尘布等防尘措施；施工便道应当硬化。</w:t>
            </w:r>
          </w:p>
          <w:p w14:paraId="3999B3C9">
            <w:pPr>
              <w:pStyle w:val="22"/>
              <w:widowControl w:val="0"/>
              <w:kinsoku/>
              <w:spacing w:before="7" w:line="359" w:lineRule="auto"/>
              <w:ind w:left="4" w:right="3" w:firstLine="48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本项目施工期产生钻井岩屑采用不落地系统进行处理，处理后的岩屑必须满足《油气田钻井固体废物综合利用污染控制要求</w:t>
            </w:r>
            <w:r>
              <w:rPr>
                <w:rFonts w:ascii="Times New Roman" w:hAnsi="Times New Roman" w:cs="Times New Roman"/>
                <w:color w:val="auto"/>
                <w:spacing w:val="-2"/>
                <w:sz w:val="24"/>
                <w:szCs w:val="24"/>
                <w:highlight w:val="none"/>
                <w:lang w:eastAsia="zh-CN"/>
              </w:rPr>
              <w:t>》（</w:t>
            </w:r>
            <w:r>
              <w:rPr>
                <w:rFonts w:ascii="Times New Roman" w:hAnsi="Times New Roman" w:eastAsia="Times New Roman" w:cs="Times New Roman"/>
                <w:color w:val="auto"/>
                <w:spacing w:val="-2"/>
                <w:sz w:val="24"/>
                <w:szCs w:val="24"/>
                <w:highlight w:val="none"/>
                <w:lang w:eastAsia="zh-CN"/>
              </w:rPr>
              <w:t>DB65/T3997-2017</w:t>
            </w:r>
            <w:r>
              <w:rPr>
                <w:rFonts w:ascii="Times New Roman" w:hAnsi="Times New Roman" w:cs="Times New Roman"/>
                <w:color w:val="auto"/>
                <w:spacing w:val="-2"/>
                <w:sz w:val="24"/>
                <w:szCs w:val="24"/>
                <w:highlight w:val="none"/>
                <w:lang w:eastAsia="zh-CN"/>
              </w:rPr>
              <w:t>）等国家及有关部门、地方相关标准和生态</w:t>
            </w:r>
            <w:r>
              <w:rPr>
                <w:rFonts w:ascii="Times New Roman" w:hAnsi="Times New Roman" w:cs="Times New Roman"/>
                <w:color w:val="auto"/>
                <w:spacing w:val="-1"/>
                <w:sz w:val="24"/>
                <w:szCs w:val="24"/>
                <w:highlight w:val="none"/>
                <w:lang w:eastAsia="zh-CN"/>
              </w:rPr>
              <w:t>环境保护要求后，用于铺设通井路、铺垫钻井平台基础材料。项目施工结束后拟对临时占地进行恢复治理，可减少扬尘影响。项目建设符合《新疆维吾尔自治区大气污染防治条例》要求。</w:t>
            </w:r>
          </w:p>
          <w:p w14:paraId="5892FA3D">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13.与《钻前工程及井场布置技术要求》（SY/T5466-2013)符合性分析</w:t>
            </w:r>
          </w:p>
          <w:p w14:paraId="1996D64C">
            <w:pPr>
              <w:pStyle w:val="22"/>
              <w:widowControl/>
              <w:kinsoku/>
              <w:spacing w:line="360" w:lineRule="auto"/>
              <w:ind w:left="5" w:firstLine="485"/>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2"/>
                <w:sz w:val="24"/>
                <w:szCs w:val="24"/>
                <w:highlight w:val="none"/>
                <w:lang w:eastAsia="zh-CN"/>
              </w:rPr>
              <w:t>《钻前工程及井场布置技术要求》（</w:t>
            </w:r>
            <w:r>
              <w:rPr>
                <w:rFonts w:ascii="Times New Roman" w:hAnsi="Times New Roman" w:eastAsia="Times New Roman" w:cs="Times New Roman"/>
                <w:color w:val="auto"/>
                <w:sz w:val="24"/>
                <w:szCs w:val="24"/>
                <w:highlight w:val="none"/>
                <w:lang w:eastAsia="zh-CN"/>
              </w:rPr>
              <w:t>SY</w:t>
            </w:r>
            <w:r>
              <w:rPr>
                <w:rFonts w:ascii="Times New Roman" w:hAnsi="Times New Roman" w:eastAsia="Times New Roman" w:cs="Times New Roman"/>
                <w:color w:val="auto"/>
                <w:spacing w:val="2"/>
                <w:sz w:val="24"/>
                <w:szCs w:val="24"/>
                <w:highlight w:val="none"/>
                <w:lang w:eastAsia="zh-CN"/>
              </w:rPr>
              <w:t>/T5466-2013</w:t>
            </w:r>
            <w:r>
              <w:rPr>
                <w:rFonts w:ascii="Times New Roman" w:hAnsi="Times New Roman" w:cs="Times New Roman"/>
                <w:color w:val="auto"/>
                <w:spacing w:val="2"/>
                <w:sz w:val="24"/>
                <w:szCs w:val="24"/>
                <w:highlight w:val="none"/>
                <w:lang w:eastAsia="zh-CN"/>
              </w:rPr>
              <w:t>）中</w:t>
            </w:r>
            <w:r>
              <w:rPr>
                <w:rFonts w:ascii="Times New Roman" w:hAnsi="Times New Roman" w:eastAsia="Times New Roman" w:cs="Times New Roman"/>
                <w:color w:val="auto"/>
                <w:spacing w:val="2"/>
                <w:sz w:val="24"/>
                <w:szCs w:val="24"/>
                <w:highlight w:val="none"/>
                <w:lang w:eastAsia="zh-CN"/>
              </w:rPr>
              <w:t>“</w:t>
            </w:r>
            <w:r>
              <w:rPr>
                <w:rFonts w:ascii="Times New Roman" w:hAnsi="Times New Roman" w:cs="Times New Roman"/>
                <w:color w:val="auto"/>
                <w:spacing w:val="2"/>
                <w:sz w:val="24"/>
                <w:szCs w:val="24"/>
                <w:highlight w:val="none"/>
                <w:lang w:eastAsia="zh-CN"/>
              </w:rPr>
              <w:t>油</w:t>
            </w:r>
            <w:r>
              <w:rPr>
                <w:rFonts w:ascii="Times New Roman" w:hAnsi="Times New Roman" w:cs="Times New Roman"/>
                <w:color w:val="auto"/>
                <w:spacing w:val="-4"/>
                <w:sz w:val="24"/>
                <w:szCs w:val="24"/>
                <w:highlight w:val="none"/>
                <w:lang w:eastAsia="zh-CN"/>
              </w:rPr>
              <w:t>气井井口距高压线及其他永久性设施应不小于</w:t>
            </w:r>
            <w:r>
              <w:rPr>
                <w:rFonts w:ascii="Times New Roman" w:hAnsi="Times New Roman" w:eastAsia="Times New Roman" w:cs="Times New Roman"/>
                <w:color w:val="auto"/>
                <w:spacing w:val="-4"/>
                <w:sz w:val="24"/>
                <w:szCs w:val="24"/>
                <w:highlight w:val="none"/>
                <w:lang w:eastAsia="zh-CN"/>
              </w:rPr>
              <w:t>75m</w:t>
            </w:r>
            <w:r>
              <w:rPr>
                <w:rFonts w:ascii="Times New Roman" w:hAnsi="Times New Roman" w:cs="Times New Roman"/>
                <w:color w:val="auto"/>
                <w:spacing w:val="-4"/>
                <w:sz w:val="24"/>
                <w:szCs w:val="24"/>
                <w:highlight w:val="none"/>
                <w:lang w:eastAsia="zh-CN"/>
              </w:rPr>
              <w:t>；距民宅应不小</w:t>
            </w:r>
            <w:r>
              <w:rPr>
                <w:rFonts w:ascii="Times New Roman" w:hAnsi="Times New Roman" w:cs="Times New Roman"/>
                <w:color w:val="auto"/>
                <w:spacing w:val="-2"/>
                <w:sz w:val="24"/>
                <w:szCs w:val="24"/>
                <w:highlight w:val="none"/>
                <w:lang w:eastAsia="zh-CN"/>
              </w:rPr>
              <w:t>于</w:t>
            </w:r>
            <w:r>
              <w:rPr>
                <w:rFonts w:ascii="Times New Roman" w:hAnsi="Times New Roman" w:eastAsia="Times New Roman" w:cs="Times New Roman"/>
                <w:color w:val="auto"/>
                <w:spacing w:val="-2"/>
                <w:sz w:val="24"/>
                <w:szCs w:val="24"/>
                <w:highlight w:val="none"/>
                <w:lang w:eastAsia="zh-CN"/>
              </w:rPr>
              <w:t>100m</w:t>
            </w:r>
            <w:r>
              <w:rPr>
                <w:rFonts w:ascii="Times New Roman" w:hAnsi="Times New Roman" w:cs="Times New Roman"/>
                <w:color w:val="auto"/>
                <w:spacing w:val="-2"/>
                <w:sz w:val="24"/>
                <w:szCs w:val="24"/>
                <w:highlight w:val="none"/>
                <w:lang w:eastAsia="zh-CN"/>
              </w:rPr>
              <w:t>；距铁路、高速公路应不小于</w:t>
            </w:r>
            <w:r>
              <w:rPr>
                <w:rFonts w:ascii="Times New Roman" w:hAnsi="Times New Roman" w:eastAsia="Times New Roman" w:cs="Times New Roman"/>
                <w:color w:val="auto"/>
                <w:spacing w:val="-2"/>
                <w:sz w:val="24"/>
                <w:szCs w:val="24"/>
                <w:highlight w:val="none"/>
                <w:lang w:eastAsia="zh-CN"/>
              </w:rPr>
              <w:t>200m</w:t>
            </w:r>
            <w:r>
              <w:rPr>
                <w:rFonts w:ascii="Times New Roman" w:hAnsi="Times New Roman" w:cs="Times New Roman"/>
                <w:color w:val="auto"/>
                <w:spacing w:val="-2"/>
                <w:sz w:val="24"/>
                <w:szCs w:val="24"/>
                <w:highlight w:val="none"/>
                <w:lang w:eastAsia="zh-CN"/>
              </w:rPr>
              <w:t>；距学校、医院和大型</w:t>
            </w:r>
            <w:r>
              <w:rPr>
                <w:rFonts w:ascii="Times New Roman" w:hAnsi="Times New Roman" w:cs="Times New Roman"/>
                <w:color w:val="auto"/>
                <w:spacing w:val="-1"/>
                <w:sz w:val="24"/>
                <w:szCs w:val="24"/>
                <w:highlight w:val="none"/>
                <w:lang w:eastAsia="zh-CN"/>
              </w:rPr>
              <w:t>油库等人口密集型、高危型场所应不小于</w:t>
            </w:r>
            <w:r>
              <w:rPr>
                <w:rFonts w:ascii="Times New Roman" w:hAnsi="Times New Roman" w:eastAsia="Times New Roman" w:cs="Times New Roman"/>
                <w:color w:val="auto"/>
                <w:spacing w:val="-1"/>
                <w:sz w:val="24"/>
                <w:szCs w:val="24"/>
                <w:highlight w:val="none"/>
                <w:lang w:eastAsia="zh-CN"/>
              </w:rPr>
              <w:t>500m”</w:t>
            </w:r>
            <w:r>
              <w:rPr>
                <w:rFonts w:ascii="Times New Roman" w:hAnsi="Times New Roman" w:cs="Times New Roman"/>
                <w:color w:val="auto"/>
                <w:spacing w:val="-1"/>
                <w:sz w:val="24"/>
                <w:szCs w:val="24"/>
                <w:highlight w:val="none"/>
                <w:lang w:eastAsia="zh-CN"/>
              </w:rPr>
              <w:t>的要求。</w:t>
            </w:r>
          </w:p>
          <w:p w14:paraId="4AA7D6CF">
            <w:pPr>
              <w:pStyle w:val="22"/>
              <w:widowControl/>
              <w:kinsoku/>
              <w:spacing w:line="360" w:lineRule="auto"/>
              <w:ind w:left="21" w:firstLine="465"/>
              <w:jc w:val="both"/>
              <w:rPr>
                <w:rFonts w:ascii="Times New Roman" w:hAnsi="Times New Roman" w:cs="Times New Roman"/>
                <w:color w:val="auto"/>
                <w:spacing w:val="-3"/>
                <w:sz w:val="24"/>
                <w:szCs w:val="24"/>
                <w:highlight w:val="none"/>
                <w:lang w:eastAsia="zh-CN"/>
              </w:rPr>
            </w:pPr>
            <w:r>
              <w:rPr>
                <w:rFonts w:ascii="Times New Roman" w:hAnsi="Times New Roman" w:cs="Times New Roman"/>
                <w:color w:val="auto"/>
                <w:spacing w:val="-2"/>
                <w:sz w:val="24"/>
                <w:szCs w:val="24"/>
                <w:highlight w:val="none"/>
                <w:lang w:eastAsia="zh-CN"/>
              </w:rPr>
              <w:t>经现场踏勘，本项目</w:t>
            </w:r>
            <w:r>
              <w:rPr>
                <w:rFonts w:ascii="Times New Roman" w:hAnsi="Times New Roman" w:eastAsia="Times New Roman" w:cs="Times New Roman"/>
                <w:color w:val="auto"/>
                <w:spacing w:val="-2"/>
                <w:sz w:val="24"/>
                <w:szCs w:val="24"/>
                <w:highlight w:val="none"/>
                <w:lang w:eastAsia="zh-CN"/>
              </w:rPr>
              <w:t>100m</w:t>
            </w:r>
            <w:r>
              <w:rPr>
                <w:rFonts w:ascii="Times New Roman" w:hAnsi="Times New Roman" w:cs="Times New Roman"/>
                <w:color w:val="auto"/>
                <w:spacing w:val="-2"/>
                <w:sz w:val="24"/>
                <w:szCs w:val="24"/>
                <w:highlight w:val="none"/>
                <w:lang w:eastAsia="zh-CN"/>
              </w:rPr>
              <w:t>范围内无民宅；</w:t>
            </w:r>
            <w:r>
              <w:rPr>
                <w:rFonts w:ascii="Times New Roman" w:hAnsi="Times New Roman" w:eastAsia="Times New Roman" w:cs="Times New Roman"/>
                <w:color w:val="auto"/>
                <w:spacing w:val="-2"/>
                <w:sz w:val="24"/>
                <w:szCs w:val="24"/>
                <w:highlight w:val="none"/>
                <w:lang w:eastAsia="zh-CN"/>
              </w:rPr>
              <w:t>200m</w:t>
            </w:r>
            <w:r>
              <w:rPr>
                <w:rFonts w:ascii="Times New Roman" w:hAnsi="Times New Roman" w:cs="Times New Roman"/>
                <w:color w:val="auto"/>
                <w:spacing w:val="-2"/>
                <w:sz w:val="24"/>
                <w:szCs w:val="24"/>
                <w:highlight w:val="none"/>
                <w:lang w:eastAsia="zh-CN"/>
              </w:rPr>
              <w:t>范围内无</w:t>
            </w:r>
            <w:r>
              <w:rPr>
                <w:rFonts w:ascii="Times New Roman" w:hAnsi="Times New Roman" w:cs="Times New Roman"/>
                <w:color w:val="auto"/>
                <w:spacing w:val="-3"/>
                <w:sz w:val="24"/>
                <w:szCs w:val="24"/>
                <w:highlight w:val="none"/>
                <w:lang w:eastAsia="zh-CN"/>
              </w:rPr>
              <w:t>铁路</w:t>
            </w:r>
            <w:r>
              <w:rPr>
                <w:rFonts w:ascii="Times New Roman" w:hAnsi="Times New Roman" w:cs="Times New Roman"/>
                <w:color w:val="auto"/>
                <w:sz w:val="24"/>
                <w:szCs w:val="24"/>
                <w:highlight w:val="none"/>
                <w:lang w:eastAsia="zh-CN"/>
              </w:rPr>
              <w:t>、高速公路；</w:t>
            </w:r>
            <w:r>
              <w:rPr>
                <w:rFonts w:ascii="Times New Roman" w:hAnsi="Times New Roman" w:eastAsia="Times New Roman" w:cs="Times New Roman"/>
                <w:color w:val="auto"/>
                <w:sz w:val="24"/>
                <w:szCs w:val="24"/>
                <w:highlight w:val="none"/>
                <w:lang w:eastAsia="zh-CN"/>
              </w:rPr>
              <w:t>500m</w:t>
            </w:r>
            <w:r>
              <w:rPr>
                <w:rFonts w:ascii="Times New Roman" w:hAnsi="Times New Roman" w:cs="Times New Roman"/>
                <w:color w:val="auto"/>
                <w:sz w:val="24"/>
                <w:szCs w:val="24"/>
                <w:highlight w:val="none"/>
                <w:lang w:eastAsia="zh-CN"/>
              </w:rPr>
              <w:t>范围内无学校、医院和</w:t>
            </w:r>
            <w:r>
              <w:rPr>
                <w:rFonts w:ascii="Times New Roman" w:hAnsi="Times New Roman" w:cs="Times New Roman"/>
                <w:color w:val="auto"/>
                <w:spacing w:val="-1"/>
                <w:sz w:val="24"/>
                <w:szCs w:val="24"/>
                <w:highlight w:val="none"/>
                <w:lang w:eastAsia="zh-CN"/>
              </w:rPr>
              <w:t>大型油库等人口密集性</w:t>
            </w:r>
            <w:r>
              <w:rPr>
                <w:rFonts w:ascii="Times New Roman" w:hAnsi="Times New Roman" w:cs="Times New Roman"/>
                <w:color w:val="auto"/>
                <w:spacing w:val="-16"/>
                <w:sz w:val="24"/>
                <w:szCs w:val="24"/>
                <w:highlight w:val="none"/>
                <w:lang w:eastAsia="zh-CN"/>
              </w:rPr>
              <w:t>、高危型</w:t>
            </w:r>
            <w:r>
              <w:rPr>
                <w:rFonts w:ascii="Times New Roman" w:hAnsi="Times New Roman" w:cs="Times New Roman"/>
                <w:color w:val="auto"/>
                <w:spacing w:val="-15"/>
                <w:sz w:val="24"/>
                <w:szCs w:val="24"/>
                <w:highlight w:val="none"/>
                <w:lang w:eastAsia="zh-CN"/>
              </w:rPr>
              <w:t>场所，满足《钻前工程及井场布置技术要求》（</w:t>
            </w:r>
            <w:r>
              <w:rPr>
                <w:rFonts w:ascii="Times New Roman" w:hAnsi="Times New Roman" w:eastAsia="Times New Roman" w:cs="Times New Roman"/>
                <w:color w:val="auto"/>
                <w:spacing w:val="-15"/>
                <w:sz w:val="24"/>
                <w:szCs w:val="24"/>
                <w:highlight w:val="none"/>
                <w:lang w:eastAsia="zh-CN"/>
              </w:rPr>
              <w:t>SY/T546</w:t>
            </w:r>
            <w:r>
              <w:rPr>
                <w:rFonts w:ascii="Times New Roman" w:hAnsi="Times New Roman" w:eastAsia="Times New Roman" w:cs="Times New Roman"/>
                <w:color w:val="auto"/>
                <w:spacing w:val="-16"/>
                <w:sz w:val="24"/>
                <w:szCs w:val="24"/>
                <w:highlight w:val="none"/>
                <w:lang w:eastAsia="zh-CN"/>
              </w:rPr>
              <w:t>6-2</w:t>
            </w:r>
            <w:r>
              <w:rPr>
                <w:rFonts w:ascii="Times New Roman" w:hAnsi="Times New Roman" w:eastAsia="Times New Roman" w:cs="Times New Roman"/>
                <w:color w:val="auto"/>
                <w:spacing w:val="-12"/>
                <w:sz w:val="24"/>
                <w:szCs w:val="24"/>
                <w:highlight w:val="none"/>
                <w:lang w:eastAsia="zh-CN"/>
              </w:rPr>
              <w:t>0</w:t>
            </w:r>
            <w:r>
              <w:rPr>
                <w:rFonts w:ascii="Times New Roman" w:hAnsi="Times New Roman" w:eastAsia="Times New Roman" w:cs="Times New Roman"/>
                <w:color w:val="auto"/>
                <w:sz w:val="24"/>
                <w:szCs w:val="24"/>
                <w:highlight w:val="none"/>
                <w:lang w:eastAsia="zh-CN"/>
              </w:rPr>
              <w:t xml:space="preserve"> </w:t>
            </w:r>
            <w:r>
              <w:rPr>
                <w:rFonts w:ascii="Times New Roman" w:hAnsi="Times New Roman" w:eastAsia="Times New Roman" w:cs="Times New Roman"/>
                <w:color w:val="auto"/>
                <w:spacing w:val="-3"/>
                <w:sz w:val="24"/>
                <w:szCs w:val="24"/>
                <w:highlight w:val="none"/>
                <w:lang w:eastAsia="zh-CN"/>
              </w:rPr>
              <w:t>13</w:t>
            </w:r>
            <w:r>
              <w:rPr>
                <w:rFonts w:ascii="Times New Roman" w:hAnsi="Times New Roman" w:cs="Times New Roman"/>
                <w:color w:val="auto"/>
                <w:spacing w:val="-3"/>
                <w:sz w:val="24"/>
                <w:szCs w:val="24"/>
                <w:highlight w:val="none"/>
                <w:lang w:eastAsia="zh-CN"/>
              </w:rPr>
              <w:t>）的相关要求。</w:t>
            </w:r>
          </w:p>
          <w:p w14:paraId="62663B5E">
            <w:pPr>
              <w:widowControl w:val="0"/>
              <w:numPr>
                <w:ilvl w:val="0"/>
                <w:numId w:val="4"/>
              </w:numPr>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与《危险化学品储存通则》（GB15603-2022）的符合性分析</w:t>
            </w:r>
          </w:p>
          <w:p w14:paraId="1CE07A1A">
            <w:pPr>
              <w:pStyle w:val="22"/>
              <w:widowControl/>
              <w:kinsoku/>
              <w:spacing w:line="360" w:lineRule="auto"/>
              <w:ind w:left="5" w:firstLine="485"/>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该标准规定，危险化学品储存应满足防火、防爆、防渗漏等安全环保要求。储存场所应根据物品性质设置相应的通风、防晒、调温设施；不同性质、相互抵触的危险化学品应分区、分类、分库储存，严禁混存；储存区域地面应具备防渗功能，并配备相应的泄漏应急处理设备和合适的消防器材。</w:t>
            </w:r>
          </w:p>
          <w:p w14:paraId="66B01437">
            <w:pPr>
              <w:pStyle w:val="22"/>
              <w:widowControl/>
              <w:kinsoku/>
              <w:spacing w:line="360" w:lineRule="auto"/>
              <w:ind w:left="5" w:firstLine="485"/>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本项目施工期涉及的危险化学品主要为柴油、钻井液添加剂及危险废物（废机油等）</w:t>
            </w:r>
            <w:r>
              <w:rPr>
                <w:rFonts w:hint="eastAsia" w:ascii="Times New Roman" w:hAnsi="Times New Roman" w:cs="Times New Roman"/>
                <w:color w:val="auto"/>
                <w:spacing w:val="-1"/>
                <w:sz w:val="24"/>
                <w:szCs w:val="24"/>
                <w:highlight w:val="none"/>
                <w:lang w:eastAsia="zh-CN"/>
              </w:rPr>
              <w:t>。</w:t>
            </w:r>
            <w:r>
              <w:rPr>
                <w:rFonts w:ascii="Times New Roman" w:hAnsi="Times New Roman" w:cs="Times New Roman"/>
                <w:color w:val="auto"/>
                <w:spacing w:val="-1"/>
                <w:sz w:val="24"/>
                <w:szCs w:val="24"/>
                <w:highlight w:val="none"/>
                <w:lang w:eastAsia="zh-CN"/>
              </w:rPr>
              <w:t>（1）储存条件：本项目在井场设置专门的油品储存区和材料储存区，柴油储罐及危险废物贮存点均采取防渗措施，防渗层渗透系数符合要求。材料储存区设有防雨、防晒设施，符合“储存物品应分类、分堆、分间储存”的要求</w:t>
            </w:r>
            <w:r>
              <w:rPr>
                <w:rFonts w:hint="eastAsia" w:ascii="Times New Roman" w:hAnsi="Times New Roman" w:cs="Times New Roman"/>
                <w:color w:val="auto"/>
                <w:spacing w:val="-1"/>
                <w:sz w:val="24"/>
                <w:szCs w:val="24"/>
                <w:highlight w:val="none"/>
                <w:lang w:eastAsia="zh-CN"/>
              </w:rPr>
              <w:t>。</w:t>
            </w:r>
            <w:r>
              <w:rPr>
                <w:rFonts w:ascii="Times New Roman" w:hAnsi="Times New Roman" w:cs="Times New Roman"/>
                <w:color w:val="auto"/>
                <w:spacing w:val="-1"/>
                <w:sz w:val="24"/>
                <w:szCs w:val="24"/>
                <w:highlight w:val="none"/>
                <w:lang w:eastAsia="zh-CN"/>
              </w:rPr>
              <w:t>（2）管理措施：现场配备相应的消防器材和应急物资，危险化学品出入库进行严格登记管理，严禁禁忌物料混存。 综上，本项目危险化学品及危险废物的储存场所、设施及管理措施均符合《危险化学品储存通则》（GB15603-2022）的相关要求。</w:t>
            </w:r>
          </w:p>
          <w:p w14:paraId="4442443B">
            <w:pPr>
              <w:widowControl w:val="0"/>
              <w:numPr>
                <w:ilvl w:val="0"/>
                <w:numId w:val="4"/>
              </w:numPr>
              <w:kinsoku/>
              <w:spacing w:line="360" w:lineRule="auto"/>
              <w:ind w:left="0" w:leftChars="0"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与《主要污染物总量减排核算技术指南（2022年修订）》的符合性分析</w:t>
            </w:r>
          </w:p>
          <w:p w14:paraId="20D20557">
            <w:pPr>
              <w:pStyle w:val="22"/>
              <w:widowControl/>
              <w:kinsoku/>
              <w:spacing w:line="360" w:lineRule="auto"/>
              <w:ind w:left="5" w:firstLine="485"/>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指南要求排污单位应依据相关技术规范、排放标准等如实核算主要污染物产生量和排放量。对于未安装自动监测设备的排污单位，应优先依据行业产排污系数手册、物料衡算等方法进行核算；核算过程应有规范的台账记录、原始凭证作为支撑，确保数据真实、准确、可追溯。</w:t>
            </w:r>
          </w:p>
          <w:p w14:paraId="66FE0576">
            <w:pPr>
              <w:pStyle w:val="22"/>
              <w:widowControl/>
              <w:kinsoku/>
              <w:spacing w:line="360" w:lineRule="auto"/>
              <w:ind w:left="5" w:firstLine="485"/>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本项目属于油气资源勘探项目，主要污染物排放集中在钻试作业期间，属于非连续生产工况。 （1）核算方法：本项目未安装在线监测设备，根据《指南》要求，采用产排污系数法核算污染物产生量和排放量。废气依据《排放源统计调查产排污核算方法和系数手册》及相关行业系数进行核算，核算方法科学、合规。 （2）减排措施：本项目采用低硫柴油、伴生气充分燃烧放空、钻井泥浆不落地等措施，从源头和过程减少污染物排放，符合指南中关于规范排放和如实核算的要求。 因此，本项目的污染物核算及减排措施符合《主要污染物总量减排核算技术指南（2022年修订）》的相关原则。</w:t>
            </w:r>
          </w:p>
          <w:p w14:paraId="14546F99">
            <w:pPr>
              <w:widowControl w:val="0"/>
              <w:numPr>
                <w:ilvl w:val="0"/>
                <w:numId w:val="4"/>
              </w:numPr>
              <w:kinsoku/>
              <w:spacing w:line="360" w:lineRule="auto"/>
              <w:ind w:left="0" w:leftChars="0"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与《重点行业挥发性有机物综合治理方案》的符合性分析</w:t>
            </w:r>
          </w:p>
          <w:p w14:paraId="416E9289">
            <w:pPr>
              <w:pStyle w:val="22"/>
              <w:widowControl/>
              <w:kinsoku/>
              <w:spacing w:line="360" w:lineRule="auto"/>
              <w:ind w:left="5" w:firstLine="485"/>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方案要求石化及油气开采行业全面加强挥发性有机物（VOCs）全过程控制。源头方面，推广使用水基泥浆等低VOCs含量原辅材料；过程方面，含VOCs物料应储存于密闭容器或固定顶罐中，加强设备与管线组件泄漏检测与修复（LDAR）；末端方面，伴生气等含VOCs废气应收集处理，无法回收的应充分燃烧排放。</w:t>
            </w:r>
          </w:p>
          <w:p w14:paraId="44B99BA2">
            <w:pPr>
              <w:pStyle w:val="22"/>
              <w:widowControl/>
              <w:kinsoku/>
              <w:spacing w:line="360" w:lineRule="auto"/>
              <w:ind w:left="5" w:firstLine="485"/>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本项目属于陆地石油勘探，针对挥发性有机物（VOCs）采取了全过程控制措施：（1）源头控制：使用环境友好型水基钻井液，减少有机溶剂使用；柴油储罐采用固定顶罐，减少呼吸损耗。 （2）过程控制：试油作业期间，井下作业废水及采出液采用密闭罐体收集和储存，严禁敞开式作业；加强设备和管线组件的检修维护，防止跑、冒、滴、漏。 （3）末端治理：试油伴生气通过排气管线引至安全区域充分燃烧排放。 综上，本项目严格落实了VOCs综合治理要求，符合《重点行业挥发性有机物综合治理方案》的规定。</w:t>
            </w:r>
          </w:p>
          <w:p w14:paraId="23E89BB1">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17</w:t>
            </w:r>
            <w:r>
              <w:rPr>
                <w:rFonts w:ascii="Times New Roman" w:hAnsi="Times New Roman" w:eastAsia="宋体" w:cs="Times New Roman"/>
                <w:b/>
                <w:bCs/>
                <w:color w:val="auto"/>
                <w:sz w:val="24"/>
                <w:szCs w:val="24"/>
                <w:highlight w:val="none"/>
                <w:lang w:eastAsia="zh-CN"/>
              </w:rPr>
              <w:t>.与《新疆维吾尔自治区2025年空气质量持续改善行动实施方案》（</w:t>
            </w:r>
            <w:r>
              <w:rPr>
                <w:rFonts w:ascii="Times New Roman" w:hAnsi="Times New Roman" w:eastAsia="宋体" w:cs="Times New Roman"/>
                <w:b/>
                <w:bCs/>
                <w:color w:val="auto"/>
                <w:sz w:val="24"/>
                <w:szCs w:val="24"/>
                <w:lang w:eastAsia="zh-CN"/>
              </w:rPr>
              <w:t>新政办发</w:t>
            </w:r>
            <w:r>
              <w:rPr>
                <w:rFonts w:hint="eastAsia" w:ascii="Times New Roman" w:hAnsi="Times New Roman" w:eastAsia="宋体" w:cs="Times New Roman"/>
                <w:b/>
                <w:bCs/>
                <w:color w:val="auto"/>
                <w:sz w:val="24"/>
                <w:szCs w:val="24"/>
                <w:lang w:eastAsia="zh-CN"/>
              </w:rPr>
              <w:t>〔2024〕58号</w:t>
            </w:r>
            <w:r>
              <w:rPr>
                <w:rFonts w:ascii="Times New Roman" w:hAnsi="Times New Roman" w:eastAsia="宋体" w:cs="Times New Roman"/>
                <w:b/>
                <w:bCs/>
                <w:color w:val="auto"/>
                <w:sz w:val="24"/>
                <w:szCs w:val="24"/>
                <w:highlight w:val="none"/>
                <w:lang w:eastAsia="zh-CN"/>
              </w:rPr>
              <w:t>）符合性分析</w:t>
            </w:r>
          </w:p>
          <w:p w14:paraId="2DA99CA2">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项目与《新疆维吾尔自治区2025年空气质量持续改善行动实施方案》（</w:t>
            </w:r>
            <w:r>
              <w:rPr>
                <w:rFonts w:ascii="Times New Roman" w:hAnsi="Times New Roman" w:eastAsia="宋体" w:cs="Times New Roman"/>
                <w:color w:val="auto"/>
                <w:sz w:val="24"/>
                <w:szCs w:val="24"/>
                <w:lang w:eastAsia="zh-CN"/>
              </w:rPr>
              <w:t>新政办发</w:t>
            </w:r>
            <w:r>
              <w:rPr>
                <w:rFonts w:hint="eastAsia" w:ascii="Times New Roman" w:hAnsi="Times New Roman" w:eastAsia="宋体" w:cs="Times New Roman"/>
                <w:color w:val="auto"/>
                <w:sz w:val="24"/>
                <w:szCs w:val="24"/>
                <w:lang w:eastAsia="zh-CN"/>
              </w:rPr>
              <w:t>〔2024〕58号</w:t>
            </w:r>
            <w:r>
              <w:rPr>
                <w:rFonts w:ascii="Times New Roman" w:hAnsi="Times New Roman" w:eastAsia="宋体" w:cs="Times New Roman"/>
                <w:color w:val="auto"/>
                <w:sz w:val="24"/>
                <w:szCs w:val="24"/>
                <w:highlight w:val="none"/>
                <w:lang w:eastAsia="zh-CN"/>
              </w:rPr>
              <w:t>）符合性分析见表1-10。</w:t>
            </w:r>
          </w:p>
          <w:p w14:paraId="5EEAC9B1">
            <w:pPr>
              <w:widowControl w:val="0"/>
              <w:kinsoku/>
              <w:spacing w:line="360" w:lineRule="auto"/>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b/>
                <w:bCs/>
                <w:color w:val="auto"/>
                <w:highlight w:val="none"/>
                <w:lang w:eastAsia="zh-CN"/>
              </w:rPr>
              <w:t>表1-10与《新疆维吾尔自治区</w:t>
            </w:r>
            <w:r>
              <w:rPr>
                <w:rFonts w:ascii="Times New Roman" w:hAnsi="Times New Roman" w:eastAsia="TimesNewRomanPS-BoldMT" w:cs="Times New Roman"/>
                <w:b/>
                <w:bCs/>
                <w:color w:val="auto"/>
                <w:highlight w:val="none"/>
                <w:lang w:eastAsia="zh-CN"/>
              </w:rPr>
              <w:t>2025</w:t>
            </w:r>
            <w:r>
              <w:rPr>
                <w:rFonts w:ascii="Times New Roman" w:hAnsi="Times New Roman" w:eastAsia="宋体" w:cs="Times New Roman"/>
                <w:b/>
                <w:bCs/>
                <w:color w:val="auto"/>
                <w:highlight w:val="none"/>
                <w:lang w:eastAsia="zh-CN"/>
              </w:rPr>
              <w:t>年空气质量持续改善行动实施方案》符合性分析</w:t>
            </w:r>
          </w:p>
          <w:tbl>
            <w:tblPr>
              <w:tblStyle w:val="16"/>
              <w:tblW w:w="6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3240"/>
              <w:gridCol w:w="1588"/>
              <w:gridCol w:w="1446"/>
            </w:tblGrid>
            <w:tr w14:paraId="5AA7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dxa"/>
                  <w:vAlign w:val="center"/>
                </w:tcPr>
                <w:p w14:paraId="70487925">
                  <w:pPr>
                    <w:widowControl w:val="0"/>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序号</w:t>
                  </w:r>
                </w:p>
              </w:tc>
              <w:tc>
                <w:tcPr>
                  <w:tcW w:w="3240" w:type="dxa"/>
                  <w:vAlign w:val="center"/>
                </w:tcPr>
                <w:p w14:paraId="275C6539">
                  <w:pPr>
                    <w:widowControl w:val="0"/>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方案内容</w:t>
                  </w:r>
                </w:p>
              </w:tc>
              <w:tc>
                <w:tcPr>
                  <w:tcW w:w="1588" w:type="dxa"/>
                  <w:vAlign w:val="center"/>
                </w:tcPr>
                <w:p w14:paraId="1EA3FB06">
                  <w:pPr>
                    <w:widowControl w:val="0"/>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项目情况</w:t>
                  </w:r>
                </w:p>
              </w:tc>
              <w:tc>
                <w:tcPr>
                  <w:tcW w:w="1446" w:type="dxa"/>
                  <w:vAlign w:val="center"/>
                </w:tcPr>
                <w:p w14:paraId="13E1DB51">
                  <w:pPr>
                    <w:widowControl w:val="0"/>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符合性</w:t>
                  </w:r>
                </w:p>
              </w:tc>
            </w:tr>
            <w:tr w14:paraId="665F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63141F8E">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c>
                <w:tcPr>
                  <w:tcW w:w="3240" w:type="dxa"/>
                  <w:vAlign w:val="center"/>
                </w:tcPr>
                <w:p w14:paraId="160B6960">
                  <w:pPr>
                    <w:widowControl w:val="0"/>
                    <w:kinsoku/>
                    <w:spacing w:line="240" w:lineRule="atLeast"/>
                    <w:jc w:val="both"/>
                    <w:rPr>
                      <w:rFonts w:ascii="Times New Roman" w:hAnsi="Times New Roman" w:eastAsia="宋体" w:cs="Times New Roman"/>
                      <w:color w:val="auto"/>
                      <w:highlight w:val="none"/>
                    </w:rPr>
                  </w:pPr>
                  <w:r>
                    <w:rPr>
                      <w:rFonts w:hint="eastAsia" w:ascii="宋体" w:hAnsi="宋体" w:eastAsia="宋体" w:cs="宋体"/>
                      <w:color w:val="auto"/>
                      <w:highlight w:val="none"/>
                      <w:lang w:val="zh-CN"/>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w:t>
                  </w:r>
                  <w:r>
                    <w:rPr>
                      <w:rFonts w:ascii="Times New Roman" w:hAnsi="Times New Roman" w:eastAsia="Times New Roman" w:cs="Times New Roman"/>
                      <w:color w:val="auto"/>
                      <w:highlight w:val="none"/>
                      <w:lang w:val="zh-CN"/>
                    </w:rPr>
                    <w:t>A</w:t>
                  </w:r>
                  <w:r>
                    <w:rPr>
                      <w:rFonts w:hint="eastAsia" w:ascii="宋体" w:hAnsi="宋体" w:eastAsia="宋体" w:cs="宋体"/>
                      <w:color w:val="auto"/>
                      <w:highlight w:val="none"/>
                      <w:lang w:val="zh-CN"/>
                    </w:rPr>
                    <w:t>级水平。涉及产能置换的项目，被置换产能及设备关停后，新建项目方可投产。严格落实钢铁产能置换，联防联控区严禁新增钢铁产能。推行钢铁、焦化、烧结一体化布局，大幅减少独立焦化、烧结、球团和热轧企业及工序。到</w:t>
                  </w:r>
                  <w:r>
                    <w:rPr>
                      <w:rFonts w:ascii="Times New Roman" w:hAnsi="Times New Roman" w:eastAsia="Times New Roman" w:cs="Times New Roman"/>
                      <w:color w:val="auto"/>
                      <w:highlight w:val="none"/>
                      <w:lang w:val="zh-CN"/>
                    </w:rPr>
                    <w:t>2025</w:t>
                  </w:r>
                  <w:r>
                    <w:rPr>
                      <w:rFonts w:hint="eastAsia" w:ascii="宋体" w:hAnsi="宋体" w:eastAsia="宋体" w:cs="宋体"/>
                      <w:color w:val="auto"/>
                      <w:highlight w:val="none"/>
                      <w:lang w:val="zh-CN"/>
                    </w:rPr>
                    <w:t>年，短流程炼钢产量占比力争提升至</w:t>
                  </w:r>
                  <w:r>
                    <w:rPr>
                      <w:rFonts w:ascii="Times New Roman" w:hAnsi="Times New Roman" w:eastAsia="Times New Roman" w:cs="Times New Roman"/>
                      <w:color w:val="auto"/>
                      <w:highlight w:val="none"/>
                      <w:lang w:val="zh-CN"/>
                    </w:rPr>
                    <w:t>15%</w:t>
                  </w:r>
                </w:p>
              </w:tc>
              <w:tc>
                <w:tcPr>
                  <w:tcW w:w="1588" w:type="dxa"/>
                  <w:vAlign w:val="center"/>
                </w:tcPr>
                <w:p w14:paraId="4ED632BC">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eastAsia="zh-CN"/>
                    </w:rPr>
                    <w:t>本项目不属于钢铁行业及高排放、高耗能、低水平的工业项目，符合国家产业政策</w:t>
                  </w:r>
                </w:p>
              </w:tc>
              <w:tc>
                <w:tcPr>
                  <w:tcW w:w="1446" w:type="dxa"/>
                  <w:vAlign w:val="center"/>
                </w:tcPr>
                <w:p w14:paraId="0A652C3E">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4CC9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66A0AD0A">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w:t>
                  </w:r>
                </w:p>
              </w:tc>
              <w:tc>
                <w:tcPr>
                  <w:tcW w:w="3240" w:type="dxa"/>
                  <w:vAlign w:val="center"/>
                </w:tcPr>
                <w:p w14:paraId="3D1B39BE">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w:t>
                  </w:r>
                  <w:r>
                    <w:rPr>
                      <w:rFonts w:ascii="Times New Roman" w:hAnsi="Times New Roman" w:eastAsia="Times New Roman" w:cs="Times New Roman"/>
                      <w:color w:val="auto"/>
                      <w:highlight w:val="none"/>
                      <w:lang w:val="zh-CN"/>
                    </w:rPr>
                    <w:t>172</w:t>
                  </w:r>
                  <w:r>
                    <w:rPr>
                      <w:rFonts w:hint="eastAsia" w:ascii="宋体" w:hAnsi="宋体" w:eastAsia="宋体" w:cs="宋体"/>
                      <w:color w:val="auto"/>
                      <w:highlight w:val="none"/>
                      <w:lang w:val="zh-CN"/>
                    </w:rPr>
                    <w:t>阜康油田康探</w:t>
                  </w:r>
                  <w:r>
                    <w:rPr>
                      <w:rFonts w:ascii="Times New Roman" w:hAnsi="Times New Roman" w:eastAsia="Times New Roman" w:cs="Times New Roman"/>
                      <w:color w:val="auto"/>
                      <w:highlight w:val="none"/>
                      <w:lang w:val="zh-CN"/>
                    </w:rPr>
                    <w:t xml:space="preserve"> 1 </w:t>
                  </w:r>
                  <w:r>
                    <w:rPr>
                      <w:rFonts w:hint="eastAsia" w:ascii="宋体" w:hAnsi="宋体" w:eastAsia="宋体" w:cs="宋体"/>
                      <w:color w:val="auto"/>
                      <w:highlight w:val="none"/>
                      <w:lang w:val="zh-CN"/>
                    </w:rPr>
                    <w:t>区块二叠系上乌尔禾组砾岩油藏康探</w:t>
                  </w:r>
                  <w:r>
                    <w:rPr>
                      <w:rFonts w:ascii="Times New Roman" w:hAnsi="Times New Roman" w:eastAsia="Times New Roman" w:cs="Times New Roman"/>
                      <w:color w:val="auto"/>
                      <w:highlight w:val="none"/>
                      <w:lang w:val="zh-CN"/>
                    </w:rPr>
                    <w:t xml:space="preserve"> 1 </w:t>
                  </w:r>
                  <w:r>
                    <w:rPr>
                      <w:rFonts w:hint="eastAsia" w:ascii="宋体" w:hAnsi="宋体" w:eastAsia="宋体" w:cs="宋体"/>
                      <w:color w:val="auto"/>
                      <w:highlight w:val="none"/>
                      <w:lang w:val="zh-CN"/>
                    </w:rPr>
                    <w:t>断块开发试验步进式烧结机和球团竖炉以及半封闭式硅锰合金、镍铁、高碳铬铁、高碳锰铁电炉。</w:t>
                  </w:r>
                  <w:r>
                    <w:rPr>
                      <w:rFonts w:hint="eastAsia" w:ascii="宋体" w:hAnsi="宋体" w:eastAsia="宋体" w:cs="宋体"/>
                      <w:color w:val="auto"/>
                      <w:highlight w:val="none"/>
                      <w:lang w:val="zh-CN" w:eastAsia="zh-CN"/>
                    </w:rPr>
                    <w:t>引导重点区域钢铁、焦化、电解铝等产业有序调整优化</w:t>
                  </w:r>
                </w:p>
              </w:tc>
              <w:tc>
                <w:tcPr>
                  <w:tcW w:w="1588" w:type="dxa"/>
                  <w:vAlign w:val="center"/>
                </w:tcPr>
                <w:p w14:paraId="5882F115">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eastAsia="zh-CN"/>
                    </w:rPr>
                    <w:t>本项目为陆地石油</w:t>
                  </w:r>
                  <w:r>
                    <w:rPr>
                      <w:rFonts w:ascii="Times New Roman" w:hAnsi="Times New Roman" w:eastAsia="宋体" w:cs="Times New Roman"/>
                      <w:color w:val="auto"/>
                      <w:highlight w:val="none"/>
                      <w:lang w:eastAsia="zh-CN"/>
                    </w:rPr>
                    <w:t>勘探</w:t>
                  </w:r>
                  <w:r>
                    <w:rPr>
                      <w:rFonts w:hint="eastAsia" w:ascii="宋体" w:hAnsi="宋体" w:eastAsia="宋体" w:cs="宋体"/>
                      <w:color w:val="auto"/>
                      <w:highlight w:val="none"/>
                      <w:lang w:val="zh-CN" w:eastAsia="zh-CN"/>
                    </w:rPr>
                    <w:t>项目，属于鼓励类</w:t>
                  </w:r>
                  <w:r>
                    <w:rPr>
                      <w:rFonts w:ascii="Times New Roman" w:hAnsi="Times New Roman" w:eastAsia="宋体" w:cs="Times New Roman"/>
                      <w:color w:val="auto"/>
                      <w:highlight w:val="none"/>
                      <w:lang w:eastAsia="zh-CN"/>
                    </w:rPr>
                    <w:t>项</w:t>
                  </w:r>
                  <w:r>
                    <w:rPr>
                      <w:rFonts w:hint="eastAsia" w:ascii="宋体" w:hAnsi="宋体" w:eastAsia="宋体" w:cs="宋体"/>
                      <w:color w:val="auto"/>
                      <w:highlight w:val="none"/>
                      <w:lang w:val="zh-CN" w:eastAsia="zh-CN"/>
                    </w:rPr>
                    <w:t>目，不在淘汰类工业项目名录中</w:t>
                  </w:r>
                </w:p>
              </w:tc>
              <w:tc>
                <w:tcPr>
                  <w:tcW w:w="1446" w:type="dxa"/>
                  <w:vAlign w:val="center"/>
                </w:tcPr>
                <w:p w14:paraId="3267A246">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3CFF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5B68CD46">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w:t>
                  </w:r>
                </w:p>
              </w:tc>
              <w:tc>
                <w:tcPr>
                  <w:tcW w:w="3240" w:type="dxa"/>
                  <w:vAlign w:val="center"/>
                </w:tcPr>
                <w:p w14:paraId="5E97E4F3">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rPr>
                    <w:t>推进传统产业集群升级改造。</w:t>
                  </w:r>
                  <w:r>
                    <w:rPr>
                      <w:rFonts w:hint="eastAsia" w:ascii="宋体" w:hAnsi="宋体" w:eastAsia="宋体" w:cs="宋体"/>
                      <w:color w:val="auto"/>
                      <w:highlight w:val="none"/>
                      <w:lang w:val="zh-CN" w:eastAsia="zh-CN"/>
                    </w:rPr>
                    <w:t>推动传统产业集群升级发展，开展产业集群专项治理，依法淘汰关停一批、搬迁入园一批、就地改造一批、做优做强一批，因地制宜建设集中供热中心、集中喷涂中心、活性炭集中再生中心和有机溶剂集中回收处置中心</w:t>
                  </w:r>
                </w:p>
              </w:tc>
              <w:tc>
                <w:tcPr>
                  <w:tcW w:w="1588" w:type="dxa"/>
                  <w:vAlign w:val="center"/>
                </w:tcPr>
                <w:p w14:paraId="0437150C">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eastAsia="zh-CN"/>
                    </w:rPr>
                    <w:t>本项目为石油</w:t>
                  </w:r>
                  <w:r>
                    <w:rPr>
                      <w:rFonts w:ascii="Times New Roman" w:hAnsi="Times New Roman" w:eastAsia="宋体" w:cs="Times New Roman"/>
                      <w:color w:val="auto"/>
                      <w:highlight w:val="none"/>
                      <w:lang w:eastAsia="zh-CN"/>
                    </w:rPr>
                    <w:t>勘探</w:t>
                  </w:r>
                  <w:r>
                    <w:rPr>
                      <w:rFonts w:hint="eastAsia" w:ascii="宋体" w:hAnsi="宋体" w:eastAsia="宋体" w:cs="宋体"/>
                      <w:color w:val="auto"/>
                      <w:highlight w:val="none"/>
                      <w:lang w:val="zh-CN" w:eastAsia="zh-CN"/>
                    </w:rPr>
                    <w:t>项目，产生的天然气由第三方销售综合利用，符合清洁能源要求。</w:t>
                  </w:r>
                </w:p>
              </w:tc>
              <w:tc>
                <w:tcPr>
                  <w:tcW w:w="1446" w:type="dxa"/>
                  <w:vAlign w:val="center"/>
                </w:tcPr>
                <w:p w14:paraId="502F2DDF">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0A63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37994BE0">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4</w:t>
                  </w:r>
                </w:p>
              </w:tc>
              <w:tc>
                <w:tcPr>
                  <w:tcW w:w="3240" w:type="dxa"/>
                  <w:vAlign w:val="center"/>
                </w:tcPr>
                <w:p w14:paraId="0F009311">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rPr>
                    <w:t>大力发展新能源和清洁能源。推进风电光伏等清洁能源基地建设，构建新型电力系统。推进新能源与优势产业联动发展，加大高载能行业和自备电厂清洁能源替代力度。非化石能源消费比重和电能占终端能源消费比重达到相关规划要求。</w:t>
                  </w:r>
                  <w:r>
                    <w:rPr>
                      <w:rFonts w:hint="eastAsia" w:ascii="宋体" w:hAnsi="宋体" w:eastAsia="宋体" w:cs="宋体"/>
                      <w:color w:val="auto"/>
                      <w:highlight w:val="none"/>
                      <w:lang w:val="zh-CN" w:eastAsia="zh-CN"/>
                    </w:rPr>
                    <w:t>持续增加天然气生产供应，优先保障居民生活和清洁取暖、农业散煤治理等需求</w:t>
                  </w:r>
                </w:p>
              </w:tc>
              <w:tc>
                <w:tcPr>
                  <w:tcW w:w="1588" w:type="dxa"/>
                  <w:vAlign w:val="center"/>
                </w:tcPr>
                <w:p w14:paraId="2416999E">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eastAsia="zh-CN"/>
                    </w:rPr>
                    <w:t>本项目为石油</w:t>
                  </w:r>
                  <w:r>
                    <w:rPr>
                      <w:rFonts w:ascii="Times New Roman" w:hAnsi="Times New Roman" w:eastAsia="宋体" w:cs="Times New Roman"/>
                      <w:color w:val="auto"/>
                      <w:highlight w:val="none"/>
                      <w:lang w:eastAsia="zh-CN"/>
                    </w:rPr>
                    <w:t>勘探</w:t>
                  </w:r>
                  <w:r>
                    <w:rPr>
                      <w:rFonts w:hint="eastAsia" w:ascii="宋体" w:hAnsi="宋体" w:eastAsia="宋体" w:cs="宋体"/>
                      <w:color w:val="auto"/>
                      <w:highlight w:val="none"/>
                      <w:lang w:val="zh-CN" w:eastAsia="zh-CN"/>
                    </w:rPr>
                    <w:t>项目，属于国家能源项目</w:t>
                  </w:r>
                </w:p>
              </w:tc>
              <w:tc>
                <w:tcPr>
                  <w:tcW w:w="1446" w:type="dxa"/>
                  <w:vAlign w:val="center"/>
                </w:tcPr>
                <w:p w14:paraId="120FFCD8">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5B11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82" w:type="dxa"/>
                  <w:vAlign w:val="center"/>
                </w:tcPr>
                <w:p w14:paraId="2E977195">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5</w:t>
                  </w:r>
                </w:p>
              </w:tc>
              <w:tc>
                <w:tcPr>
                  <w:tcW w:w="3240" w:type="dxa"/>
                  <w:vAlign w:val="center"/>
                </w:tcPr>
                <w:p w14:paraId="02ED2BD6">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rPr>
                    <w:t>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w:t>
                  </w:r>
                  <w:r>
                    <w:rPr>
                      <w:rFonts w:hint="eastAsia" w:ascii="宋体" w:hAnsi="宋体" w:eastAsia="宋体" w:cs="宋体"/>
                      <w:color w:val="auto"/>
                      <w:highlight w:val="none"/>
                      <w:lang w:val="zh-CN" w:eastAsia="zh-CN"/>
                    </w:rPr>
                    <w:t>完善联防联控区骨干电网建设，保障冬季生产用电需求</w:t>
                  </w:r>
                </w:p>
              </w:tc>
              <w:tc>
                <w:tcPr>
                  <w:tcW w:w="1588" w:type="dxa"/>
                  <w:vAlign w:val="center"/>
                </w:tcPr>
                <w:p w14:paraId="5FB767E3">
                  <w:pPr>
                    <w:widowControl w:val="0"/>
                    <w:kinsoku/>
                    <w:spacing w:line="240" w:lineRule="atLeast"/>
                    <w:jc w:val="center"/>
                    <w:rPr>
                      <w:rFonts w:ascii="Times New Roman" w:hAnsi="Times New Roman" w:eastAsia="宋体" w:cs="Times New Roman"/>
                      <w:color w:val="auto"/>
                      <w:highlight w:val="none"/>
                      <w:lang w:eastAsia="zh-CN"/>
                    </w:rPr>
                  </w:pPr>
                  <w:r>
                    <w:rPr>
                      <w:rFonts w:hint="eastAsia" w:ascii="宋体" w:hAnsi="宋体" w:eastAsia="宋体" w:cs="宋体"/>
                      <w:color w:val="auto"/>
                      <w:highlight w:val="none"/>
                      <w:lang w:val="zh-CN" w:eastAsia="zh-CN"/>
                    </w:rPr>
                    <w:t>本项目为石油</w:t>
                  </w:r>
                  <w:r>
                    <w:rPr>
                      <w:rFonts w:hint="eastAsia" w:ascii="宋体" w:hAnsi="宋体" w:eastAsia="宋体" w:cs="宋体"/>
                      <w:color w:val="auto"/>
                      <w:highlight w:val="none"/>
                      <w:lang w:eastAsia="zh-CN"/>
                    </w:rPr>
                    <w:t>勘探</w:t>
                  </w:r>
                  <w:r>
                    <w:rPr>
                      <w:rFonts w:hint="eastAsia" w:ascii="宋体" w:hAnsi="宋体" w:eastAsia="宋体" w:cs="宋体"/>
                      <w:color w:val="auto"/>
                      <w:highlight w:val="none"/>
                      <w:lang w:val="zh-CN" w:eastAsia="zh-CN"/>
                    </w:rPr>
                    <w:t>项目，属于国家能源项目，项目</w:t>
                  </w:r>
                  <w:r>
                    <w:rPr>
                      <w:rFonts w:hint="eastAsia" w:ascii="宋体" w:hAnsi="宋体" w:eastAsia="宋体" w:cs="宋体"/>
                      <w:color w:val="auto"/>
                      <w:highlight w:val="none"/>
                      <w:lang w:eastAsia="zh-CN"/>
                    </w:rPr>
                    <w:t>施工</w:t>
                  </w:r>
                  <w:r>
                    <w:rPr>
                      <w:rFonts w:hint="eastAsia" w:ascii="宋体" w:hAnsi="宋体" w:eastAsia="宋体" w:cs="宋体"/>
                      <w:color w:val="auto"/>
                      <w:highlight w:val="none"/>
                      <w:lang w:val="zh-CN" w:eastAsia="zh-CN"/>
                    </w:rPr>
                    <w:t>过程中使用电能或天然气</w:t>
                  </w:r>
                  <w:r>
                    <w:rPr>
                      <w:rFonts w:ascii="Times New Roman" w:hAnsi="Times New Roman" w:eastAsia="宋体" w:cs="Times New Roman"/>
                      <w:color w:val="auto"/>
                      <w:highlight w:val="none"/>
                      <w:lang w:val="zh-CN" w:eastAsia="zh-CN"/>
                    </w:rPr>
                    <w:t>等环保燃料</w:t>
                  </w:r>
                  <w:r>
                    <w:rPr>
                      <w:rFonts w:hint="eastAsia" w:ascii="宋体" w:hAnsi="宋体" w:eastAsia="宋体" w:cs="宋体"/>
                      <w:color w:val="auto"/>
                      <w:highlight w:val="none"/>
                      <w:lang w:val="zh-CN" w:eastAsia="zh-CN"/>
                    </w:rPr>
                    <w:t>供热，不用煤炭</w:t>
                  </w:r>
                </w:p>
              </w:tc>
              <w:tc>
                <w:tcPr>
                  <w:tcW w:w="1446" w:type="dxa"/>
                  <w:vAlign w:val="center"/>
                </w:tcPr>
                <w:p w14:paraId="1A1963AF">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r w14:paraId="1090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82" w:type="dxa"/>
                  <w:vAlign w:val="center"/>
                </w:tcPr>
                <w:p w14:paraId="5A43C2ED">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6</w:t>
                  </w:r>
                </w:p>
              </w:tc>
              <w:tc>
                <w:tcPr>
                  <w:tcW w:w="3240" w:type="dxa"/>
                  <w:vAlign w:val="center"/>
                </w:tcPr>
                <w:p w14:paraId="7499DDEE">
                  <w:pPr>
                    <w:widowControl w:val="0"/>
                    <w:kinsoku/>
                    <w:spacing w:line="240" w:lineRule="atLeast"/>
                    <w:jc w:val="center"/>
                    <w:rPr>
                      <w:rFonts w:ascii="Times New Roman" w:hAnsi="Times New Roman" w:eastAsia="Times New Roman" w:cs="Times New Roman"/>
                      <w:color w:val="auto"/>
                      <w:highlight w:val="none"/>
                      <w:lang w:val="zh-CN"/>
                    </w:rPr>
                  </w:pPr>
                  <w:r>
                    <w:rPr>
                      <w:rFonts w:hint="eastAsia" w:ascii="宋体" w:hAnsi="宋体" w:eastAsia="宋体" w:cs="宋体"/>
                      <w:color w:val="auto"/>
                      <w:highlight w:val="none"/>
                      <w:lang w:val="zh-CN"/>
                    </w:rPr>
                    <w:t>持续强化扬尘污染综合管控。施工场地严格落实</w:t>
                  </w:r>
                  <w:r>
                    <w:rPr>
                      <w:rFonts w:ascii="Times New Roman" w:hAnsi="Times New Roman" w:eastAsia="Times New Roman" w:cs="Times New Roman"/>
                      <w:color w:val="auto"/>
                      <w:highlight w:val="none"/>
                      <w:lang w:val="zh-CN"/>
                    </w:rPr>
                    <w:t>“</w:t>
                  </w:r>
                  <w:r>
                    <w:rPr>
                      <w:rFonts w:hint="eastAsia" w:ascii="宋体" w:hAnsi="宋体" w:eastAsia="宋体" w:cs="宋体"/>
                      <w:color w:val="auto"/>
                      <w:highlight w:val="none"/>
                      <w:lang w:val="zh-CN"/>
                    </w:rPr>
                    <w:t>六个百分百</w:t>
                  </w:r>
                  <w:r>
                    <w:rPr>
                      <w:rFonts w:ascii="Times New Roman" w:hAnsi="Times New Roman" w:eastAsia="Times New Roman" w:cs="Times New Roman"/>
                      <w:color w:val="auto"/>
                      <w:highlight w:val="none"/>
                      <w:lang w:val="zh-CN"/>
                    </w:rPr>
                    <w:t>”</w:t>
                  </w:r>
                  <w:r>
                    <w:rPr>
                      <w:rFonts w:hint="eastAsia" w:ascii="宋体" w:hAnsi="宋体" w:eastAsia="宋体" w:cs="宋体"/>
                      <w:color w:val="auto"/>
                      <w:highlight w:val="none"/>
                      <w:lang w:val="zh-CN"/>
                    </w:rPr>
                    <w:t>要求。扬尘污染防治费用纳入工程造价，</w:t>
                  </w:r>
                  <w:r>
                    <w:rPr>
                      <w:rFonts w:ascii="Times New Roman" w:hAnsi="Times New Roman" w:eastAsia="Times New Roman" w:cs="Times New Roman"/>
                      <w:color w:val="auto"/>
                      <w:highlight w:val="none"/>
                      <w:lang w:val="zh-CN"/>
                    </w:rPr>
                    <w:t>3000m</w:t>
                  </w:r>
                  <w:r>
                    <w:rPr>
                      <w:rFonts w:ascii="Times New Roman" w:hAnsi="Times New Roman" w:eastAsia="Times New Roman" w:cs="Times New Roman"/>
                      <w:color w:val="auto"/>
                      <w:highlight w:val="none"/>
                      <w:vertAlign w:val="superscript"/>
                      <w:lang w:val="zh-CN"/>
                    </w:rPr>
                    <w:t>2</w:t>
                  </w:r>
                  <w:r>
                    <w:rPr>
                      <w:rFonts w:hint="eastAsia" w:ascii="宋体" w:hAnsi="宋体" w:eastAsia="宋体" w:cs="宋体"/>
                      <w:color w:val="auto"/>
                      <w:highlight w:val="none"/>
                      <w:lang w:val="zh-CN"/>
                    </w:rPr>
                    <w:t>及以上建筑工地安装视频监控并接入当地监管平台。道路、水务等长距离线性工程实行分段施工。城市建成区主次干道机械化清扫率达到</w:t>
                  </w:r>
                  <w:r>
                    <w:rPr>
                      <w:rFonts w:ascii="Times New Roman" w:hAnsi="Times New Roman" w:eastAsia="Times New Roman" w:cs="Times New Roman"/>
                      <w:color w:val="auto"/>
                      <w:highlight w:val="none"/>
                      <w:lang w:val="zh-CN"/>
                    </w:rPr>
                    <w:t>80%</w:t>
                  </w:r>
                  <w:r>
                    <w:rPr>
                      <w:rFonts w:hint="eastAsia" w:ascii="宋体" w:hAnsi="宋体" w:eastAsia="宋体" w:cs="宋体"/>
                      <w:color w:val="auto"/>
                      <w:highlight w:val="none"/>
                      <w:lang w:val="zh-CN"/>
                    </w:rPr>
                    <w:t>。加强城市及周边公共裸地、物料堆场等易产尘区域抑尘管理。到</w:t>
                  </w:r>
                  <w:r>
                    <w:rPr>
                      <w:rFonts w:ascii="Times New Roman" w:hAnsi="Times New Roman" w:eastAsia="Times New Roman" w:cs="Times New Roman"/>
                      <w:color w:val="auto"/>
                      <w:highlight w:val="none"/>
                      <w:lang w:val="zh-CN"/>
                    </w:rPr>
                    <w:t>2025</w:t>
                  </w:r>
                  <w:r>
                    <w:rPr>
                      <w:rFonts w:hint="eastAsia" w:ascii="宋体" w:hAnsi="宋体" w:eastAsia="宋体" w:cs="宋体"/>
                      <w:color w:val="auto"/>
                      <w:highlight w:val="none"/>
                      <w:lang w:val="zh-CN"/>
                    </w:rPr>
                    <w:t>年，装配式建筑占新建建筑面积比例达到</w:t>
                  </w:r>
                  <w:r>
                    <w:rPr>
                      <w:rFonts w:ascii="Times New Roman" w:hAnsi="Times New Roman" w:eastAsia="Times New Roman" w:cs="Times New Roman"/>
                      <w:color w:val="auto"/>
                      <w:highlight w:val="none"/>
                      <w:lang w:val="zh-CN"/>
                    </w:rPr>
                    <w:t xml:space="preserve"> 30%</w:t>
                  </w:r>
                </w:p>
              </w:tc>
              <w:tc>
                <w:tcPr>
                  <w:tcW w:w="1588" w:type="dxa"/>
                  <w:vAlign w:val="center"/>
                </w:tcPr>
                <w:p w14:paraId="4DE3D983">
                  <w:pPr>
                    <w:widowControl w:val="0"/>
                    <w:kinsoku/>
                    <w:spacing w:line="240" w:lineRule="atLeast"/>
                    <w:jc w:val="center"/>
                    <w:rPr>
                      <w:rFonts w:ascii="Times New Roman" w:hAnsi="Times New Roman" w:eastAsia="Times New Roman" w:cs="Times New Roman"/>
                      <w:color w:val="auto"/>
                      <w:highlight w:val="none"/>
                      <w:lang w:val="zh-CN" w:eastAsia="zh-CN"/>
                    </w:rPr>
                  </w:pPr>
                  <w:r>
                    <w:rPr>
                      <w:rFonts w:ascii="Times New Roman" w:hAnsi="Times New Roman" w:eastAsia="宋体" w:cs="Times New Roman"/>
                      <w:color w:val="auto"/>
                      <w:highlight w:val="none"/>
                      <w:lang w:eastAsia="zh-CN"/>
                    </w:rPr>
                    <w:t>本项目施工场地严格落实“六个百分百”要求，扬尘污染防治费用已纳入工程造价</w:t>
                  </w:r>
                </w:p>
              </w:tc>
              <w:tc>
                <w:tcPr>
                  <w:tcW w:w="1446" w:type="dxa"/>
                  <w:vAlign w:val="center"/>
                </w:tcPr>
                <w:p w14:paraId="391C5FB7">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符合</w:t>
                  </w:r>
                </w:p>
              </w:tc>
            </w:tr>
          </w:tbl>
          <w:p w14:paraId="1C9F4AF0">
            <w:pPr>
              <w:widowControl w:val="0"/>
              <w:kinsoku/>
              <w:spacing w:line="360" w:lineRule="auto"/>
              <w:jc w:val="both"/>
              <w:rPr>
                <w:rFonts w:ascii="Times New Roman" w:hAnsi="Times New Roman" w:eastAsia="宋体" w:cs="Times New Roman"/>
                <w:color w:val="auto"/>
                <w:sz w:val="24"/>
                <w:szCs w:val="24"/>
                <w:highlight w:val="none"/>
              </w:rPr>
            </w:pPr>
          </w:p>
        </w:tc>
      </w:tr>
    </w:tbl>
    <w:p w14:paraId="01B9D9C8">
      <w:pPr>
        <w:kinsoku/>
        <w:spacing w:line="219" w:lineRule="auto"/>
        <w:rPr>
          <w:rFonts w:ascii="Times New Roman" w:hAnsi="Times New Roman" w:eastAsia="宋体" w:cs="Times New Roman"/>
          <w:color w:val="auto"/>
          <w:sz w:val="24"/>
          <w:szCs w:val="24"/>
          <w:highlight w:val="none"/>
        </w:rPr>
      </w:pPr>
    </w:p>
    <w:p w14:paraId="51E483C1">
      <w:pPr>
        <w:kinsoku/>
        <w:rPr>
          <w:rFonts w:ascii="Times New Roman" w:hAnsi="Times New Roman" w:eastAsia="宋体" w:cs="Times New Roman"/>
          <w:b/>
          <w:bCs/>
          <w:color w:val="auto"/>
          <w:spacing w:val="4"/>
          <w:sz w:val="31"/>
          <w:szCs w:val="31"/>
          <w:highlight w:val="none"/>
          <w:lang w:eastAsia="zh-CN"/>
        </w:rPr>
      </w:pPr>
      <w:r>
        <w:rPr>
          <w:rFonts w:ascii="Times New Roman" w:hAnsi="Times New Roman" w:eastAsia="宋体" w:cs="Times New Roman"/>
          <w:b/>
          <w:bCs/>
          <w:color w:val="auto"/>
          <w:spacing w:val="4"/>
          <w:sz w:val="31"/>
          <w:szCs w:val="31"/>
          <w:highlight w:val="none"/>
          <w:lang w:eastAsia="zh-CN"/>
        </w:rPr>
        <w:br w:type="page"/>
      </w:r>
    </w:p>
    <w:p w14:paraId="469F6280">
      <w:pPr>
        <w:kinsoku/>
        <w:spacing w:before="101" w:line="360" w:lineRule="auto"/>
        <w:jc w:val="center"/>
        <w:outlineLvl w:val="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4"/>
          <w:sz w:val="31"/>
          <w:szCs w:val="31"/>
          <w:highlight w:val="none"/>
          <w:lang w:eastAsia="zh-CN"/>
        </w:rPr>
        <w:t>二、</w:t>
      </w:r>
      <w:r>
        <w:rPr>
          <w:rFonts w:ascii="Times New Roman" w:hAnsi="Times New Roman" w:eastAsia="宋体" w:cs="Times New Roman"/>
          <w:b/>
          <w:bCs/>
          <w:color w:val="auto"/>
          <w:spacing w:val="4"/>
          <w:sz w:val="31"/>
          <w:szCs w:val="31"/>
          <w:highlight w:val="none"/>
        </w:rPr>
        <w:t>建设内容</w:t>
      </w:r>
    </w:p>
    <w:tbl>
      <w:tblPr>
        <w:tblStyle w:val="16"/>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8563"/>
      </w:tblGrid>
      <w:tr w14:paraId="301F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B929BBE">
            <w:pPr>
              <w:widowControl w:val="0"/>
              <w:kinsoku/>
              <w:spacing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地理位置</w:t>
            </w:r>
          </w:p>
        </w:tc>
        <w:tc>
          <w:tcPr>
            <w:tcW w:w="8394" w:type="dxa"/>
          </w:tcPr>
          <w:p w14:paraId="726DC0A8">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本项目行政隶属于昌吉回族自治州阜康市。项目井口坐标见表2-1，项目地理位置图见附图2，项目钻试场位置图见附图3</w:t>
            </w:r>
            <w:r>
              <w:rPr>
                <w:rFonts w:ascii="Times New Roman" w:hAnsi="Times New Roman" w:eastAsia="宋体" w:cs="Times New Roman"/>
                <w:color w:val="auto"/>
                <w:spacing w:val="-3"/>
                <w:sz w:val="24"/>
                <w:szCs w:val="24"/>
                <w:highlight w:val="none"/>
                <w:lang w:eastAsia="zh-CN"/>
              </w:rPr>
              <w:t>。</w:t>
            </w:r>
          </w:p>
          <w:p w14:paraId="7784D7F3">
            <w:pPr>
              <w:widowControl w:val="0"/>
              <w:kinsoku/>
              <w:spacing w:line="500" w:lineRule="exact"/>
              <w:jc w:val="center"/>
              <w:rPr>
                <w:rFonts w:ascii="Times New Roman" w:hAnsi="Times New Roman" w:cs="Times New Roman"/>
                <w:color w:val="auto"/>
                <w:highlight w:val="none"/>
                <w:lang w:eastAsia="zh-CN"/>
              </w:rPr>
            </w:pPr>
            <w:r>
              <w:rPr>
                <w:rFonts w:ascii="Times New Roman" w:hAnsi="Times New Roman" w:eastAsia="宋体" w:cs="Times New Roman"/>
                <w:b/>
                <w:bCs/>
                <w:color w:val="auto"/>
                <w:highlight w:val="none"/>
                <w:lang w:eastAsia="zh-CN"/>
              </w:rPr>
              <w:t>表2-1 井位坐标及位置一览表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339"/>
              <w:gridCol w:w="1569"/>
              <w:gridCol w:w="1557"/>
              <w:gridCol w:w="1579"/>
              <w:gridCol w:w="769"/>
            </w:tblGrid>
            <w:tr w14:paraId="2BF0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pct"/>
                  <w:vMerge w:val="restart"/>
                  <w:vAlign w:val="center"/>
                </w:tcPr>
                <w:p w14:paraId="3E5D8D46">
                  <w:pPr>
                    <w:kinsoku/>
                    <w:jc w:val="center"/>
                    <w:textAlignment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lang w:eastAsia="zh-CN" w:bidi="ar"/>
                    </w:rPr>
                    <w:t>井号</w:t>
                  </w:r>
                </w:p>
              </w:tc>
              <w:tc>
                <w:tcPr>
                  <w:tcW w:w="3625" w:type="pct"/>
                  <w:gridSpan w:val="4"/>
                  <w:vAlign w:val="center"/>
                </w:tcPr>
                <w:p w14:paraId="260183FB">
                  <w:pPr>
                    <w:kinsoku/>
                    <w:jc w:val="center"/>
                    <w:textAlignment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井位坐标</w:t>
                  </w:r>
                </w:p>
              </w:tc>
              <w:tc>
                <w:tcPr>
                  <w:tcW w:w="461" w:type="pct"/>
                  <w:vMerge w:val="restart"/>
                  <w:vAlign w:val="center"/>
                </w:tcPr>
                <w:p w14:paraId="23310DF3">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b/>
                      <w:bCs/>
                      <w:color w:val="auto"/>
                      <w:highlight w:val="none"/>
                      <w:lang w:eastAsia="zh-CN" w:bidi="ar"/>
                    </w:rPr>
                    <w:t>位置</w:t>
                  </w:r>
                </w:p>
              </w:tc>
            </w:tr>
            <w:tr w14:paraId="7572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pct"/>
                  <w:vMerge w:val="continue"/>
                  <w:vAlign w:val="center"/>
                </w:tcPr>
                <w:p w14:paraId="54E693B1">
                  <w:pPr>
                    <w:kinsoku/>
                    <w:jc w:val="center"/>
                    <w:rPr>
                      <w:rFonts w:ascii="Times New Roman" w:hAnsi="Times New Roman" w:eastAsia="宋体" w:cs="Times New Roman"/>
                      <w:b/>
                      <w:bCs/>
                      <w:color w:val="auto"/>
                      <w:highlight w:val="none"/>
                    </w:rPr>
                  </w:pPr>
                </w:p>
              </w:tc>
              <w:tc>
                <w:tcPr>
                  <w:tcW w:w="803" w:type="pct"/>
                  <w:vAlign w:val="center"/>
                </w:tcPr>
                <w:p w14:paraId="2CBCE184">
                  <w:pPr>
                    <w:kinsoku/>
                    <w:jc w:val="center"/>
                    <w:textAlignment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lang w:eastAsia="zh-CN" w:bidi="ar"/>
                    </w:rPr>
                    <w:t>X</w:t>
                  </w:r>
                </w:p>
              </w:tc>
              <w:tc>
                <w:tcPr>
                  <w:tcW w:w="941" w:type="pct"/>
                  <w:vAlign w:val="center"/>
                </w:tcPr>
                <w:p w14:paraId="6524543A">
                  <w:pPr>
                    <w:kinsoku/>
                    <w:jc w:val="center"/>
                    <w:textAlignment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lang w:eastAsia="zh-CN" w:bidi="ar"/>
                    </w:rPr>
                    <w:t>Y</w:t>
                  </w:r>
                </w:p>
              </w:tc>
              <w:tc>
                <w:tcPr>
                  <w:tcW w:w="934" w:type="pct"/>
                  <w:vAlign w:val="center"/>
                </w:tcPr>
                <w:p w14:paraId="3DC015A7">
                  <w:pPr>
                    <w:kinsoku/>
                    <w:jc w:val="center"/>
                    <w:textAlignment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经度（E）</w:t>
                  </w:r>
                </w:p>
              </w:tc>
              <w:tc>
                <w:tcPr>
                  <w:tcW w:w="945" w:type="pct"/>
                  <w:vAlign w:val="center"/>
                </w:tcPr>
                <w:p w14:paraId="0D0B86AE">
                  <w:pPr>
                    <w:kinsoku/>
                    <w:jc w:val="center"/>
                    <w:textAlignment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纬度（N）</w:t>
                  </w:r>
                </w:p>
              </w:tc>
              <w:tc>
                <w:tcPr>
                  <w:tcW w:w="461" w:type="pct"/>
                  <w:vMerge w:val="continue"/>
                  <w:vAlign w:val="center"/>
                </w:tcPr>
                <w:p w14:paraId="0E3A80FA">
                  <w:pPr>
                    <w:kinsoku/>
                    <w:jc w:val="center"/>
                    <w:textAlignment w:val="center"/>
                    <w:rPr>
                      <w:rFonts w:ascii="Times New Roman" w:hAnsi="Times New Roman" w:eastAsia="宋体" w:cs="Times New Roman"/>
                      <w:color w:val="auto"/>
                      <w:highlight w:val="none"/>
                      <w:lang w:eastAsia="zh-CN" w:bidi="ar"/>
                    </w:rPr>
                  </w:pPr>
                </w:p>
              </w:tc>
            </w:tr>
            <w:tr w14:paraId="66A2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pct"/>
                  <w:vAlign w:val="center"/>
                </w:tcPr>
                <w:p w14:paraId="4E4BF121">
                  <w:pPr>
                    <w:kinsoku/>
                    <w:jc w:val="center"/>
                    <w:textAlignment w:val="top"/>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阜4803H</w:t>
                  </w:r>
                </w:p>
              </w:tc>
              <w:tc>
                <w:tcPr>
                  <w:tcW w:w="803" w:type="pct"/>
                  <w:vAlign w:val="center"/>
                </w:tcPr>
                <w:p w14:paraId="526E645E">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4916605.78</w:t>
                  </w:r>
                </w:p>
              </w:tc>
              <w:tc>
                <w:tcPr>
                  <w:tcW w:w="941" w:type="pct"/>
                  <w:vAlign w:val="center"/>
                </w:tcPr>
                <w:p w14:paraId="700D3AC5">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29618215.45</w:t>
                  </w:r>
                </w:p>
              </w:tc>
              <w:tc>
                <w:tcPr>
                  <w:tcW w:w="934" w:type="pct"/>
                  <w:vAlign w:val="center"/>
                </w:tcPr>
                <w:p w14:paraId="4694827D">
                  <w:pPr>
                    <w:pStyle w:val="5"/>
                    <w:widowControl w:val="0"/>
                    <w:kinsoku/>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88°29′0.72″</w:t>
                  </w:r>
                </w:p>
              </w:tc>
              <w:tc>
                <w:tcPr>
                  <w:tcW w:w="945" w:type="pct"/>
                  <w:vAlign w:val="center"/>
                </w:tcPr>
                <w:p w14:paraId="4A5ED70B">
                  <w:pPr>
                    <w:pStyle w:val="5"/>
                    <w:widowControl w:val="0"/>
                    <w:kinsoku/>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44°22′29.70″</w:t>
                  </w:r>
                </w:p>
              </w:tc>
              <w:tc>
                <w:tcPr>
                  <w:tcW w:w="461" w:type="pct"/>
                  <w:vMerge w:val="restart"/>
                  <w:vAlign w:val="center"/>
                </w:tcPr>
                <w:p w14:paraId="336C8E79">
                  <w:pPr>
                    <w:pStyle w:val="5"/>
                    <w:widowControl w:val="0"/>
                    <w:kinsoku/>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阜康县</w:t>
                  </w:r>
                </w:p>
              </w:tc>
            </w:tr>
            <w:tr w14:paraId="7282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3" w:type="pct"/>
                  <w:vAlign w:val="center"/>
                </w:tcPr>
                <w:p w14:paraId="04B1DCF1">
                  <w:pPr>
                    <w:kinsoku/>
                    <w:jc w:val="center"/>
                    <w:textAlignment w:val="top"/>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阜4805H</w:t>
                  </w:r>
                </w:p>
              </w:tc>
              <w:tc>
                <w:tcPr>
                  <w:tcW w:w="803" w:type="pct"/>
                  <w:vAlign w:val="center"/>
                </w:tcPr>
                <w:p w14:paraId="3675C053">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4918233.12</w:t>
                  </w:r>
                </w:p>
              </w:tc>
              <w:tc>
                <w:tcPr>
                  <w:tcW w:w="941" w:type="pct"/>
                  <w:vAlign w:val="center"/>
                </w:tcPr>
                <w:p w14:paraId="5E600186">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29617420.59</w:t>
                  </w:r>
                </w:p>
              </w:tc>
              <w:tc>
                <w:tcPr>
                  <w:tcW w:w="934" w:type="pct"/>
                  <w:vAlign w:val="center"/>
                </w:tcPr>
                <w:p w14:paraId="24275590">
                  <w:pPr>
                    <w:pStyle w:val="5"/>
                    <w:widowControl w:val="0"/>
                    <w:kinsoku/>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 xml:space="preserve"> 88°28′26.15″</w:t>
                  </w:r>
                </w:p>
              </w:tc>
              <w:tc>
                <w:tcPr>
                  <w:tcW w:w="945" w:type="pct"/>
                  <w:vAlign w:val="center"/>
                </w:tcPr>
                <w:p w14:paraId="140A2DA9">
                  <w:pPr>
                    <w:pStyle w:val="5"/>
                    <w:widowControl w:val="0"/>
                    <w:kinsoku/>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44°23′22.88″</w:t>
                  </w:r>
                </w:p>
              </w:tc>
              <w:tc>
                <w:tcPr>
                  <w:tcW w:w="461" w:type="pct"/>
                  <w:vMerge w:val="continue"/>
                  <w:vAlign w:val="center"/>
                </w:tcPr>
                <w:p w14:paraId="658676A6">
                  <w:pPr>
                    <w:pStyle w:val="5"/>
                    <w:widowControl w:val="0"/>
                    <w:kinsoku/>
                    <w:ind w:firstLine="0" w:firstLineChars="0"/>
                    <w:jc w:val="center"/>
                    <w:rPr>
                      <w:rFonts w:ascii="Times New Roman" w:hAnsi="Times New Roman" w:eastAsia="宋体" w:cs="Times New Roman"/>
                      <w:color w:val="auto"/>
                      <w:highlight w:val="none"/>
                      <w:lang w:eastAsia="zh-CN"/>
                    </w:rPr>
                  </w:pPr>
                </w:p>
              </w:tc>
            </w:tr>
          </w:tbl>
          <w:p w14:paraId="171C34BA">
            <w:pPr>
              <w:pStyle w:val="5"/>
              <w:widowControl w:val="0"/>
              <w:kinsoku/>
              <w:ind w:firstLine="0" w:firstLineChars="0"/>
              <w:jc w:val="both"/>
              <w:rPr>
                <w:rFonts w:ascii="Times New Roman" w:hAnsi="Times New Roman" w:cs="Times New Roman"/>
                <w:color w:val="auto"/>
                <w:highlight w:val="none"/>
              </w:rPr>
            </w:pPr>
          </w:p>
        </w:tc>
      </w:tr>
      <w:tr w14:paraId="68A8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4" w:type="dxa"/>
            <w:vAlign w:val="center"/>
          </w:tcPr>
          <w:p w14:paraId="45FDECCD">
            <w:pPr>
              <w:widowControl w:val="0"/>
              <w:kinsoku/>
              <w:spacing w:line="360" w:lineRule="auto"/>
              <w:jc w:val="center"/>
              <w:rPr>
                <w:rFonts w:ascii="Times New Roman" w:hAnsi="Times New Roman" w:eastAsia="宋体" w:cs="Times New Roman"/>
                <w:color w:val="auto"/>
                <w:sz w:val="24"/>
                <w:szCs w:val="24"/>
                <w:highlight w:val="none"/>
              </w:rPr>
            </w:pPr>
            <w:bookmarkStart w:id="2" w:name="OLE_LINK38"/>
            <w:bookmarkStart w:id="3" w:name="_Hlk136793942"/>
            <w:r>
              <w:rPr>
                <w:rFonts w:ascii="Times New Roman" w:hAnsi="Times New Roman" w:eastAsia="宋体" w:cs="Times New Roman"/>
                <w:color w:val="auto"/>
                <w:sz w:val="24"/>
                <w:szCs w:val="24"/>
                <w:highlight w:val="none"/>
              </w:rPr>
              <w:t>项目组成及规模</w:t>
            </w:r>
            <w:bookmarkEnd w:id="2"/>
          </w:p>
        </w:tc>
        <w:tc>
          <w:tcPr>
            <w:tcW w:w="8394" w:type="dxa"/>
            <w:tcBorders>
              <w:bottom w:val="single" w:color="auto" w:sz="4" w:space="0"/>
            </w:tcBorders>
          </w:tcPr>
          <w:p w14:paraId="397257E7">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1.项目概况</w:t>
            </w:r>
          </w:p>
          <w:p w14:paraId="72A3142E">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项目名称：准噶尔盆地阜康凹陷康探1块阜4803H、阜4805H井钻试工程项目</w:t>
            </w:r>
          </w:p>
          <w:p w14:paraId="754A0BB0">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建设单位：中国石油天然气股份有限公司吐哈油田分公司准东采油管理区</w:t>
            </w:r>
          </w:p>
          <w:p w14:paraId="34AF5D31">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建设地点：新疆昌吉回族自治州</w:t>
            </w:r>
          </w:p>
          <w:p w14:paraId="4696FD30">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建设性质：新建</w:t>
            </w:r>
          </w:p>
          <w:p w14:paraId="297BF2DB">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工程投资及环保投资：项目总投资3851.7万元，其中环保投资128万元，占工程总投资的3.32%。</w:t>
            </w:r>
          </w:p>
          <w:p w14:paraId="13207BED">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2.建设内容及规模</w:t>
            </w:r>
          </w:p>
          <w:p w14:paraId="603EE7B2">
            <w:pPr>
              <w:widowControl w:val="0"/>
              <w:kinsoku/>
              <w:spacing w:line="360" w:lineRule="auto"/>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lang w:eastAsia="zh-CN"/>
              </w:rPr>
              <w:t>本工程建设内容为新钻2口评价井，完井后进行试油，获取有关技术参数。项目主要建设内容包括钻前工程、钻井工程、试油工程。项目环评仅适用于工程钻试期，钻试结束后即封井或转为开发井。纳入区块产能开发工程中的，须另行组织区块及运营期环境影响评价。</w:t>
            </w:r>
            <w:r>
              <w:rPr>
                <w:rFonts w:ascii="Times New Roman" w:hAnsi="Times New Roman" w:eastAsia="宋体" w:cs="Times New Roman"/>
                <w:color w:val="auto"/>
                <w:sz w:val="24"/>
                <w:szCs w:val="24"/>
                <w:highlight w:val="none"/>
              </w:rPr>
              <w:t>本项目工程组成详见表2-</w:t>
            </w:r>
            <w:r>
              <w:rPr>
                <w:rFonts w:ascii="Times New Roman" w:hAnsi="Times New Roman" w:eastAsia="宋体" w:cs="Times New Roman"/>
                <w:color w:val="auto"/>
                <w:sz w:val="24"/>
                <w:szCs w:val="24"/>
                <w:highlight w:val="none"/>
                <w:lang w:eastAsia="zh-CN"/>
              </w:rPr>
              <w:t>2</w:t>
            </w:r>
            <w:r>
              <w:rPr>
                <w:rFonts w:ascii="Times New Roman" w:hAnsi="Times New Roman" w:eastAsia="宋体" w:cs="Times New Roman"/>
                <w:color w:val="auto"/>
                <w:sz w:val="24"/>
                <w:szCs w:val="24"/>
                <w:highlight w:val="none"/>
              </w:rPr>
              <w:t>。</w:t>
            </w:r>
            <w:bookmarkStart w:id="4" w:name="OLE_LINK39"/>
          </w:p>
          <w:p w14:paraId="684B8522">
            <w:pPr>
              <w:widowControl w:val="0"/>
              <w:kinsoku/>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b/>
                <w:bCs/>
                <w:color w:val="auto"/>
                <w:highlight w:val="none"/>
              </w:rPr>
              <w:t>表</w:t>
            </w:r>
            <w:r>
              <w:rPr>
                <w:rFonts w:ascii="Times New Roman" w:hAnsi="Times New Roman" w:eastAsia="宋体" w:cs="Times New Roman"/>
                <w:b/>
                <w:bCs/>
                <w:color w:val="auto"/>
                <w:highlight w:val="none"/>
                <w:lang w:eastAsia="zh-CN"/>
              </w:rPr>
              <w:t xml:space="preserve">2-2 </w:t>
            </w:r>
            <w:r>
              <w:rPr>
                <w:rFonts w:ascii="Times New Roman" w:hAnsi="Times New Roman" w:eastAsia="宋体" w:cs="Times New Roman"/>
                <w:b/>
                <w:bCs/>
                <w:color w:val="auto"/>
                <w:highlight w:val="none"/>
              </w:rPr>
              <w:t>工程组成一览表</w:t>
            </w:r>
          </w:p>
          <w:bookmarkEnd w:id="4"/>
          <w:tbl>
            <w:tblPr>
              <w:tblStyle w:val="15"/>
              <w:tblW w:w="491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12"/>
              <w:gridCol w:w="627"/>
              <w:gridCol w:w="1319"/>
              <w:gridCol w:w="5652"/>
            </w:tblGrid>
            <w:tr w14:paraId="49C050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tblHeader/>
                <w:jc w:val="center"/>
              </w:trPr>
              <w:tc>
                <w:tcPr>
                  <w:tcW w:w="373" w:type="pct"/>
                  <w:tcBorders>
                    <w:top w:val="single" w:color="auto" w:sz="4" w:space="0"/>
                    <w:left w:val="single" w:color="auto" w:sz="0" w:space="0"/>
                    <w:bottom w:val="single" w:color="auto" w:sz="4" w:space="0"/>
                    <w:right w:val="single" w:color="auto" w:sz="4" w:space="0"/>
                  </w:tcBorders>
                  <w:vAlign w:val="center"/>
                </w:tcPr>
                <w:p w14:paraId="343F51A7">
                  <w:pPr>
                    <w:kinsoku/>
                    <w:spacing w:line="300" w:lineRule="exact"/>
                    <w:jc w:val="center"/>
                    <w:rPr>
                      <w:rFonts w:ascii="Times New Roman" w:hAnsi="Times New Roman" w:eastAsia="宋体" w:cs="Times New Roman"/>
                      <w:b/>
                      <w:bCs/>
                      <w:color w:val="auto"/>
                      <w:highlight w:val="none"/>
                    </w:rPr>
                  </w:pPr>
                  <w:bookmarkStart w:id="5" w:name="OLE_LINK54"/>
                  <w:bookmarkStart w:id="6" w:name="_Hlk176172371"/>
                  <w:bookmarkStart w:id="7" w:name="_Ref19637151"/>
                  <w:r>
                    <w:rPr>
                      <w:rFonts w:ascii="Times New Roman" w:hAnsi="Times New Roman" w:eastAsia="宋体" w:cs="Times New Roman"/>
                      <w:b/>
                      <w:bCs/>
                      <w:color w:val="auto"/>
                      <w:highlight w:val="none"/>
                    </w:rPr>
                    <w:t>工程组成</w:t>
                  </w:r>
                </w:p>
              </w:tc>
              <w:tc>
                <w:tcPr>
                  <w:tcW w:w="4627" w:type="pct"/>
                  <w:gridSpan w:val="3"/>
                  <w:tcBorders>
                    <w:top w:val="single" w:color="auto" w:sz="4" w:space="0"/>
                    <w:left w:val="single" w:color="auto" w:sz="4" w:space="0"/>
                    <w:bottom w:val="single" w:color="auto" w:sz="4" w:space="0"/>
                    <w:right w:val="single" w:color="auto" w:sz="4" w:space="0"/>
                  </w:tcBorders>
                  <w:vAlign w:val="center"/>
                </w:tcPr>
                <w:p w14:paraId="7C2C4782">
                  <w:pPr>
                    <w:kinsoku/>
                    <w:spacing w:line="30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工程内容</w:t>
                  </w:r>
                </w:p>
              </w:tc>
            </w:tr>
            <w:tr w14:paraId="7250A5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bottom w:val="single" w:color="auto" w:sz="4" w:space="0"/>
                    <w:right w:val="single" w:color="auto" w:sz="4" w:space="0"/>
                  </w:tcBorders>
                  <w:vAlign w:val="center"/>
                </w:tcPr>
                <w:p w14:paraId="71D34AD7">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主体工程</w:t>
                  </w: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51EAFEA9">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钻前工程</w:t>
                  </w:r>
                </w:p>
              </w:tc>
              <w:tc>
                <w:tcPr>
                  <w:tcW w:w="3442" w:type="pct"/>
                  <w:tcBorders>
                    <w:top w:val="single" w:color="auto" w:sz="4" w:space="0"/>
                    <w:left w:val="single" w:color="auto" w:sz="4" w:space="0"/>
                    <w:bottom w:val="single" w:color="auto" w:sz="4" w:space="0"/>
                    <w:right w:val="single" w:color="auto" w:sz="4" w:space="0"/>
                  </w:tcBorders>
                  <w:vAlign w:val="center"/>
                </w:tcPr>
                <w:p w14:paraId="3F386A3E">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三通一平后，对钻井设备基础修建，临时场区划分、钻机及其配套设备搬迁、安装等</w:t>
                  </w:r>
                </w:p>
              </w:tc>
            </w:tr>
            <w:tr w14:paraId="665DC0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1AFCB01B">
                  <w:pPr>
                    <w:kinsoku/>
                    <w:spacing w:line="300" w:lineRule="exact"/>
                    <w:jc w:val="center"/>
                    <w:rPr>
                      <w:rFonts w:ascii="Times New Roman" w:hAnsi="Times New Roman" w:eastAsia="宋体" w:cs="Times New Roman"/>
                      <w:color w:val="auto"/>
                      <w:highlight w:val="none"/>
                      <w:lang w:eastAsia="zh-CN"/>
                    </w:rPr>
                  </w:pPr>
                  <w:bookmarkStart w:id="8" w:name="_Hlk186369386"/>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6AFCC383">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钻井工程</w:t>
                  </w:r>
                </w:p>
              </w:tc>
              <w:tc>
                <w:tcPr>
                  <w:tcW w:w="3442" w:type="pct"/>
                  <w:tcBorders>
                    <w:top w:val="single" w:color="auto" w:sz="4" w:space="0"/>
                    <w:left w:val="single" w:color="auto" w:sz="4" w:space="0"/>
                    <w:bottom w:val="single" w:color="auto" w:sz="4" w:space="0"/>
                    <w:right w:val="single" w:color="auto" w:sz="4" w:space="0"/>
                  </w:tcBorders>
                  <w:vAlign w:val="center"/>
                </w:tcPr>
                <w:p w14:paraId="7DE57245">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新钻评价井阜4803H、阜4805H，井型均为水平井，三开井身结构，设计井深分别为5410m、6992m。单井</w:t>
                  </w:r>
                  <w:r>
                    <w:rPr>
                      <w:rFonts w:ascii="Times New Roman" w:hAnsi="Times New Roman" w:eastAsia="宋体" w:cs="Times New Roman"/>
                      <w:color w:val="auto"/>
                      <w:highlight w:val="none"/>
                      <w:lang w:eastAsia="zh-CN"/>
                    </w:rPr>
                    <w:t>钻井期为90天</w:t>
                  </w:r>
                </w:p>
              </w:tc>
            </w:tr>
            <w:bookmarkEnd w:id="8"/>
            <w:tr w14:paraId="7D0770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35B546D9">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66BCDCC">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试油工程</w:t>
                  </w:r>
                </w:p>
              </w:tc>
              <w:tc>
                <w:tcPr>
                  <w:tcW w:w="3442" w:type="pct"/>
                  <w:tcBorders>
                    <w:top w:val="single" w:color="auto" w:sz="4" w:space="0"/>
                    <w:left w:val="single" w:color="auto" w:sz="4" w:space="0"/>
                    <w:bottom w:val="single" w:color="auto" w:sz="4" w:space="0"/>
                    <w:right w:val="single" w:color="auto" w:sz="4" w:space="0"/>
                  </w:tcBorders>
                  <w:vAlign w:val="center"/>
                </w:tcPr>
                <w:p w14:paraId="70C2D237">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主要包括试油准备、储层改造和试油，对完钻井进行通井、洗井、试压、射孔、诱喷、压裂、求产等工序，并配套洗井液注入泵等试油设备，记录油气产量；试油期为300天</w:t>
                  </w:r>
                </w:p>
              </w:tc>
            </w:tr>
            <w:tr w14:paraId="6C7F71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16B4E01">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C9C39BB">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完井</w:t>
                  </w:r>
                  <w:r>
                    <w:rPr>
                      <w:rFonts w:ascii="Times New Roman" w:hAnsi="Times New Roman" w:eastAsia="宋体" w:cs="Times New Roman"/>
                      <w:color w:val="auto"/>
                      <w:highlight w:val="none"/>
                      <w:lang w:eastAsia="zh-CN"/>
                    </w:rPr>
                    <w:t>工程</w:t>
                  </w:r>
                </w:p>
              </w:tc>
              <w:tc>
                <w:tcPr>
                  <w:tcW w:w="3442" w:type="pct"/>
                  <w:tcBorders>
                    <w:top w:val="single" w:color="auto" w:sz="4" w:space="0"/>
                    <w:left w:val="single" w:color="auto" w:sz="4" w:space="0"/>
                    <w:bottom w:val="single" w:color="auto" w:sz="4" w:space="0"/>
                    <w:right w:val="single" w:color="auto" w:sz="4" w:space="0"/>
                  </w:tcBorders>
                  <w:vAlign w:val="center"/>
                </w:tcPr>
                <w:p w14:paraId="005F8BB6">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根据试油结果进行关井或封井作业，最后撤去所有生产设施，清理、平整井场及场地恢复</w:t>
                  </w:r>
                </w:p>
              </w:tc>
            </w:tr>
            <w:tr w14:paraId="482AC3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right w:val="single" w:color="auto" w:sz="4" w:space="0"/>
                  </w:tcBorders>
                  <w:vAlign w:val="center"/>
                </w:tcPr>
                <w:p w14:paraId="70287D90">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辅助工程</w:t>
                  </w: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5C65F951">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放喷设施</w:t>
                  </w:r>
                </w:p>
              </w:tc>
              <w:tc>
                <w:tcPr>
                  <w:tcW w:w="3442" w:type="pct"/>
                  <w:tcBorders>
                    <w:top w:val="single" w:color="auto" w:sz="4" w:space="0"/>
                    <w:left w:val="single" w:color="auto" w:sz="4" w:space="0"/>
                    <w:bottom w:val="single" w:color="auto" w:sz="4" w:space="0"/>
                    <w:right w:val="single" w:color="auto" w:sz="4" w:space="0"/>
                  </w:tcBorders>
                  <w:vAlign w:val="center"/>
                </w:tcPr>
                <w:p w14:paraId="4F1A89F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各钻井左右两侧各设置1条放喷管线，试油井口两侧分别设置放喷、压井管线。</w:t>
                  </w:r>
                </w:p>
              </w:tc>
            </w:tr>
            <w:tr w14:paraId="513444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2B9B2DB7">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7B359700">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井控系统</w:t>
                  </w:r>
                </w:p>
              </w:tc>
              <w:tc>
                <w:tcPr>
                  <w:tcW w:w="3442" w:type="pct"/>
                  <w:tcBorders>
                    <w:top w:val="single" w:color="auto" w:sz="4" w:space="0"/>
                    <w:left w:val="single" w:color="auto" w:sz="4" w:space="0"/>
                    <w:bottom w:val="single" w:color="auto" w:sz="4" w:space="0"/>
                    <w:right w:val="single" w:color="auto" w:sz="4" w:space="0"/>
                  </w:tcBorders>
                  <w:vAlign w:val="center"/>
                </w:tcPr>
                <w:p w14:paraId="51EECCD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各钻井、试油井口设置1套井控系统，防止钻井及试油时产生井喷</w:t>
                  </w:r>
                </w:p>
              </w:tc>
            </w:tr>
            <w:tr w14:paraId="0BBDBD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5D338190">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1BFE6694">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钻井动力系统</w:t>
                  </w:r>
                </w:p>
              </w:tc>
              <w:tc>
                <w:tcPr>
                  <w:tcW w:w="3442" w:type="pct"/>
                  <w:tcBorders>
                    <w:top w:val="single" w:color="auto" w:sz="4" w:space="0"/>
                    <w:left w:val="single" w:color="auto" w:sz="4" w:space="0"/>
                    <w:bottom w:val="single" w:color="auto" w:sz="4" w:space="0"/>
                    <w:right w:val="single" w:color="auto" w:sz="4" w:space="0"/>
                  </w:tcBorders>
                  <w:vAlign w:val="center"/>
                </w:tcPr>
                <w:p w14:paraId="09B1F983">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各井场设置柴油机为动力系统</w:t>
                  </w:r>
                </w:p>
              </w:tc>
            </w:tr>
            <w:tr w14:paraId="1BA5C7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091AD594">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65804397">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不落地系统</w:t>
                  </w:r>
                </w:p>
              </w:tc>
              <w:tc>
                <w:tcPr>
                  <w:tcW w:w="3442" w:type="pct"/>
                  <w:tcBorders>
                    <w:top w:val="single" w:color="auto" w:sz="4" w:space="0"/>
                    <w:left w:val="single" w:color="auto" w:sz="4" w:space="0"/>
                    <w:bottom w:val="single" w:color="auto" w:sz="4" w:space="0"/>
                    <w:right w:val="single" w:color="auto" w:sz="4" w:space="0"/>
                  </w:tcBorders>
                  <w:vAlign w:val="center"/>
                </w:tcPr>
                <w:p w14:paraId="04ADD3DF">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各钻井设置1套钻井液不落地设备</w:t>
                  </w:r>
                </w:p>
              </w:tc>
            </w:tr>
            <w:tr w14:paraId="44D763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41E69A76">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46C079F5">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生活营地</w:t>
                  </w:r>
                </w:p>
              </w:tc>
              <w:tc>
                <w:tcPr>
                  <w:tcW w:w="3442" w:type="pct"/>
                  <w:tcBorders>
                    <w:top w:val="single" w:color="auto" w:sz="4" w:space="0"/>
                    <w:left w:val="single" w:color="auto" w:sz="4" w:space="0"/>
                    <w:bottom w:val="single" w:color="auto" w:sz="4" w:space="0"/>
                    <w:right w:val="single" w:color="auto" w:sz="4" w:space="0"/>
                  </w:tcBorders>
                  <w:vAlign w:val="center"/>
                </w:tcPr>
                <w:p w14:paraId="611384B8">
                  <w:pPr>
                    <w:kinsoku/>
                    <w:spacing w:line="300" w:lineRule="exact"/>
                    <w:jc w:val="both"/>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各井场分别设1个生活营地，临时占地2400m</w:t>
                  </w:r>
                  <w:r>
                    <w:rPr>
                      <w:rFonts w:ascii="Times New Roman" w:hAnsi="Times New Roman" w:eastAsia="宋体" w:cs="Times New Roman"/>
                      <w:color w:val="auto"/>
                      <w:highlight w:val="none"/>
                      <w:vertAlign w:val="superscript"/>
                      <w:lang w:eastAsia="zh-CN"/>
                    </w:rPr>
                    <w:t>2</w:t>
                  </w:r>
                  <w:r>
                    <w:rPr>
                      <w:rFonts w:ascii="Times New Roman" w:hAnsi="Times New Roman" w:eastAsia="宋体" w:cs="Times New Roman"/>
                      <w:color w:val="auto"/>
                      <w:highlight w:val="none"/>
                      <w:lang w:eastAsia="zh-CN"/>
                    </w:rPr>
                    <w:t>，本项目共占地4800m</w:t>
                  </w:r>
                  <w:r>
                    <w:rPr>
                      <w:rFonts w:ascii="Times New Roman" w:hAnsi="Times New Roman" w:eastAsia="宋体" w:cs="Times New Roman"/>
                      <w:color w:val="auto"/>
                      <w:highlight w:val="none"/>
                      <w:vertAlign w:val="superscript"/>
                      <w:lang w:eastAsia="zh-CN"/>
                    </w:rPr>
                    <w:t>2</w:t>
                  </w:r>
                  <w:r>
                    <w:rPr>
                      <w:rFonts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主要占地类型为灌木林地</w:t>
                  </w:r>
                </w:p>
              </w:tc>
            </w:tr>
            <w:tr w14:paraId="258B92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1600E71C">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3BAEE5C7">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油品储存区</w:t>
                  </w:r>
                </w:p>
              </w:tc>
              <w:tc>
                <w:tcPr>
                  <w:tcW w:w="3442" w:type="pct"/>
                  <w:tcBorders>
                    <w:top w:val="single" w:color="auto" w:sz="4" w:space="0"/>
                    <w:left w:val="single" w:color="auto" w:sz="4" w:space="0"/>
                    <w:bottom w:val="single" w:color="auto" w:sz="4" w:space="0"/>
                    <w:right w:val="single" w:color="auto" w:sz="4" w:space="0"/>
                  </w:tcBorders>
                  <w:vAlign w:val="center"/>
                </w:tcPr>
                <w:p w14:paraId="3FB1DD82">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各个钻井场均设置一处油品储存区，油品储存区进行重点防渗</w:t>
                  </w:r>
                </w:p>
              </w:tc>
            </w:tr>
            <w:bookmarkEnd w:id="5"/>
            <w:tr w14:paraId="4C88D3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bottom w:val="single" w:color="auto" w:sz="4" w:space="0"/>
                    <w:right w:val="single" w:color="auto" w:sz="4" w:space="0"/>
                  </w:tcBorders>
                  <w:vAlign w:val="center"/>
                </w:tcPr>
                <w:p w14:paraId="767B5805">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公用工程</w:t>
                  </w: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74ECAE46">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供配电</w:t>
                  </w:r>
                </w:p>
              </w:tc>
              <w:tc>
                <w:tcPr>
                  <w:tcW w:w="3442" w:type="pct"/>
                  <w:tcBorders>
                    <w:top w:val="single" w:color="auto" w:sz="4" w:space="0"/>
                    <w:left w:val="single" w:color="auto" w:sz="4" w:space="0"/>
                    <w:bottom w:val="single" w:color="auto" w:sz="4" w:space="0"/>
                    <w:right w:val="single" w:color="auto" w:sz="4" w:space="0"/>
                  </w:tcBorders>
                  <w:vAlign w:val="center"/>
                </w:tcPr>
                <w:p w14:paraId="36E6BA60">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各钻试场钻机、办公等通过柴油发电机供电</w:t>
                  </w:r>
                </w:p>
              </w:tc>
            </w:tr>
            <w:tr w14:paraId="518B9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38384B1A">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62A5E9E7">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给水</w:t>
                  </w:r>
                </w:p>
              </w:tc>
              <w:tc>
                <w:tcPr>
                  <w:tcW w:w="3442" w:type="pct"/>
                  <w:tcBorders>
                    <w:top w:val="single" w:color="auto" w:sz="4" w:space="0"/>
                    <w:left w:val="single" w:color="auto" w:sz="4" w:space="0"/>
                    <w:bottom w:val="single" w:color="auto" w:sz="4" w:space="0"/>
                    <w:right w:val="single" w:color="auto" w:sz="4" w:space="0"/>
                  </w:tcBorders>
                  <w:vAlign w:val="center"/>
                </w:tcPr>
                <w:p w14:paraId="120B2B5F">
                  <w:pPr>
                    <w:kinsoku/>
                    <w:spacing w:line="300" w:lineRule="exact"/>
                    <w:jc w:val="both"/>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lang w:eastAsia="zh-CN"/>
                    </w:rPr>
                    <w:t>各钻试场项目用水从就近村庄拉运至钻试场</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运输距离约6km</w:t>
                  </w:r>
                </w:p>
              </w:tc>
            </w:tr>
            <w:tr w14:paraId="2E87E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732A03DF">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DE372EE">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供热</w:t>
                  </w:r>
                </w:p>
              </w:tc>
              <w:tc>
                <w:tcPr>
                  <w:tcW w:w="3442" w:type="pct"/>
                  <w:tcBorders>
                    <w:top w:val="single" w:color="auto" w:sz="4" w:space="0"/>
                    <w:left w:val="single" w:color="auto" w:sz="4" w:space="0"/>
                    <w:bottom w:val="single" w:color="auto" w:sz="4" w:space="0"/>
                    <w:right w:val="single" w:color="auto" w:sz="4" w:space="0"/>
                  </w:tcBorders>
                  <w:vAlign w:val="center"/>
                </w:tcPr>
                <w:p w14:paraId="09BCE41D">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冬季施工阶段，本项目各井场新建1台2.5t/h的生物质蒸汽锅炉（型号：DZS2.5-0.8-SCⅡ），对井口、泥浆罐、水罐、钻井平台通过管线进行保温</w:t>
                  </w:r>
                </w:p>
              </w:tc>
            </w:tr>
            <w:tr w14:paraId="2F4793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E253F34">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65F66F87">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道路</w:t>
                  </w:r>
                </w:p>
              </w:tc>
              <w:tc>
                <w:tcPr>
                  <w:tcW w:w="3442" w:type="pct"/>
                  <w:tcBorders>
                    <w:top w:val="single" w:color="auto" w:sz="4" w:space="0"/>
                    <w:left w:val="single" w:color="auto" w:sz="4" w:space="0"/>
                    <w:bottom w:val="single" w:color="auto" w:sz="4" w:space="0"/>
                    <w:right w:val="single" w:color="auto" w:sz="4" w:space="0"/>
                  </w:tcBorders>
                  <w:vAlign w:val="center"/>
                </w:tcPr>
                <w:p w14:paraId="3A216C6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修建可到达井场的简易道路，临时道路532m，宽度9m，道路占地面积4781m</w:t>
                  </w:r>
                  <w:r>
                    <w:rPr>
                      <w:rFonts w:ascii="Times New Roman" w:hAnsi="Times New Roman" w:eastAsia="宋体" w:cs="Times New Roman"/>
                      <w:color w:val="auto"/>
                      <w:highlight w:val="none"/>
                      <w:vertAlign w:val="superscript"/>
                      <w:lang w:eastAsia="zh-CN"/>
                    </w:rPr>
                    <w:t>2</w:t>
                  </w:r>
                </w:p>
              </w:tc>
            </w:tr>
            <w:tr w14:paraId="2C26C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67DFC8C2">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F259F2F">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消防</w:t>
                  </w:r>
                </w:p>
              </w:tc>
              <w:tc>
                <w:tcPr>
                  <w:tcW w:w="3442" w:type="pct"/>
                  <w:tcBorders>
                    <w:top w:val="single" w:color="auto" w:sz="4" w:space="0"/>
                    <w:left w:val="single" w:color="auto" w:sz="4" w:space="0"/>
                    <w:bottom w:val="single" w:color="auto" w:sz="4" w:space="0"/>
                    <w:right w:val="single" w:color="auto" w:sz="4" w:space="0"/>
                  </w:tcBorders>
                  <w:vAlign w:val="center"/>
                </w:tcPr>
                <w:p w14:paraId="31588659">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各井场按规范配置一定数量的消防器材</w:t>
                  </w:r>
                </w:p>
              </w:tc>
            </w:tr>
            <w:tr w14:paraId="7FD62A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right w:val="single" w:color="auto" w:sz="4" w:space="0"/>
                  </w:tcBorders>
                  <w:vAlign w:val="center"/>
                </w:tcPr>
                <w:p w14:paraId="66C4D695">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储运工程</w:t>
                  </w: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868F855">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钻井、固井材料储存区</w:t>
                  </w:r>
                </w:p>
              </w:tc>
              <w:tc>
                <w:tcPr>
                  <w:tcW w:w="3442" w:type="pct"/>
                  <w:tcBorders>
                    <w:top w:val="single" w:color="auto" w:sz="4" w:space="0"/>
                    <w:left w:val="single" w:color="auto" w:sz="4" w:space="0"/>
                    <w:bottom w:val="single" w:color="auto" w:sz="4" w:space="0"/>
                    <w:right w:val="single" w:color="auto" w:sz="4" w:space="0"/>
                  </w:tcBorders>
                  <w:vAlign w:val="center"/>
                </w:tcPr>
                <w:p w14:paraId="5E0BA56D">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各井场内设置1处材料堆存区，</w:t>
                  </w:r>
                  <w:r>
                    <w:rPr>
                      <w:rFonts w:hint="eastAsia" w:ascii="Times New Roman" w:hAnsi="Times New Roman" w:eastAsia="宋体" w:cs="Times New Roman"/>
                      <w:color w:val="auto"/>
                      <w:highlight w:val="none"/>
                      <w:lang w:val="en-US" w:eastAsia="zh-CN"/>
                    </w:rPr>
                    <w:t>冬季</w:t>
                  </w:r>
                  <w:r>
                    <w:rPr>
                      <w:rFonts w:ascii="Times New Roman" w:hAnsi="Times New Roman" w:eastAsia="宋体" w:cs="Times New Roman"/>
                      <w:color w:val="auto"/>
                      <w:highlight w:val="none"/>
                      <w:lang w:eastAsia="zh-CN"/>
                    </w:rPr>
                    <w:t>修建保温棚，泥浆材料上盖</w:t>
                  </w:r>
                  <w:r>
                    <w:rPr>
                      <w:rFonts w:hint="eastAsia" w:ascii="Times New Roman" w:hAnsi="Times New Roman" w:eastAsia="宋体" w:cs="Times New Roman"/>
                      <w:color w:val="auto"/>
                      <w:highlight w:val="none"/>
                      <w:lang w:val="en-US" w:eastAsia="zh-CN"/>
                    </w:rPr>
                    <w:t>下铺</w:t>
                  </w:r>
                  <w:r>
                    <w:rPr>
                      <w:rFonts w:ascii="Times New Roman" w:hAnsi="Times New Roman" w:eastAsia="宋体" w:cs="Times New Roman"/>
                      <w:color w:val="auto"/>
                      <w:highlight w:val="none"/>
                      <w:lang w:eastAsia="zh-CN"/>
                    </w:rPr>
                    <w:t>，地面防渗处理</w:t>
                  </w:r>
                </w:p>
              </w:tc>
            </w:tr>
            <w:tr w14:paraId="5849D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562B48E6">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55988C20">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危险废物临时贮存间</w:t>
                  </w:r>
                </w:p>
              </w:tc>
              <w:tc>
                <w:tcPr>
                  <w:tcW w:w="3442" w:type="pct"/>
                  <w:tcBorders>
                    <w:top w:val="single" w:color="auto" w:sz="4" w:space="0"/>
                    <w:left w:val="single" w:color="auto" w:sz="4" w:space="0"/>
                    <w:bottom w:val="single" w:color="auto" w:sz="4" w:space="0"/>
                    <w:right w:val="single" w:color="auto" w:sz="4" w:space="0"/>
                  </w:tcBorders>
                  <w:vAlign w:val="center"/>
                </w:tcPr>
                <w:p w14:paraId="58448908">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机械设备产生的废机油，按照《危险废物贮存污染控制标准》（GB18597-2023）等的相关要求在井场设置的1座危险废物临时贮存间，位于不落地系统旁，采用防渗处理，防渗性能按重点防渗区执行，应满足等效黏土防渗层Mb≥6.0m，K≤10</w:t>
                  </w:r>
                  <w:r>
                    <w:rPr>
                      <w:rFonts w:ascii="Times New Roman" w:hAnsi="Times New Roman" w:eastAsia="宋体" w:cs="Times New Roman"/>
                      <w:color w:val="auto"/>
                      <w:highlight w:val="none"/>
                      <w:vertAlign w:val="superscript"/>
                      <w:lang w:eastAsia="zh-CN"/>
                    </w:rPr>
                    <w:t>-7</w:t>
                  </w:r>
                  <w:r>
                    <w:rPr>
                      <w:rFonts w:ascii="Times New Roman" w:hAnsi="Times New Roman" w:eastAsia="宋体" w:cs="Times New Roman"/>
                      <w:color w:val="auto"/>
                      <w:highlight w:val="none"/>
                      <w:lang w:eastAsia="zh-CN"/>
                    </w:rPr>
                    <w:t>cm/s，或2mm厚高密度聚乙烯，或至少2mm厚的其他人工材料（渗透系数≤10</w:t>
                  </w:r>
                  <w:r>
                    <w:rPr>
                      <w:rFonts w:ascii="Times New Roman" w:hAnsi="Times New Roman" w:eastAsia="宋体" w:cs="Times New Roman"/>
                      <w:color w:val="auto"/>
                      <w:highlight w:val="none"/>
                      <w:vertAlign w:val="superscript"/>
                      <w:lang w:eastAsia="zh-CN"/>
                    </w:rPr>
                    <w:t>-10</w:t>
                  </w:r>
                  <w:r>
                    <w:rPr>
                      <w:rFonts w:ascii="Times New Roman" w:hAnsi="Times New Roman" w:eastAsia="宋体" w:cs="Times New Roman"/>
                      <w:color w:val="auto"/>
                      <w:highlight w:val="none"/>
                      <w:lang w:eastAsia="zh-CN"/>
                    </w:rPr>
                    <w:t>cm/s）</w:t>
                  </w:r>
                </w:p>
              </w:tc>
            </w:tr>
            <w:tr w14:paraId="2A1599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right w:val="single" w:color="auto" w:sz="4" w:space="0"/>
                  </w:tcBorders>
                  <w:vAlign w:val="center"/>
                </w:tcPr>
                <w:p w14:paraId="23C3D544">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AD95F68">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油</w:t>
                  </w:r>
                  <w:r>
                    <w:rPr>
                      <w:rFonts w:ascii="Times New Roman" w:hAnsi="Times New Roman" w:eastAsia="宋体" w:cs="Times New Roman"/>
                      <w:color w:val="auto"/>
                      <w:highlight w:val="none"/>
                    </w:rPr>
                    <w:t>罐区</w:t>
                  </w:r>
                </w:p>
              </w:tc>
              <w:tc>
                <w:tcPr>
                  <w:tcW w:w="3442" w:type="pct"/>
                  <w:tcBorders>
                    <w:top w:val="single" w:color="auto" w:sz="4" w:space="0"/>
                    <w:left w:val="single" w:color="auto" w:sz="4" w:space="0"/>
                    <w:bottom w:val="single" w:color="auto" w:sz="4" w:space="0"/>
                    <w:right w:val="single" w:color="auto" w:sz="4" w:space="0"/>
                  </w:tcBorders>
                  <w:vAlign w:val="center"/>
                </w:tcPr>
                <w:p w14:paraId="702DDA1E">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每个井场内设置1个60m</w:t>
                  </w:r>
                  <w:r>
                    <w:rPr>
                      <w:rFonts w:ascii="Times New Roman" w:hAnsi="Times New Roman" w:eastAsia="宋体" w:cs="Times New Roman"/>
                      <w:color w:val="auto"/>
                      <w:highlight w:val="none"/>
                      <w:vertAlign w:val="superscript"/>
                      <w:lang w:eastAsia="zh-CN"/>
                    </w:rPr>
                    <w:t>3</w:t>
                  </w:r>
                  <w:r>
                    <w:rPr>
                      <w:rFonts w:ascii="Times New Roman" w:hAnsi="Times New Roman" w:eastAsia="宋体" w:cs="Times New Roman"/>
                      <w:color w:val="auto"/>
                      <w:highlight w:val="none"/>
                      <w:lang w:eastAsia="zh-CN"/>
                    </w:rPr>
                    <w:t>原油临时储罐，设置围堰；底部防渗，防渗性能不应低于6.0m厚渗透系数为1.0×10</w:t>
                  </w:r>
                  <w:r>
                    <w:rPr>
                      <w:rFonts w:ascii="Times New Roman" w:hAnsi="Times New Roman" w:eastAsia="宋体" w:cs="Times New Roman"/>
                      <w:color w:val="auto"/>
                      <w:highlight w:val="none"/>
                      <w:vertAlign w:val="superscript"/>
                      <w:lang w:eastAsia="zh-CN"/>
                    </w:rPr>
                    <w:t>-7</w:t>
                  </w:r>
                  <w:r>
                    <w:rPr>
                      <w:rFonts w:ascii="Times New Roman" w:hAnsi="Times New Roman" w:eastAsia="宋体" w:cs="Times New Roman"/>
                      <w:color w:val="auto"/>
                      <w:highlight w:val="none"/>
                      <w:lang w:eastAsia="zh-CN"/>
                    </w:rPr>
                    <w:t>cm/s的黏土层</w:t>
                  </w:r>
                </w:p>
              </w:tc>
            </w:tr>
            <w:tr w14:paraId="45D130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left w:val="single" w:color="auto" w:sz="4" w:space="0"/>
                    <w:bottom w:val="single" w:color="auto" w:sz="4" w:space="0"/>
                    <w:right w:val="single" w:color="auto" w:sz="4" w:space="0"/>
                  </w:tcBorders>
                  <w:vAlign w:val="center"/>
                </w:tcPr>
                <w:p w14:paraId="19B72C8B">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23349E46">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泥浆储备罐区</w:t>
                  </w:r>
                </w:p>
              </w:tc>
              <w:tc>
                <w:tcPr>
                  <w:tcW w:w="3442" w:type="pct"/>
                  <w:tcBorders>
                    <w:top w:val="single" w:color="auto" w:sz="4" w:space="0"/>
                    <w:left w:val="single" w:color="auto" w:sz="4" w:space="0"/>
                    <w:bottom w:val="single" w:color="auto" w:sz="4" w:space="0"/>
                    <w:right w:val="single" w:color="auto" w:sz="4" w:space="0"/>
                  </w:tcBorders>
                  <w:vAlign w:val="center"/>
                </w:tcPr>
                <w:p w14:paraId="34A8ABBD">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位于泥浆循环系统区域，用于储备压井泥浆。罐区周边设置围堰</w:t>
                  </w:r>
                </w:p>
              </w:tc>
            </w:tr>
            <w:tr w14:paraId="39F6E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restart"/>
                  <w:tcBorders>
                    <w:top w:val="single" w:color="auto" w:sz="4" w:space="0"/>
                    <w:left w:val="single" w:color="auto" w:sz="4" w:space="0"/>
                    <w:bottom w:val="single" w:color="auto" w:sz="4" w:space="0"/>
                    <w:right w:val="single" w:color="auto" w:sz="4" w:space="0"/>
                  </w:tcBorders>
                  <w:vAlign w:val="center"/>
                </w:tcPr>
                <w:p w14:paraId="052B4EA3">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环保工程</w:t>
                  </w:r>
                </w:p>
              </w:tc>
              <w:tc>
                <w:tcPr>
                  <w:tcW w:w="382" w:type="pct"/>
                  <w:vMerge w:val="restart"/>
                  <w:tcBorders>
                    <w:top w:val="single" w:color="auto" w:sz="4" w:space="0"/>
                    <w:left w:val="single" w:color="auto" w:sz="4" w:space="0"/>
                    <w:bottom w:val="single" w:color="auto" w:sz="4" w:space="0"/>
                    <w:right w:val="single" w:color="auto" w:sz="4" w:space="0"/>
                  </w:tcBorders>
                  <w:vAlign w:val="center"/>
                </w:tcPr>
                <w:p w14:paraId="69748680">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废气</w:t>
                  </w:r>
                </w:p>
              </w:tc>
              <w:tc>
                <w:tcPr>
                  <w:tcW w:w="803" w:type="pct"/>
                  <w:tcBorders>
                    <w:top w:val="single" w:color="auto" w:sz="4" w:space="0"/>
                    <w:left w:val="single" w:color="auto" w:sz="4" w:space="0"/>
                    <w:bottom w:val="single" w:color="auto" w:sz="4" w:space="0"/>
                    <w:right w:val="single" w:color="auto" w:sz="4" w:space="0"/>
                  </w:tcBorders>
                  <w:vAlign w:val="center"/>
                </w:tcPr>
                <w:p w14:paraId="3658BAB0">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伴生气</w:t>
                  </w:r>
                </w:p>
              </w:tc>
              <w:tc>
                <w:tcPr>
                  <w:tcW w:w="3442" w:type="pct"/>
                  <w:tcBorders>
                    <w:top w:val="single" w:color="auto" w:sz="4" w:space="0"/>
                    <w:left w:val="single" w:color="auto" w:sz="4" w:space="0"/>
                    <w:bottom w:val="single" w:color="auto" w:sz="4" w:space="0"/>
                    <w:right w:val="single" w:color="auto" w:sz="4" w:space="0"/>
                  </w:tcBorders>
                  <w:vAlign w:val="center"/>
                </w:tcPr>
                <w:p w14:paraId="04FEB1C8">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伴生气通过排气管线充分燃烧后放空</w:t>
                  </w:r>
                </w:p>
              </w:tc>
            </w:tr>
            <w:tr w14:paraId="4B8929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515BEF0F">
                  <w:pPr>
                    <w:kinsoku/>
                    <w:spacing w:line="300" w:lineRule="exact"/>
                    <w:jc w:val="center"/>
                    <w:rPr>
                      <w:rFonts w:ascii="Times New Roman" w:hAnsi="Times New Roman" w:eastAsia="宋体" w:cs="Times New Roman"/>
                      <w:color w:val="auto"/>
                      <w:highlight w:val="none"/>
                      <w:lang w:eastAsia="zh-CN"/>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4EEEF820">
                  <w:pPr>
                    <w:kinsoku/>
                    <w:spacing w:line="300" w:lineRule="exact"/>
                    <w:jc w:val="center"/>
                    <w:rPr>
                      <w:rFonts w:ascii="Times New Roman" w:hAnsi="Times New Roman" w:eastAsia="宋体" w:cs="Times New Roman"/>
                      <w:color w:val="auto"/>
                      <w:highlight w:val="none"/>
                      <w:lang w:eastAsia="zh-CN"/>
                    </w:rPr>
                  </w:pPr>
                </w:p>
              </w:tc>
              <w:tc>
                <w:tcPr>
                  <w:tcW w:w="803" w:type="pct"/>
                  <w:tcBorders>
                    <w:top w:val="single" w:color="auto" w:sz="4" w:space="0"/>
                    <w:left w:val="single" w:color="auto" w:sz="4" w:space="0"/>
                    <w:bottom w:val="single" w:color="auto" w:sz="4" w:space="0"/>
                    <w:right w:val="single" w:color="auto" w:sz="4" w:space="0"/>
                  </w:tcBorders>
                  <w:vAlign w:val="center"/>
                </w:tcPr>
                <w:p w14:paraId="40B1D01F">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施工扬尘</w:t>
                  </w:r>
                </w:p>
              </w:tc>
              <w:tc>
                <w:tcPr>
                  <w:tcW w:w="3442" w:type="pct"/>
                  <w:tcBorders>
                    <w:top w:val="single" w:color="auto" w:sz="4" w:space="0"/>
                    <w:left w:val="single" w:color="auto" w:sz="4" w:space="0"/>
                    <w:bottom w:val="single" w:color="auto" w:sz="4" w:space="0"/>
                    <w:right w:val="single" w:color="auto" w:sz="4" w:space="0"/>
                  </w:tcBorders>
                  <w:vAlign w:val="center"/>
                </w:tcPr>
                <w:p w14:paraId="008A0FB4">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对易起尘物料进行遮盖；加强车辆管理等措施；场区洒水抑尘措施</w:t>
                  </w:r>
                </w:p>
              </w:tc>
            </w:tr>
            <w:tr w14:paraId="058A8F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67F9E96A">
                  <w:pPr>
                    <w:kinsoku/>
                    <w:spacing w:line="300" w:lineRule="exact"/>
                    <w:jc w:val="center"/>
                    <w:rPr>
                      <w:rFonts w:ascii="Times New Roman" w:hAnsi="Times New Roman" w:eastAsia="宋体" w:cs="Times New Roman"/>
                      <w:color w:val="auto"/>
                      <w:highlight w:val="none"/>
                      <w:lang w:eastAsia="zh-CN"/>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797C6431">
                  <w:pPr>
                    <w:kinsoku/>
                    <w:spacing w:line="300" w:lineRule="exact"/>
                    <w:jc w:val="center"/>
                    <w:rPr>
                      <w:rFonts w:ascii="Times New Roman" w:hAnsi="Times New Roman" w:eastAsia="宋体" w:cs="Times New Roman"/>
                      <w:color w:val="auto"/>
                      <w:highlight w:val="none"/>
                      <w:lang w:eastAsia="zh-CN"/>
                    </w:rPr>
                  </w:pPr>
                </w:p>
              </w:tc>
              <w:tc>
                <w:tcPr>
                  <w:tcW w:w="803" w:type="pct"/>
                  <w:tcBorders>
                    <w:top w:val="single" w:color="auto" w:sz="4" w:space="0"/>
                    <w:left w:val="single" w:color="auto" w:sz="4" w:space="0"/>
                    <w:bottom w:val="single" w:color="auto" w:sz="4" w:space="0"/>
                    <w:right w:val="single" w:color="auto" w:sz="4" w:space="0"/>
                  </w:tcBorders>
                  <w:vAlign w:val="center"/>
                </w:tcPr>
                <w:p w14:paraId="341CA017">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柴油发电</w:t>
                  </w:r>
                </w:p>
                <w:p w14:paraId="49366899">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机废气</w:t>
                  </w:r>
                </w:p>
              </w:tc>
              <w:tc>
                <w:tcPr>
                  <w:tcW w:w="3442" w:type="pct"/>
                  <w:tcBorders>
                    <w:top w:val="single" w:color="auto" w:sz="4" w:space="0"/>
                    <w:left w:val="single" w:color="auto" w:sz="4" w:space="0"/>
                    <w:bottom w:val="single" w:color="auto" w:sz="4" w:space="0"/>
                    <w:right w:val="single" w:color="auto" w:sz="4" w:space="0"/>
                  </w:tcBorders>
                  <w:vAlign w:val="center"/>
                </w:tcPr>
                <w:p w14:paraId="4757920B">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废气产生量较少，属无组织排放</w:t>
                  </w:r>
                </w:p>
              </w:tc>
            </w:tr>
            <w:tr w14:paraId="2EDA0F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FAB5ED8">
                  <w:pPr>
                    <w:kinsoku/>
                    <w:spacing w:line="300" w:lineRule="exact"/>
                    <w:jc w:val="center"/>
                    <w:rPr>
                      <w:rFonts w:ascii="Times New Roman" w:hAnsi="Times New Roman" w:eastAsia="宋体" w:cs="Times New Roman"/>
                      <w:color w:val="auto"/>
                      <w:highlight w:val="none"/>
                      <w:lang w:eastAsia="zh-CN"/>
                    </w:rPr>
                  </w:pPr>
                </w:p>
              </w:tc>
              <w:tc>
                <w:tcPr>
                  <w:tcW w:w="382" w:type="pct"/>
                  <w:vMerge w:val="restart"/>
                  <w:tcBorders>
                    <w:top w:val="single" w:color="auto" w:sz="4" w:space="0"/>
                    <w:left w:val="single" w:color="auto" w:sz="4" w:space="0"/>
                    <w:bottom w:val="single" w:color="auto" w:sz="4" w:space="0"/>
                    <w:right w:val="single" w:color="auto" w:sz="4" w:space="0"/>
                  </w:tcBorders>
                  <w:vAlign w:val="center"/>
                </w:tcPr>
                <w:p w14:paraId="5C625FCE">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w:t>
                  </w:r>
                </w:p>
              </w:tc>
              <w:tc>
                <w:tcPr>
                  <w:tcW w:w="803" w:type="pct"/>
                  <w:tcBorders>
                    <w:top w:val="single" w:color="auto" w:sz="4" w:space="0"/>
                    <w:left w:val="single" w:color="auto" w:sz="4" w:space="0"/>
                    <w:bottom w:val="single" w:color="auto" w:sz="4" w:space="0"/>
                    <w:right w:val="single" w:color="auto" w:sz="4" w:space="0"/>
                  </w:tcBorders>
                  <w:vAlign w:val="center"/>
                </w:tcPr>
                <w:p w14:paraId="45024BC9">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生活污水</w:t>
                  </w:r>
                </w:p>
              </w:tc>
              <w:tc>
                <w:tcPr>
                  <w:tcW w:w="3442" w:type="pct"/>
                  <w:tcBorders>
                    <w:top w:val="single" w:color="auto" w:sz="4" w:space="0"/>
                    <w:left w:val="single" w:color="auto" w:sz="4" w:space="0"/>
                    <w:bottom w:val="single" w:color="auto" w:sz="4" w:space="0"/>
                    <w:right w:val="single" w:color="auto" w:sz="4" w:space="0"/>
                  </w:tcBorders>
                  <w:vAlign w:val="center"/>
                </w:tcPr>
                <w:p w14:paraId="042231B8">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井场设1个移动厕所，生活污水排入移动厕所，移动厕所下铺防渗膜，防渗材料为HDPE防渗膜，厚度2mm，渗透系数≤10</w:t>
                  </w:r>
                  <w:r>
                    <w:rPr>
                      <w:rFonts w:ascii="Times New Roman" w:hAnsi="Times New Roman" w:eastAsia="宋体" w:cs="Times New Roman"/>
                      <w:color w:val="auto"/>
                      <w:highlight w:val="none"/>
                      <w:vertAlign w:val="superscript"/>
                      <w:lang w:eastAsia="zh-CN"/>
                    </w:rPr>
                    <w:t>-7</w:t>
                  </w:r>
                  <w:r>
                    <w:rPr>
                      <w:rFonts w:ascii="Times New Roman" w:hAnsi="Times New Roman" w:eastAsia="宋体" w:cs="Times New Roman"/>
                      <w:color w:val="auto"/>
                      <w:highlight w:val="none"/>
                      <w:lang w:eastAsia="zh-CN"/>
                    </w:rPr>
                    <w:t>cm/s，拉运至市政污水处理厂进行处理，确保生活污水不外排</w:t>
                  </w:r>
                </w:p>
              </w:tc>
            </w:tr>
            <w:tr w14:paraId="25C363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7E85E992">
                  <w:pPr>
                    <w:kinsoku/>
                    <w:spacing w:line="300" w:lineRule="exact"/>
                    <w:jc w:val="center"/>
                    <w:rPr>
                      <w:rFonts w:ascii="Times New Roman" w:hAnsi="Times New Roman" w:eastAsia="宋体" w:cs="Times New Roman"/>
                      <w:color w:val="auto"/>
                      <w:highlight w:val="none"/>
                      <w:lang w:eastAsia="zh-CN"/>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725E8244">
                  <w:pPr>
                    <w:kinsoku/>
                    <w:spacing w:line="300" w:lineRule="exact"/>
                    <w:jc w:val="center"/>
                    <w:rPr>
                      <w:rFonts w:ascii="Times New Roman" w:hAnsi="Times New Roman" w:eastAsia="宋体" w:cs="Times New Roman"/>
                      <w:color w:val="auto"/>
                      <w:highlight w:val="none"/>
                      <w:lang w:eastAsia="zh-CN"/>
                    </w:rPr>
                  </w:pPr>
                </w:p>
              </w:tc>
              <w:tc>
                <w:tcPr>
                  <w:tcW w:w="803" w:type="pct"/>
                  <w:tcBorders>
                    <w:top w:val="single" w:color="auto" w:sz="4" w:space="0"/>
                    <w:left w:val="single" w:color="auto" w:sz="4" w:space="0"/>
                    <w:bottom w:val="single" w:color="auto" w:sz="4" w:space="0"/>
                    <w:right w:val="single" w:color="auto" w:sz="4" w:space="0"/>
                  </w:tcBorders>
                  <w:vAlign w:val="center"/>
                </w:tcPr>
                <w:p w14:paraId="2EB87133">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洗井废水和压裂返排液</w:t>
                  </w:r>
                </w:p>
              </w:tc>
              <w:tc>
                <w:tcPr>
                  <w:tcW w:w="3442" w:type="pct"/>
                  <w:tcBorders>
                    <w:top w:val="single" w:color="auto" w:sz="4" w:space="0"/>
                    <w:left w:val="single" w:color="auto" w:sz="4" w:space="0"/>
                    <w:bottom w:val="single" w:color="auto" w:sz="4" w:space="0"/>
                    <w:right w:val="single" w:color="auto" w:sz="4" w:space="0"/>
                  </w:tcBorders>
                  <w:vAlign w:val="center"/>
                </w:tcPr>
                <w:p w14:paraId="74DB8D29">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项目井下作业废水采取带罐作业，井下作业废水全部回收，拉运到康探001临时拉油站中转运至吉28脱水站并处理达标后，全部回注油藏</w:t>
                  </w:r>
                </w:p>
              </w:tc>
            </w:tr>
            <w:tr w14:paraId="5D89B6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53D54D34">
                  <w:pPr>
                    <w:kinsoku/>
                    <w:spacing w:line="300" w:lineRule="exact"/>
                    <w:jc w:val="center"/>
                    <w:rPr>
                      <w:rFonts w:ascii="Times New Roman" w:hAnsi="Times New Roman" w:eastAsia="宋体" w:cs="Times New Roman"/>
                      <w:color w:val="auto"/>
                      <w:highlight w:val="none"/>
                      <w:lang w:eastAsia="zh-CN"/>
                    </w:rPr>
                  </w:pPr>
                </w:p>
              </w:tc>
              <w:tc>
                <w:tcPr>
                  <w:tcW w:w="382" w:type="pct"/>
                  <w:tcBorders>
                    <w:top w:val="single" w:color="auto" w:sz="4" w:space="0"/>
                    <w:left w:val="single" w:color="auto" w:sz="4" w:space="0"/>
                    <w:bottom w:val="single" w:color="auto" w:sz="4" w:space="0"/>
                    <w:right w:val="single" w:color="auto" w:sz="4" w:space="0"/>
                  </w:tcBorders>
                  <w:vAlign w:val="center"/>
                </w:tcPr>
                <w:p w14:paraId="38FFA90B">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噪声</w:t>
                  </w:r>
                </w:p>
              </w:tc>
              <w:tc>
                <w:tcPr>
                  <w:tcW w:w="803" w:type="pct"/>
                  <w:tcBorders>
                    <w:top w:val="single" w:color="auto" w:sz="4" w:space="0"/>
                    <w:left w:val="single" w:color="auto" w:sz="4" w:space="0"/>
                    <w:bottom w:val="single" w:color="auto" w:sz="4" w:space="0"/>
                    <w:right w:val="single" w:color="auto" w:sz="4" w:space="0"/>
                  </w:tcBorders>
                  <w:vAlign w:val="center"/>
                </w:tcPr>
                <w:p w14:paraId="4304ED14">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钻试设备运行噪声</w:t>
                  </w:r>
                </w:p>
              </w:tc>
              <w:tc>
                <w:tcPr>
                  <w:tcW w:w="3442" w:type="pct"/>
                  <w:tcBorders>
                    <w:top w:val="single" w:color="auto" w:sz="4" w:space="0"/>
                    <w:left w:val="single" w:color="auto" w:sz="4" w:space="0"/>
                    <w:bottom w:val="single" w:color="auto" w:sz="4" w:space="0"/>
                    <w:right w:val="single" w:color="auto" w:sz="4" w:space="0"/>
                  </w:tcBorders>
                  <w:vAlign w:val="center"/>
                </w:tcPr>
                <w:p w14:paraId="2F07E93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减振、隔声降噪措施，加强设备维护</w:t>
                  </w:r>
                </w:p>
              </w:tc>
            </w:tr>
            <w:tr w14:paraId="4DB14A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07395A17">
                  <w:pPr>
                    <w:kinsoku/>
                    <w:spacing w:line="300" w:lineRule="exact"/>
                    <w:jc w:val="center"/>
                    <w:rPr>
                      <w:rFonts w:ascii="Times New Roman" w:hAnsi="Times New Roman" w:eastAsia="宋体" w:cs="Times New Roman"/>
                      <w:color w:val="auto"/>
                      <w:highlight w:val="none"/>
                      <w:lang w:eastAsia="zh-CN"/>
                    </w:rPr>
                  </w:pPr>
                </w:p>
              </w:tc>
              <w:tc>
                <w:tcPr>
                  <w:tcW w:w="382" w:type="pct"/>
                  <w:vMerge w:val="restart"/>
                  <w:tcBorders>
                    <w:top w:val="single" w:color="auto" w:sz="4" w:space="0"/>
                    <w:left w:val="single" w:color="auto" w:sz="4" w:space="0"/>
                    <w:bottom w:val="single" w:color="auto" w:sz="4" w:space="0"/>
                    <w:right w:val="single" w:color="auto" w:sz="4" w:space="0"/>
                  </w:tcBorders>
                  <w:vAlign w:val="center"/>
                </w:tcPr>
                <w:p w14:paraId="3E41C600">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固体废物</w:t>
                  </w:r>
                </w:p>
              </w:tc>
              <w:tc>
                <w:tcPr>
                  <w:tcW w:w="803" w:type="pct"/>
                  <w:tcBorders>
                    <w:top w:val="single" w:color="auto" w:sz="4" w:space="0"/>
                    <w:left w:val="single" w:color="auto" w:sz="4" w:space="0"/>
                    <w:bottom w:val="single" w:color="auto" w:sz="4" w:space="0"/>
                    <w:right w:val="single" w:color="auto" w:sz="4" w:space="0"/>
                  </w:tcBorders>
                  <w:vAlign w:val="center"/>
                </w:tcPr>
                <w:p w14:paraId="7C55B6D4">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落地油</w:t>
                  </w:r>
                </w:p>
              </w:tc>
              <w:tc>
                <w:tcPr>
                  <w:tcW w:w="3442" w:type="pct"/>
                  <w:tcBorders>
                    <w:top w:val="single" w:color="auto" w:sz="4" w:space="0"/>
                    <w:left w:val="single" w:color="auto" w:sz="4" w:space="0"/>
                    <w:bottom w:val="single" w:color="auto" w:sz="4" w:space="0"/>
                    <w:right w:val="single" w:color="auto" w:sz="4" w:space="0"/>
                  </w:tcBorders>
                  <w:vAlign w:val="center"/>
                </w:tcPr>
                <w:p w14:paraId="7F53D22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本项目井下作业时带罐作业，落地油100%回收</w:t>
                  </w:r>
                </w:p>
              </w:tc>
            </w:tr>
            <w:tr w14:paraId="2045AF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586DCB8">
                  <w:pPr>
                    <w:kinsoku/>
                    <w:spacing w:line="300" w:lineRule="exact"/>
                    <w:jc w:val="center"/>
                    <w:rPr>
                      <w:rFonts w:ascii="Times New Roman" w:hAnsi="Times New Roman" w:eastAsia="宋体" w:cs="Times New Roman"/>
                      <w:color w:val="auto"/>
                      <w:highlight w:val="none"/>
                      <w:lang w:eastAsia="zh-CN"/>
                    </w:rPr>
                  </w:pPr>
                </w:p>
              </w:tc>
              <w:tc>
                <w:tcPr>
                  <w:tcW w:w="382" w:type="pct"/>
                  <w:vMerge w:val="continue"/>
                  <w:tcBorders>
                    <w:left w:val="single" w:color="auto" w:sz="4" w:space="0"/>
                    <w:right w:val="single" w:color="auto" w:sz="4" w:space="0"/>
                  </w:tcBorders>
                  <w:vAlign w:val="center"/>
                </w:tcPr>
                <w:p w14:paraId="41CE473A">
                  <w:pPr>
                    <w:kinsoku/>
                    <w:spacing w:line="300" w:lineRule="exact"/>
                    <w:jc w:val="center"/>
                    <w:rPr>
                      <w:rFonts w:ascii="Times New Roman" w:hAnsi="Times New Roman" w:eastAsia="宋体" w:cs="Times New Roman"/>
                      <w:color w:val="auto"/>
                      <w:highlight w:val="none"/>
                      <w:lang w:eastAsia="zh-CN"/>
                    </w:rPr>
                  </w:pPr>
                </w:p>
              </w:tc>
              <w:tc>
                <w:tcPr>
                  <w:tcW w:w="803" w:type="pct"/>
                  <w:tcBorders>
                    <w:top w:val="single" w:color="auto" w:sz="4" w:space="0"/>
                    <w:left w:val="single" w:color="auto" w:sz="4" w:space="0"/>
                    <w:right w:val="single" w:color="auto" w:sz="4" w:space="0"/>
                  </w:tcBorders>
                  <w:vAlign w:val="center"/>
                </w:tcPr>
                <w:p w14:paraId="218F4162">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钻井岩屑</w:t>
                  </w:r>
                </w:p>
              </w:tc>
              <w:tc>
                <w:tcPr>
                  <w:tcW w:w="3442" w:type="pct"/>
                  <w:tcBorders>
                    <w:top w:val="single" w:color="auto" w:sz="4" w:space="0"/>
                    <w:left w:val="single" w:color="auto" w:sz="4" w:space="0"/>
                    <w:bottom w:val="single" w:color="auto" w:sz="4" w:space="0"/>
                    <w:right w:val="single" w:color="auto" w:sz="4" w:space="0"/>
                  </w:tcBorders>
                  <w:vAlign w:val="center"/>
                </w:tcPr>
                <w:p w14:paraId="0FCC00C1">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阜4803H钻井过程中导眼段、一开段、二开段及三开段均采用水基钻井液。水基钻井岩屑不属于危险废物，暂存于水基钻井岩屑储罐内，委托有资质的第三方环保处理单位集中处理，烧砖或处理后按地方要求集中填埋矿坑。阜4805H三开段采用油基钻井液，油基钻井岩屑和废弃油基钻井泥浆属于危废，委托有危废处置资质的单位进行处置</w:t>
                  </w:r>
                </w:p>
              </w:tc>
            </w:tr>
            <w:tr w14:paraId="44EE0B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2C751998">
                  <w:pPr>
                    <w:kinsoku/>
                    <w:spacing w:line="300" w:lineRule="exact"/>
                    <w:jc w:val="center"/>
                    <w:rPr>
                      <w:rFonts w:ascii="Times New Roman" w:hAnsi="Times New Roman" w:eastAsia="宋体" w:cs="Times New Roman"/>
                      <w:color w:val="auto"/>
                      <w:highlight w:val="none"/>
                      <w:lang w:eastAsia="zh-CN"/>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2363ADD1">
                  <w:pPr>
                    <w:kinsoku/>
                    <w:spacing w:line="300" w:lineRule="exact"/>
                    <w:jc w:val="center"/>
                    <w:rPr>
                      <w:rFonts w:ascii="Times New Roman" w:hAnsi="Times New Roman" w:eastAsia="宋体" w:cs="Times New Roman"/>
                      <w:color w:val="auto"/>
                      <w:highlight w:val="none"/>
                      <w:lang w:eastAsia="zh-CN"/>
                    </w:rPr>
                  </w:pPr>
                </w:p>
              </w:tc>
              <w:tc>
                <w:tcPr>
                  <w:tcW w:w="803" w:type="pct"/>
                  <w:tcBorders>
                    <w:top w:val="single" w:color="auto" w:sz="4" w:space="0"/>
                    <w:left w:val="single" w:color="auto" w:sz="4" w:space="0"/>
                    <w:bottom w:val="single" w:color="auto" w:sz="4" w:space="0"/>
                    <w:right w:val="single" w:color="auto" w:sz="4" w:space="0"/>
                  </w:tcBorders>
                  <w:vAlign w:val="center"/>
                </w:tcPr>
                <w:p w14:paraId="420FFD59">
                  <w:pPr>
                    <w:widowControl w:val="0"/>
                    <w:kinsoku/>
                    <w:spacing w:line="24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废防渗材料、废润滑油、废润滑油桶</w:t>
                  </w:r>
                </w:p>
              </w:tc>
              <w:tc>
                <w:tcPr>
                  <w:tcW w:w="3442" w:type="pct"/>
                  <w:tcBorders>
                    <w:top w:val="single" w:color="auto" w:sz="4" w:space="0"/>
                    <w:left w:val="single" w:color="auto" w:sz="4" w:space="0"/>
                    <w:bottom w:val="single" w:color="auto" w:sz="4" w:space="0"/>
                    <w:right w:val="single" w:color="auto" w:sz="4" w:space="0"/>
                  </w:tcBorders>
                  <w:vAlign w:val="center"/>
                </w:tcPr>
                <w:p w14:paraId="7A7711AD">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过程中产生的沾油废防渗材料、设备检修与维护过程中产生的废润滑油及废润滑油桶均属于危险废物，沾油废防渗材料、废润滑油和废润滑油桶分区暂存在井场设置的危险废物贮存库，定期由具有相应危险废物处置资质的单位进行接收、转运和处置</w:t>
                  </w:r>
                </w:p>
              </w:tc>
            </w:tr>
            <w:tr w14:paraId="5F77B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7B3F6F80">
                  <w:pPr>
                    <w:kinsoku/>
                    <w:spacing w:line="300" w:lineRule="exact"/>
                    <w:jc w:val="center"/>
                    <w:rPr>
                      <w:rFonts w:ascii="Times New Roman" w:hAnsi="Times New Roman" w:eastAsia="宋体" w:cs="Times New Roman"/>
                      <w:color w:val="auto"/>
                      <w:highlight w:val="none"/>
                      <w:lang w:eastAsia="zh-CN"/>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4BA584ED">
                  <w:pPr>
                    <w:kinsoku/>
                    <w:spacing w:line="300" w:lineRule="exact"/>
                    <w:jc w:val="center"/>
                    <w:rPr>
                      <w:rFonts w:ascii="Times New Roman" w:hAnsi="Times New Roman" w:eastAsia="宋体" w:cs="Times New Roman"/>
                      <w:color w:val="auto"/>
                      <w:highlight w:val="none"/>
                      <w:lang w:eastAsia="zh-CN"/>
                    </w:rPr>
                  </w:pPr>
                </w:p>
              </w:tc>
              <w:tc>
                <w:tcPr>
                  <w:tcW w:w="803" w:type="pct"/>
                  <w:tcBorders>
                    <w:top w:val="single" w:color="auto" w:sz="4" w:space="0"/>
                    <w:left w:val="single" w:color="auto" w:sz="4" w:space="0"/>
                    <w:bottom w:val="single" w:color="auto" w:sz="4" w:space="0"/>
                    <w:right w:val="single" w:color="auto" w:sz="4" w:space="0"/>
                  </w:tcBorders>
                  <w:vAlign w:val="center"/>
                </w:tcPr>
                <w:p w14:paraId="27E942A7">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生活垃圾</w:t>
                  </w:r>
                </w:p>
              </w:tc>
              <w:tc>
                <w:tcPr>
                  <w:tcW w:w="3442" w:type="pct"/>
                  <w:tcBorders>
                    <w:top w:val="single" w:color="auto" w:sz="4" w:space="0"/>
                    <w:left w:val="single" w:color="auto" w:sz="4" w:space="0"/>
                    <w:bottom w:val="single" w:color="auto" w:sz="4" w:space="0"/>
                    <w:right w:val="single" w:color="auto" w:sz="4" w:space="0"/>
                  </w:tcBorders>
                  <w:vAlign w:val="center"/>
                </w:tcPr>
                <w:p w14:paraId="3AAED03E">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井场和生活营地均设有垃圾箱暂存生活垃圾，集中收集后委托第三方拉运至当地垃圾场处理</w:t>
                  </w:r>
                </w:p>
              </w:tc>
            </w:tr>
            <w:tr w14:paraId="6155E9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0DBF6BED">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39C245D">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生态措施</w:t>
                  </w:r>
                </w:p>
              </w:tc>
              <w:tc>
                <w:tcPr>
                  <w:tcW w:w="3442" w:type="pct"/>
                  <w:tcBorders>
                    <w:top w:val="single" w:color="auto" w:sz="4" w:space="0"/>
                    <w:left w:val="single" w:color="auto" w:sz="4" w:space="0"/>
                    <w:bottom w:val="single" w:color="auto" w:sz="4" w:space="0"/>
                    <w:right w:val="single" w:color="auto" w:sz="4" w:space="0"/>
                  </w:tcBorders>
                  <w:vAlign w:val="center"/>
                </w:tcPr>
                <w:p w14:paraId="182BBF48">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施工结束后及时对临时占地进行清理、平整，植被自然恢复</w:t>
                  </w:r>
                </w:p>
              </w:tc>
            </w:tr>
            <w:tr w14:paraId="2DB1C9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37DF29C8">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752AD9C">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H</w:t>
                  </w:r>
                  <w:r>
                    <w:rPr>
                      <w:rFonts w:ascii="Times New Roman" w:hAnsi="Times New Roman" w:eastAsia="宋体" w:cs="Times New Roman"/>
                      <w:color w:val="auto"/>
                      <w:highlight w:val="none"/>
                      <w:vertAlign w:val="subscript"/>
                    </w:rPr>
                    <w:t>2</w:t>
                  </w:r>
                  <w:r>
                    <w:rPr>
                      <w:rFonts w:ascii="Times New Roman" w:hAnsi="Times New Roman" w:eastAsia="宋体" w:cs="Times New Roman"/>
                      <w:color w:val="auto"/>
                      <w:highlight w:val="none"/>
                    </w:rPr>
                    <w:t>S监测</w:t>
                  </w:r>
                </w:p>
              </w:tc>
              <w:tc>
                <w:tcPr>
                  <w:tcW w:w="3442" w:type="pct"/>
                  <w:tcBorders>
                    <w:top w:val="single" w:color="auto" w:sz="4" w:space="0"/>
                    <w:left w:val="single" w:color="auto" w:sz="4" w:space="0"/>
                    <w:bottom w:val="single" w:color="auto" w:sz="4" w:space="0"/>
                    <w:right w:val="single" w:color="auto" w:sz="4" w:space="0"/>
                  </w:tcBorders>
                  <w:vAlign w:val="center"/>
                </w:tcPr>
                <w:p w14:paraId="09DAE5E2">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井场按规范设置H</w:t>
                  </w:r>
                  <w:r>
                    <w:rPr>
                      <w:rFonts w:ascii="Times New Roman" w:hAnsi="Times New Roman" w:eastAsia="宋体" w:cs="Times New Roman"/>
                      <w:color w:val="auto"/>
                      <w:highlight w:val="none"/>
                      <w:vertAlign w:val="subscript"/>
                      <w:lang w:eastAsia="zh-CN"/>
                    </w:rPr>
                    <w:t>2</w:t>
                  </w:r>
                  <w:r>
                    <w:rPr>
                      <w:rFonts w:ascii="Times New Roman" w:hAnsi="Times New Roman" w:eastAsia="宋体" w:cs="Times New Roman"/>
                      <w:color w:val="auto"/>
                      <w:highlight w:val="none"/>
                      <w:lang w:eastAsia="zh-CN"/>
                    </w:rPr>
                    <w:t>S监测仪</w:t>
                  </w:r>
                </w:p>
              </w:tc>
            </w:tr>
            <w:tr w14:paraId="2A460F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vMerge w:val="continue"/>
                  <w:tcBorders>
                    <w:top w:val="single" w:color="auto" w:sz="4" w:space="0"/>
                    <w:left w:val="single" w:color="auto" w:sz="4" w:space="0"/>
                    <w:bottom w:val="single" w:color="auto" w:sz="4" w:space="0"/>
                    <w:right w:val="single" w:color="auto" w:sz="4" w:space="0"/>
                  </w:tcBorders>
                  <w:vAlign w:val="center"/>
                </w:tcPr>
                <w:p w14:paraId="1879AE51">
                  <w:pPr>
                    <w:kinsoku/>
                    <w:spacing w:line="300" w:lineRule="exact"/>
                    <w:jc w:val="center"/>
                    <w:rPr>
                      <w:rFonts w:ascii="Times New Roman" w:hAnsi="Times New Roman" w:eastAsia="宋体" w:cs="Times New Roman"/>
                      <w:color w:val="auto"/>
                      <w:highlight w:val="none"/>
                      <w:lang w:eastAsia="zh-CN"/>
                    </w:rPr>
                  </w:pPr>
                </w:p>
              </w:tc>
              <w:tc>
                <w:tcPr>
                  <w:tcW w:w="1185" w:type="pct"/>
                  <w:gridSpan w:val="2"/>
                  <w:tcBorders>
                    <w:top w:val="single" w:color="auto" w:sz="4" w:space="0"/>
                    <w:left w:val="single" w:color="auto" w:sz="4" w:space="0"/>
                    <w:bottom w:val="single" w:color="auto" w:sz="4" w:space="0"/>
                    <w:right w:val="single" w:color="auto" w:sz="4" w:space="0"/>
                  </w:tcBorders>
                  <w:vAlign w:val="center"/>
                </w:tcPr>
                <w:p w14:paraId="0F2129AD">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环境风险</w:t>
                  </w:r>
                </w:p>
              </w:tc>
              <w:tc>
                <w:tcPr>
                  <w:tcW w:w="3442" w:type="pct"/>
                  <w:tcBorders>
                    <w:top w:val="single" w:color="auto" w:sz="4" w:space="0"/>
                    <w:left w:val="single" w:color="auto" w:sz="4" w:space="0"/>
                    <w:bottom w:val="single" w:color="auto" w:sz="4" w:space="0"/>
                    <w:right w:val="single" w:color="auto" w:sz="4" w:space="0"/>
                  </w:tcBorders>
                  <w:vAlign w:val="center"/>
                </w:tcPr>
                <w:p w14:paraId="064899EF">
                  <w:pPr>
                    <w:kinsoku/>
                    <w:spacing w:line="30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安装井控装置；防止井喷；柴油罐、原油储罐等储罐底部铺设防渗材料或设置围堰，防止泄漏；硫化氢监测；对事故状态下，放喷液进行有效收集，防止污染周围地下水和土壤</w:t>
                  </w:r>
                </w:p>
              </w:tc>
            </w:tr>
            <w:tr w14:paraId="67AC36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 w:hRule="atLeast"/>
                <w:jc w:val="center"/>
              </w:trPr>
              <w:tc>
                <w:tcPr>
                  <w:tcW w:w="373" w:type="pct"/>
                  <w:tcBorders>
                    <w:left w:val="single" w:color="auto" w:sz="4" w:space="0"/>
                    <w:right w:val="single" w:color="auto" w:sz="4" w:space="0"/>
                  </w:tcBorders>
                  <w:vAlign w:val="center"/>
                </w:tcPr>
                <w:p w14:paraId="5CC441F9">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依托工程</w:t>
                  </w:r>
                </w:p>
              </w:tc>
              <w:tc>
                <w:tcPr>
                  <w:tcW w:w="1185" w:type="pct"/>
                  <w:gridSpan w:val="2"/>
                  <w:tcBorders>
                    <w:top w:val="single" w:color="auto" w:sz="4" w:space="0"/>
                    <w:left w:val="single" w:color="auto" w:sz="4" w:space="0"/>
                    <w:right w:val="single" w:color="auto" w:sz="4" w:space="0"/>
                  </w:tcBorders>
                  <w:vAlign w:val="center"/>
                </w:tcPr>
                <w:p w14:paraId="7023D5FB">
                  <w:pPr>
                    <w:pStyle w:val="22"/>
                    <w:kinsoku/>
                    <w:spacing w:before="65" w:line="228"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吉28脱水站</w:t>
                  </w:r>
                </w:p>
              </w:tc>
              <w:tc>
                <w:tcPr>
                  <w:tcW w:w="3442" w:type="pct"/>
                  <w:tcBorders>
                    <w:top w:val="single" w:color="auto" w:sz="4" w:space="0"/>
                    <w:left w:val="single" w:color="auto" w:sz="4" w:space="0"/>
                    <w:bottom w:val="single" w:color="auto" w:sz="4" w:space="0"/>
                    <w:right w:val="single" w:color="auto" w:sz="4" w:space="0"/>
                  </w:tcBorders>
                  <w:vAlign w:val="center"/>
                </w:tcPr>
                <w:p w14:paraId="29D4E6EF">
                  <w:pPr>
                    <w:pStyle w:val="22"/>
                    <w:kinsoku/>
                    <w:spacing w:before="33" w:line="228" w:lineRule="auto"/>
                    <w:ind w:left="126"/>
                    <w:jc w:val="both"/>
                    <w:rPr>
                      <w:rFonts w:ascii="Times New Roman" w:hAnsi="Times New Roman" w:cs="Times New Roman"/>
                      <w:color w:val="auto"/>
                      <w:sz w:val="21"/>
                      <w:szCs w:val="21"/>
                      <w:highlight w:val="none"/>
                      <w:lang w:eastAsia="zh-CN"/>
                    </w:rPr>
                  </w:pPr>
                  <w:r>
                    <w:rPr>
                      <w:rFonts w:ascii="Times New Roman" w:hAnsi="Times New Roman" w:cs="Times New Roman"/>
                      <w:color w:val="auto"/>
                      <w:spacing w:val="5"/>
                      <w:sz w:val="21"/>
                      <w:szCs w:val="21"/>
                      <w:highlight w:val="none"/>
                      <w:lang w:eastAsia="zh-CN"/>
                    </w:rPr>
                    <w:t>吐哈油田分公司在准东流转区块内所产油、气、水统一进入新</w:t>
                  </w:r>
                  <w:r>
                    <w:rPr>
                      <w:rFonts w:ascii="Times New Roman" w:hAnsi="Times New Roman" w:cs="Times New Roman"/>
                      <w:color w:val="auto"/>
                      <w:spacing w:val="6"/>
                      <w:sz w:val="21"/>
                      <w:szCs w:val="21"/>
                      <w:highlight w:val="none"/>
                      <w:lang w:eastAsia="zh-CN"/>
                    </w:rPr>
                    <w:t>疆油田公司处理系统，本项目试油期带罐作业，井下作业废水拉运到康探001临时拉油站中转运至吉28脱水站并处理达标后，全部回注油藏。</w:t>
                  </w:r>
                  <w:r>
                    <w:rPr>
                      <w:rFonts w:ascii="Times New Roman" w:hAnsi="Times New Roman" w:cs="Times New Roman"/>
                      <w:color w:val="auto"/>
                      <w:spacing w:val="5"/>
                      <w:sz w:val="21"/>
                      <w:szCs w:val="21"/>
                      <w:highlight w:val="none"/>
                      <w:lang w:eastAsia="zh-CN"/>
                    </w:rPr>
                    <w:t>试油期原油入</w:t>
                  </w:r>
                  <w:r>
                    <w:rPr>
                      <w:rFonts w:ascii="Times New Roman" w:hAnsi="Times New Roman" w:cs="Times New Roman"/>
                      <w:color w:val="auto"/>
                      <w:spacing w:val="8"/>
                      <w:sz w:val="21"/>
                      <w:szCs w:val="21"/>
                      <w:highlight w:val="none"/>
                      <w:lang w:eastAsia="zh-CN"/>
                    </w:rPr>
                    <w:t>罐，拉运至吉28脱水站进行处理</w:t>
                  </w:r>
                </w:p>
              </w:tc>
            </w:tr>
            <w:bookmarkEnd w:id="6"/>
            <w:bookmarkEnd w:id="7"/>
          </w:tbl>
          <w:p w14:paraId="49C40CBF">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3.钻前工程</w:t>
            </w:r>
          </w:p>
          <w:p w14:paraId="0129E5A4">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钻前工程包括井场平整、生活营地搭建、进场道路的铺设等。主要工程占地详见表2-3，土地利用现状见附图6。</w:t>
            </w:r>
          </w:p>
          <w:p w14:paraId="3F5B676C">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表2-3 主要工程占地情况一览表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817"/>
              <w:gridCol w:w="1060"/>
              <w:gridCol w:w="849"/>
              <w:gridCol w:w="1060"/>
              <w:gridCol w:w="1060"/>
              <w:gridCol w:w="781"/>
              <w:gridCol w:w="1415"/>
            </w:tblGrid>
            <w:tr w14:paraId="28A9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vMerge w:val="restart"/>
                  <w:vAlign w:val="center"/>
                </w:tcPr>
                <w:p w14:paraId="309B5F78">
                  <w:pPr>
                    <w:kinsoku/>
                    <w:jc w:val="center"/>
                    <w:textAlignment w:val="top"/>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bidi="ar"/>
                    </w:rPr>
                    <w:t>钻井名称</w:t>
                  </w:r>
                </w:p>
              </w:tc>
              <w:tc>
                <w:tcPr>
                  <w:tcW w:w="3264" w:type="pct"/>
                  <w:gridSpan w:val="6"/>
                  <w:noWrap/>
                  <w:vAlign w:val="center"/>
                </w:tcPr>
                <w:p w14:paraId="53AA5D9A">
                  <w:pPr>
                    <w:kinsoku/>
                    <w:jc w:val="center"/>
                    <w:textAlignment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占地面积（m</w:t>
                  </w:r>
                  <w:r>
                    <w:rPr>
                      <w:rFonts w:ascii="Times New Roman" w:hAnsi="Times New Roman" w:eastAsia="宋体" w:cs="Times New Roman"/>
                      <w:b/>
                      <w:bCs/>
                      <w:color w:val="auto"/>
                      <w:highlight w:val="none"/>
                      <w:vertAlign w:val="superscript"/>
                      <w:lang w:eastAsia="zh-CN" w:bidi="ar"/>
                    </w:rPr>
                    <w:t>2</w:t>
                  </w:r>
                  <w:r>
                    <w:rPr>
                      <w:rFonts w:ascii="Times New Roman" w:hAnsi="Times New Roman" w:eastAsia="宋体" w:cs="Times New Roman"/>
                      <w:b/>
                      <w:bCs/>
                      <w:color w:val="auto"/>
                      <w:highlight w:val="none"/>
                      <w:lang w:eastAsia="zh-CN" w:bidi="ar"/>
                    </w:rPr>
                    <w:t>）</w:t>
                  </w:r>
                </w:p>
              </w:tc>
              <w:tc>
                <w:tcPr>
                  <w:tcW w:w="904" w:type="pct"/>
                  <w:vMerge w:val="restart"/>
                  <w:noWrap/>
                  <w:vAlign w:val="center"/>
                </w:tcPr>
                <w:p w14:paraId="49D5C313">
                  <w:pPr>
                    <w:kinsoku/>
                    <w:jc w:val="center"/>
                    <w:textAlignment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占地类型</w:t>
                  </w:r>
                </w:p>
              </w:tc>
            </w:tr>
            <w:tr w14:paraId="20E4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vMerge w:val="continue"/>
                  <w:vAlign w:val="center"/>
                </w:tcPr>
                <w:p w14:paraId="08A64BC3">
                  <w:pPr>
                    <w:kinsoku/>
                    <w:jc w:val="center"/>
                    <w:textAlignment w:val="top"/>
                    <w:rPr>
                      <w:rFonts w:ascii="Times New Roman" w:hAnsi="Times New Roman" w:eastAsia="宋体" w:cs="Times New Roman"/>
                      <w:b/>
                      <w:bCs/>
                      <w:color w:val="auto"/>
                      <w:highlight w:val="none"/>
                      <w:lang w:eastAsia="zh-CN"/>
                    </w:rPr>
                  </w:pPr>
                </w:p>
              </w:tc>
              <w:tc>
                <w:tcPr>
                  <w:tcW w:w="546" w:type="pct"/>
                  <w:noWrap/>
                  <w:vAlign w:val="center"/>
                </w:tcPr>
                <w:p w14:paraId="6EB536C7">
                  <w:pPr>
                    <w:kinsoku/>
                    <w:jc w:val="center"/>
                    <w:textAlignment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bidi="ar"/>
                    </w:rPr>
                    <w:t>井场</w:t>
                  </w:r>
                </w:p>
              </w:tc>
              <w:tc>
                <w:tcPr>
                  <w:tcW w:w="543" w:type="pct"/>
                  <w:noWrap/>
                  <w:vAlign w:val="center"/>
                </w:tcPr>
                <w:p w14:paraId="39036050">
                  <w:pPr>
                    <w:kinsoku/>
                    <w:jc w:val="center"/>
                    <w:textAlignment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bidi="ar"/>
                    </w:rPr>
                    <w:t>放喷管线</w:t>
                  </w:r>
                </w:p>
              </w:tc>
              <w:tc>
                <w:tcPr>
                  <w:tcW w:w="543" w:type="pct"/>
                  <w:noWrap/>
                  <w:vAlign w:val="center"/>
                </w:tcPr>
                <w:p w14:paraId="5192A5D1">
                  <w:pPr>
                    <w:kinsoku/>
                    <w:jc w:val="center"/>
                    <w:textAlignment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bidi="ar"/>
                    </w:rPr>
                    <w:t>堆土区</w:t>
                  </w:r>
                </w:p>
              </w:tc>
              <w:tc>
                <w:tcPr>
                  <w:tcW w:w="543" w:type="pct"/>
                  <w:noWrap/>
                  <w:vAlign w:val="center"/>
                </w:tcPr>
                <w:p w14:paraId="01F02B15">
                  <w:pPr>
                    <w:kinsoku/>
                    <w:jc w:val="center"/>
                    <w:textAlignment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生活营地</w:t>
                  </w:r>
                </w:p>
              </w:tc>
              <w:tc>
                <w:tcPr>
                  <w:tcW w:w="543" w:type="pct"/>
                  <w:noWrap/>
                  <w:vAlign w:val="center"/>
                </w:tcPr>
                <w:p w14:paraId="75B1642C">
                  <w:pPr>
                    <w:kinsoku/>
                    <w:jc w:val="center"/>
                    <w:textAlignment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进场道路</w:t>
                  </w:r>
                </w:p>
              </w:tc>
              <w:tc>
                <w:tcPr>
                  <w:tcW w:w="545" w:type="pct"/>
                  <w:noWrap/>
                  <w:vAlign w:val="center"/>
                </w:tcPr>
                <w:p w14:paraId="315CD7E2">
                  <w:pPr>
                    <w:kinsoku/>
                    <w:jc w:val="center"/>
                    <w:textAlignment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bidi="ar"/>
                    </w:rPr>
                    <w:t>合计</w:t>
                  </w:r>
                </w:p>
              </w:tc>
              <w:tc>
                <w:tcPr>
                  <w:tcW w:w="904" w:type="pct"/>
                  <w:vMerge w:val="continue"/>
                  <w:noWrap/>
                  <w:vAlign w:val="center"/>
                </w:tcPr>
                <w:p w14:paraId="51D2D93C">
                  <w:pPr>
                    <w:kinsoku/>
                    <w:jc w:val="center"/>
                    <w:textAlignment w:val="center"/>
                    <w:rPr>
                      <w:rFonts w:ascii="Times New Roman" w:hAnsi="Times New Roman" w:eastAsia="宋体" w:cs="Times New Roman"/>
                      <w:b/>
                      <w:bCs/>
                      <w:color w:val="auto"/>
                      <w:highlight w:val="none"/>
                      <w:lang w:eastAsia="zh-CN"/>
                    </w:rPr>
                  </w:pPr>
                </w:p>
              </w:tc>
            </w:tr>
            <w:tr w14:paraId="2D74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vAlign w:val="center"/>
                </w:tcPr>
                <w:p w14:paraId="0001D7EB">
                  <w:pPr>
                    <w:kinsoku/>
                    <w:jc w:val="center"/>
                    <w:textAlignment w:val="top"/>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阜4803H</w:t>
                  </w:r>
                </w:p>
              </w:tc>
              <w:tc>
                <w:tcPr>
                  <w:tcW w:w="546" w:type="pct"/>
                  <w:noWrap/>
                  <w:vAlign w:val="center"/>
                </w:tcPr>
                <w:p w14:paraId="61C4F356">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12000</w:t>
                  </w:r>
                </w:p>
              </w:tc>
              <w:tc>
                <w:tcPr>
                  <w:tcW w:w="543" w:type="pct"/>
                  <w:noWrap/>
                  <w:vAlign w:val="center"/>
                </w:tcPr>
                <w:p w14:paraId="5BB82773">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100</w:t>
                  </w:r>
                </w:p>
              </w:tc>
              <w:tc>
                <w:tcPr>
                  <w:tcW w:w="543" w:type="pct"/>
                  <w:noWrap/>
                  <w:vAlign w:val="center"/>
                </w:tcPr>
                <w:p w14:paraId="42CE3C1F">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3000</w:t>
                  </w:r>
                </w:p>
              </w:tc>
              <w:tc>
                <w:tcPr>
                  <w:tcW w:w="543" w:type="pct"/>
                  <w:noWrap/>
                  <w:vAlign w:val="center"/>
                </w:tcPr>
                <w:p w14:paraId="7CE546D4">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2400</w:t>
                  </w:r>
                </w:p>
              </w:tc>
              <w:tc>
                <w:tcPr>
                  <w:tcW w:w="543" w:type="pct"/>
                  <w:noWrap/>
                  <w:vAlign w:val="center"/>
                </w:tcPr>
                <w:p w14:paraId="02DB1D7E">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2711</w:t>
                  </w:r>
                </w:p>
              </w:tc>
              <w:tc>
                <w:tcPr>
                  <w:tcW w:w="545" w:type="pct"/>
                  <w:noWrap/>
                  <w:vAlign w:val="center"/>
                </w:tcPr>
                <w:p w14:paraId="2B072299">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20211</w:t>
                  </w:r>
                </w:p>
              </w:tc>
              <w:tc>
                <w:tcPr>
                  <w:tcW w:w="904" w:type="pct"/>
                  <w:noWrap/>
                  <w:vAlign w:val="center"/>
                </w:tcPr>
                <w:p w14:paraId="4BC7076C">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灌木林地</w:t>
                  </w:r>
                </w:p>
              </w:tc>
            </w:tr>
            <w:tr w14:paraId="6026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vAlign w:val="center"/>
                </w:tcPr>
                <w:p w14:paraId="6E6F76E8">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阜4805H</w:t>
                  </w:r>
                </w:p>
              </w:tc>
              <w:tc>
                <w:tcPr>
                  <w:tcW w:w="546" w:type="pct"/>
                  <w:noWrap/>
                  <w:vAlign w:val="center"/>
                </w:tcPr>
                <w:p w14:paraId="453188C8">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19570</w:t>
                  </w:r>
                </w:p>
              </w:tc>
              <w:tc>
                <w:tcPr>
                  <w:tcW w:w="543" w:type="pct"/>
                  <w:noWrap/>
                  <w:vAlign w:val="center"/>
                </w:tcPr>
                <w:p w14:paraId="18594D15">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100</w:t>
                  </w:r>
                </w:p>
              </w:tc>
              <w:tc>
                <w:tcPr>
                  <w:tcW w:w="543" w:type="pct"/>
                  <w:noWrap/>
                  <w:vAlign w:val="center"/>
                </w:tcPr>
                <w:p w14:paraId="34EECBBD">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3000</w:t>
                  </w:r>
                </w:p>
              </w:tc>
              <w:tc>
                <w:tcPr>
                  <w:tcW w:w="543" w:type="pct"/>
                  <w:noWrap/>
                  <w:vAlign w:val="center"/>
                </w:tcPr>
                <w:p w14:paraId="480AD279">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2400</w:t>
                  </w:r>
                </w:p>
              </w:tc>
              <w:tc>
                <w:tcPr>
                  <w:tcW w:w="543" w:type="pct"/>
                  <w:noWrap/>
                  <w:vAlign w:val="center"/>
                </w:tcPr>
                <w:p w14:paraId="62394A5D">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2070</w:t>
                  </w:r>
                </w:p>
              </w:tc>
              <w:tc>
                <w:tcPr>
                  <w:tcW w:w="545" w:type="pct"/>
                  <w:noWrap/>
                  <w:vAlign w:val="center"/>
                </w:tcPr>
                <w:p w14:paraId="4AE6CCE4">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19570</w:t>
                  </w:r>
                </w:p>
              </w:tc>
              <w:tc>
                <w:tcPr>
                  <w:tcW w:w="904" w:type="pct"/>
                  <w:noWrap/>
                  <w:vAlign w:val="center"/>
                </w:tcPr>
                <w:p w14:paraId="134F3161">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灌木林地</w:t>
                  </w:r>
                </w:p>
              </w:tc>
            </w:tr>
            <w:tr w14:paraId="3300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noWrap/>
                  <w:vAlign w:val="center"/>
                </w:tcPr>
                <w:p w14:paraId="2FFEAFC1">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合计</w:t>
                  </w:r>
                </w:p>
              </w:tc>
              <w:tc>
                <w:tcPr>
                  <w:tcW w:w="546" w:type="pct"/>
                  <w:noWrap/>
                  <w:vAlign w:val="center"/>
                </w:tcPr>
                <w:p w14:paraId="58A95428">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z w:val="22"/>
                      <w:szCs w:val="22"/>
                      <w:highlight w:val="none"/>
                      <w:lang w:eastAsia="zh-CN" w:bidi="ar"/>
                    </w:rPr>
                    <w:t>24000</w:t>
                  </w:r>
                </w:p>
              </w:tc>
              <w:tc>
                <w:tcPr>
                  <w:tcW w:w="543" w:type="pct"/>
                  <w:noWrap/>
                  <w:vAlign w:val="center"/>
                </w:tcPr>
                <w:p w14:paraId="730E6296">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z w:val="22"/>
                      <w:szCs w:val="22"/>
                      <w:highlight w:val="none"/>
                      <w:lang w:eastAsia="zh-CN" w:bidi="ar"/>
                    </w:rPr>
                    <w:t>200</w:t>
                  </w:r>
                </w:p>
              </w:tc>
              <w:tc>
                <w:tcPr>
                  <w:tcW w:w="543" w:type="pct"/>
                  <w:noWrap/>
                  <w:vAlign w:val="center"/>
                </w:tcPr>
                <w:p w14:paraId="09E90F74">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z w:val="22"/>
                      <w:szCs w:val="22"/>
                      <w:highlight w:val="none"/>
                      <w:lang w:eastAsia="zh-CN" w:bidi="ar"/>
                    </w:rPr>
                    <w:t>6000</w:t>
                  </w:r>
                </w:p>
              </w:tc>
              <w:tc>
                <w:tcPr>
                  <w:tcW w:w="543" w:type="pct"/>
                  <w:noWrap/>
                  <w:vAlign w:val="center"/>
                </w:tcPr>
                <w:p w14:paraId="4D028B77">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z w:val="22"/>
                      <w:szCs w:val="22"/>
                      <w:highlight w:val="none"/>
                      <w:lang w:eastAsia="zh-CN" w:bidi="ar"/>
                    </w:rPr>
                    <w:t>4800</w:t>
                  </w:r>
                </w:p>
              </w:tc>
              <w:tc>
                <w:tcPr>
                  <w:tcW w:w="543" w:type="pct"/>
                  <w:noWrap/>
                  <w:vAlign w:val="center"/>
                </w:tcPr>
                <w:p w14:paraId="75AD2227">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z w:val="22"/>
                      <w:szCs w:val="22"/>
                      <w:highlight w:val="none"/>
                      <w:lang w:eastAsia="zh-CN" w:bidi="ar"/>
                    </w:rPr>
                    <w:t>4781</w:t>
                  </w:r>
                </w:p>
              </w:tc>
              <w:tc>
                <w:tcPr>
                  <w:tcW w:w="545" w:type="pct"/>
                  <w:noWrap/>
                  <w:vAlign w:val="center"/>
                </w:tcPr>
                <w:p w14:paraId="0E042EC7">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z w:val="22"/>
                      <w:szCs w:val="22"/>
                      <w:highlight w:val="none"/>
                      <w:lang w:eastAsia="zh-CN" w:bidi="ar"/>
                    </w:rPr>
                    <w:t>39781</w:t>
                  </w:r>
                </w:p>
              </w:tc>
              <w:tc>
                <w:tcPr>
                  <w:tcW w:w="904" w:type="pct"/>
                  <w:noWrap/>
                  <w:vAlign w:val="center"/>
                </w:tcPr>
                <w:p w14:paraId="51833E77">
                  <w:pPr>
                    <w:kinsoku/>
                    <w:jc w:val="center"/>
                    <w:textAlignment w:val="center"/>
                    <w:rPr>
                      <w:rFonts w:ascii="Times New Roman" w:hAnsi="Times New Roman" w:eastAsia="宋体" w:cs="Times New Roman"/>
                      <w:color w:val="auto"/>
                      <w:highlight w:val="none"/>
                      <w:lang w:eastAsia="zh-CN" w:bidi="ar"/>
                    </w:rPr>
                  </w:pPr>
                </w:p>
              </w:tc>
            </w:tr>
          </w:tbl>
          <w:p w14:paraId="2BE0CF9D">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上述临时占地类型为灌木林地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不属于公益林</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单井临时占地征用时间约为390天。探井钻试结束后根据试采结果确定后续是否进行开发，若无利用价值则永久封井，恢复地貌，若适宜开采，可转为生产井，则不进行封井，在井口安装采油树，并尽快开展产能开发建设环境影响评价工作，编制相应的环境影响评价文件，办理相应永久占地手续。</w:t>
            </w:r>
          </w:p>
          <w:p w14:paraId="6A8995BF">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4.钻井工程</w:t>
            </w:r>
          </w:p>
          <w:p w14:paraId="3B42A6D0">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4.1钻井基本参数</w:t>
            </w:r>
          </w:p>
          <w:p w14:paraId="07065F05">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本次拟钻井主要技术参数见表2-4。</w:t>
            </w:r>
          </w:p>
          <w:p w14:paraId="1A77F40C">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表2-4 钻井基本参数</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538"/>
              <w:gridCol w:w="1241"/>
              <w:gridCol w:w="1166"/>
              <w:gridCol w:w="1314"/>
              <w:gridCol w:w="1164"/>
              <w:gridCol w:w="1184"/>
            </w:tblGrid>
            <w:tr w14:paraId="32C0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jc w:val="center"/>
              </w:trPr>
              <w:tc>
                <w:tcPr>
                  <w:tcW w:w="436" w:type="pct"/>
                  <w:vAlign w:val="center"/>
                </w:tcPr>
                <w:p w14:paraId="06DA30CD">
                  <w:pPr>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序号</w:t>
                  </w:r>
                </w:p>
              </w:tc>
              <w:tc>
                <w:tcPr>
                  <w:tcW w:w="922" w:type="pct"/>
                  <w:vAlign w:val="center"/>
                </w:tcPr>
                <w:p w14:paraId="7B8EE40A">
                  <w:pPr>
                    <w:kinsoku/>
                    <w:jc w:val="center"/>
                    <w:textAlignment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bidi="ar"/>
                    </w:rPr>
                    <w:t>井号</w:t>
                  </w:r>
                </w:p>
              </w:tc>
              <w:tc>
                <w:tcPr>
                  <w:tcW w:w="744" w:type="pct"/>
                  <w:vAlign w:val="center"/>
                </w:tcPr>
                <w:p w14:paraId="33CF3CFC">
                  <w:pPr>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井别</w:t>
                  </w:r>
                </w:p>
              </w:tc>
              <w:tc>
                <w:tcPr>
                  <w:tcW w:w="699" w:type="pct"/>
                  <w:vAlign w:val="center"/>
                </w:tcPr>
                <w:p w14:paraId="30635202">
                  <w:pPr>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井型</w:t>
                  </w:r>
                </w:p>
              </w:tc>
              <w:tc>
                <w:tcPr>
                  <w:tcW w:w="788" w:type="pct"/>
                  <w:vAlign w:val="center"/>
                </w:tcPr>
                <w:p w14:paraId="6D4DF4FC">
                  <w:pPr>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井深结构</w:t>
                  </w:r>
                </w:p>
              </w:tc>
              <w:tc>
                <w:tcPr>
                  <w:tcW w:w="698" w:type="pct"/>
                  <w:vAlign w:val="center"/>
                </w:tcPr>
                <w:p w14:paraId="62BC54B7">
                  <w:pPr>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设计井深</w:t>
                  </w:r>
                </w:p>
              </w:tc>
              <w:tc>
                <w:tcPr>
                  <w:tcW w:w="710" w:type="pct"/>
                  <w:vAlign w:val="center"/>
                </w:tcPr>
                <w:p w14:paraId="6E0AE358">
                  <w:pPr>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钻井周期</w:t>
                  </w:r>
                </w:p>
              </w:tc>
            </w:tr>
            <w:tr w14:paraId="3994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36" w:type="pct"/>
                  <w:vAlign w:val="center"/>
                </w:tcPr>
                <w:p w14:paraId="20B818BE">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922" w:type="pct"/>
                  <w:vAlign w:val="center"/>
                </w:tcPr>
                <w:p w14:paraId="5199E2ED">
                  <w:pPr>
                    <w:kinsoku/>
                    <w:jc w:val="center"/>
                    <w:textAlignment w:val="top"/>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阜4803H</w:t>
                  </w:r>
                </w:p>
              </w:tc>
              <w:tc>
                <w:tcPr>
                  <w:tcW w:w="744" w:type="pct"/>
                  <w:vAlign w:val="center"/>
                </w:tcPr>
                <w:p w14:paraId="17A376E4">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评价井</w:t>
                  </w:r>
                </w:p>
              </w:tc>
              <w:tc>
                <w:tcPr>
                  <w:tcW w:w="699" w:type="pct"/>
                  <w:vAlign w:val="center"/>
                </w:tcPr>
                <w:p w14:paraId="7514C5AB">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水平井</w:t>
                  </w:r>
                </w:p>
              </w:tc>
              <w:tc>
                <w:tcPr>
                  <w:tcW w:w="788" w:type="pct"/>
                  <w:vAlign w:val="center"/>
                </w:tcPr>
                <w:p w14:paraId="38F01DD8">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三开</w:t>
                  </w:r>
                </w:p>
              </w:tc>
              <w:tc>
                <w:tcPr>
                  <w:tcW w:w="698" w:type="pct"/>
                  <w:vAlign w:val="center"/>
                </w:tcPr>
                <w:p w14:paraId="6EB5B085">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pacing w:val="4"/>
                      <w:highlight w:val="none"/>
                      <w:lang w:eastAsia="zh-CN"/>
                    </w:rPr>
                    <w:t>5410m</w:t>
                  </w:r>
                </w:p>
              </w:tc>
              <w:tc>
                <w:tcPr>
                  <w:tcW w:w="710" w:type="pct"/>
                  <w:vAlign w:val="center"/>
                </w:tcPr>
                <w:p w14:paraId="4B41E257">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90d</w:t>
                  </w:r>
                </w:p>
              </w:tc>
            </w:tr>
            <w:tr w14:paraId="72AD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36" w:type="pct"/>
                  <w:vAlign w:val="center"/>
                </w:tcPr>
                <w:p w14:paraId="241C4C78">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w:t>
                  </w:r>
                </w:p>
              </w:tc>
              <w:tc>
                <w:tcPr>
                  <w:tcW w:w="922" w:type="pct"/>
                  <w:vAlign w:val="center"/>
                </w:tcPr>
                <w:p w14:paraId="6CAE4A51">
                  <w:pPr>
                    <w:kinsoku/>
                    <w:jc w:val="center"/>
                    <w:textAlignment w:val="top"/>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阜4805H</w:t>
                  </w:r>
                </w:p>
              </w:tc>
              <w:tc>
                <w:tcPr>
                  <w:tcW w:w="744" w:type="pct"/>
                  <w:vAlign w:val="center"/>
                </w:tcPr>
                <w:p w14:paraId="75660480">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评价井</w:t>
                  </w:r>
                </w:p>
              </w:tc>
              <w:tc>
                <w:tcPr>
                  <w:tcW w:w="699" w:type="pct"/>
                  <w:vAlign w:val="center"/>
                </w:tcPr>
                <w:p w14:paraId="65C7A519">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水平井</w:t>
                  </w:r>
                </w:p>
              </w:tc>
              <w:tc>
                <w:tcPr>
                  <w:tcW w:w="788" w:type="pct"/>
                  <w:vAlign w:val="center"/>
                </w:tcPr>
                <w:p w14:paraId="3715A100">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三开</w:t>
                  </w:r>
                </w:p>
              </w:tc>
              <w:tc>
                <w:tcPr>
                  <w:tcW w:w="698" w:type="pct"/>
                  <w:vAlign w:val="center"/>
                </w:tcPr>
                <w:p w14:paraId="53CE4C93">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pacing w:val="4"/>
                      <w:highlight w:val="none"/>
                      <w:lang w:eastAsia="zh-CN"/>
                    </w:rPr>
                    <w:t>6992m</w:t>
                  </w:r>
                </w:p>
              </w:tc>
              <w:tc>
                <w:tcPr>
                  <w:tcW w:w="710" w:type="pct"/>
                  <w:vAlign w:val="center"/>
                </w:tcPr>
                <w:p w14:paraId="2C5C797F">
                  <w:pPr>
                    <w:kinsoku/>
                    <w:jc w:val="center"/>
                    <w:textAlignment w:val="top"/>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90d</w:t>
                  </w:r>
                </w:p>
              </w:tc>
            </w:tr>
          </w:tbl>
          <w:p w14:paraId="106AFA06">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4.2井身结构</w:t>
            </w:r>
          </w:p>
          <w:p w14:paraId="730673BF">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本次拟钻井采用三开井身结构，井身结构数据见表2-5，井身结构设计说明见表2-6，井身结构图见图2-1。</w:t>
            </w:r>
          </w:p>
          <w:p w14:paraId="59934FBC">
            <w:pPr>
              <w:pStyle w:val="22"/>
              <w:widowControl w:val="0"/>
              <w:kinsoku/>
              <w:spacing w:before="161" w:line="224" w:lineRule="auto"/>
              <w:jc w:val="center"/>
              <w:rPr>
                <w:rFonts w:ascii="Times New Roman" w:hAnsi="Times New Roman" w:cs="Times New Roman"/>
                <w:color w:val="auto"/>
                <w:highlight w:val="none"/>
                <w:lang w:eastAsia="zh-CN"/>
              </w:rPr>
            </w:pPr>
            <w:r>
              <w:rPr>
                <w:rFonts w:ascii="Times New Roman" w:hAnsi="Times New Roman" w:cs="Times New Roman"/>
                <w:b/>
                <w:bCs/>
                <w:color w:val="auto"/>
                <w:spacing w:val="5"/>
                <w:sz w:val="21"/>
                <w:szCs w:val="21"/>
                <w:highlight w:val="none"/>
                <w:lang w:eastAsia="zh-CN"/>
              </w:rPr>
              <w:t>表2-5 井身结构设计数据表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2"/>
              <w:gridCol w:w="1353"/>
              <w:gridCol w:w="1271"/>
              <w:gridCol w:w="1271"/>
              <w:gridCol w:w="1898"/>
              <w:gridCol w:w="1899"/>
            </w:tblGrid>
            <w:tr w14:paraId="0A77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85" w:type="pct"/>
                  <w:vAlign w:val="center"/>
                </w:tcPr>
                <w:p w14:paraId="0366C820">
                  <w:pPr>
                    <w:pStyle w:val="25"/>
                    <w:rPr>
                      <w:b/>
                      <w:bCs/>
                      <w:color w:val="auto"/>
                      <w:highlight w:val="none"/>
                    </w:rPr>
                  </w:pPr>
                  <w:r>
                    <w:rPr>
                      <w:b/>
                      <w:bCs/>
                      <w:color w:val="auto"/>
                      <w:highlight w:val="none"/>
                    </w:rPr>
                    <w:t>开钻</w:t>
                  </w:r>
                </w:p>
                <w:p w14:paraId="19182B86">
                  <w:pPr>
                    <w:pStyle w:val="25"/>
                    <w:rPr>
                      <w:b/>
                      <w:bCs/>
                      <w:color w:val="auto"/>
                      <w:highlight w:val="none"/>
                    </w:rPr>
                  </w:pPr>
                  <w:r>
                    <w:rPr>
                      <w:b/>
                      <w:bCs/>
                      <w:color w:val="auto"/>
                      <w:highlight w:val="none"/>
                    </w:rPr>
                    <w:t>次序</w:t>
                  </w:r>
                </w:p>
              </w:tc>
              <w:tc>
                <w:tcPr>
                  <w:tcW w:w="811" w:type="pct"/>
                  <w:vAlign w:val="center"/>
                </w:tcPr>
                <w:p w14:paraId="4F4A7A7C">
                  <w:pPr>
                    <w:pStyle w:val="25"/>
                    <w:rPr>
                      <w:b/>
                      <w:bCs/>
                      <w:color w:val="auto"/>
                      <w:highlight w:val="none"/>
                    </w:rPr>
                  </w:pPr>
                  <w:r>
                    <w:rPr>
                      <w:b/>
                      <w:bCs/>
                      <w:color w:val="auto"/>
                      <w:highlight w:val="none"/>
                    </w:rPr>
                    <w:t>井深</w:t>
                  </w:r>
                </w:p>
                <w:p w14:paraId="7749D9D5">
                  <w:pPr>
                    <w:pStyle w:val="25"/>
                    <w:rPr>
                      <w:b/>
                      <w:bCs/>
                      <w:color w:val="auto"/>
                      <w:highlight w:val="none"/>
                    </w:rPr>
                  </w:pPr>
                  <w:r>
                    <w:rPr>
                      <w:b/>
                      <w:bCs/>
                      <w:color w:val="auto"/>
                      <w:highlight w:val="none"/>
                    </w:rPr>
                    <w:t>(m)</w:t>
                  </w:r>
                </w:p>
              </w:tc>
              <w:tc>
                <w:tcPr>
                  <w:tcW w:w="762" w:type="pct"/>
                  <w:vAlign w:val="center"/>
                </w:tcPr>
                <w:p w14:paraId="6736CB12">
                  <w:pPr>
                    <w:pStyle w:val="25"/>
                    <w:rPr>
                      <w:b/>
                      <w:bCs/>
                      <w:color w:val="auto"/>
                      <w:highlight w:val="none"/>
                    </w:rPr>
                  </w:pPr>
                  <w:r>
                    <w:rPr>
                      <w:b/>
                      <w:bCs/>
                      <w:color w:val="auto"/>
                      <w:highlight w:val="none"/>
                    </w:rPr>
                    <w:t>钻头尺寸</w:t>
                  </w:r>
                </w:p>
                <w:p w14:paraId="3C1953C5">
                  <w:pPr>
                    <w:pStyle w:val="25"/>
                    <w:rPr>
                      <w:b/>
                      <w:bCs/>
                      <w:color w:val="auto"/>
                      <w:highlight w:val="none"/>
                    </w:rPr>
                  </w:pPr>
                  <w:r>
                    <w:rPr>
                      <w:b/>
                      <w:bCs/>
                      <w:color w:val="auto"/>
                      <w:highlight w:val="none"/>
                    </w:rPr>
                    <w:t>(mm)</w:t>
                  </w:r>
                </w:p>
              </w:tc>
              <w:tc>
                <w:tcPr>
                  <w:tcW w:w="762" w:type="pct"/>
                  <w:vAlign w:val="center"/>
                </w:tcPr>
                <w:p w14:paraId="32AF8B6D">
                  <w:pPr>
                    <w:pStyle w:val="25"/>
                    <w:rPr>
                      <w:b/>
                      <w:bCs/>
                      <w:color w:val="auto"/>
                      <w:highlight w:val="none"/>
                    </w:rPr>
                  </w:pPr>
                  <w:r>
                    <w:rPr>
                      <w:b/>
                      <w:bCs/>
                      <w:color w:val="auto"/>
                      <w:highlight w:val="none"/>
                    </w:rPr>
                    <w:t>套管尺寸</w:t>
                  </w:r>
                </w:p>
                <w:p w14:paraId="1384ACCB">
                  <w:pPr>
                    <w:pStyle w:val="25"/>
                    <w:rPr>
                      <w:b/>
                      <w:bCs/>
                      <w:color w:val="auto"/>
                      <w:highlight w:val="none"/>
                    </w:rPr>
                  </w:pPr>
                  <w:r>
                    <w:rPr>
                      <w:b/>
                      <w:bCs/>
                      <w:color w:val="auto"/>
                      <w:highlight w:val="none"/>
                    </w:rPr>
                    <w:t>(mm)</w:t>
                  </w:r>
                </w:p>
              </w:tc>
              <w:tc>
                <w:tcPr>
                  <w:tcW w:w="1138" w:type="pct"/>
                  <w:vAlign w:val="center"/>
                </w:tcPr>
                <w:p w14:paraId="63E59334">
                  <w:pPr>
                    <w:pStyle w:val="25"/>
                    <w:rPr>
                      <w:b/>
                      <w:bCs/>
                      <w:color w:val="auto"/>
                      <w:highlight w:val="none"/>
                    </w:rPr>
                  </w:pPr>
                  <w:r>
                    <w:rPr>
                      <w:b/>
                      <w:bCs/>
                      <w:color w:val="auto"/>
                      <w:highlight w:val="none"/>
                    </w:rPr>
                    <w:t>套管下入层位</w:t>
                  </w:r>
                </w:p>
              </w:tc>
              <w:tc>
                <w:tcPr>
                  <w:tcW w:w="1138" w:type="pct"/>
                  <w:vAlign w:val="center"/>
                </w:tcPr>
                <w:p w14:paraId="794D1937">
                  <w:pPr>
                    <w:pStyle w:val="25"/>
                    <w:rPr>
                      <w:b/>
                      <w:bCs/>
                      <w:color w:val="auto"/>
                      <w:highlight w:val="none"/>
                    </w:rPr>
                  </w:pPr>
                  <w:r>
                    <w:rPr>
                      <w:b/>
                      <w:bCs/>
                      <w:color w:val="auto"/>
                      <w:highlight w:val="none"/>
                    </w:rPr>
                    <w:t>套管下入深度</w:t>
                  </w:r>
                </w:p>
                <w:p w14:paraId="1DCD3F54">
                  <w:pPr>
                    <w:pStyle w:val="25"/>
                    <w:rPr>
                      <w:b/>
                      <w:bCs/>
                      <w:color w:val="auto"/>
                      <w:highlight w:val="none"/>
                    </w:rPr>
                  </w:pPr>
                  <w:r>
                    <w:rPr>
                      <w:b/>
                      <w:bCs/>
                      <w:color w:val="auto"/>
                      <w:highlight w:val="none"/>
                    </w:rPr>
                    <w:t>(m)</w:t>
                  </w:r>
                </w:p>
              </w:tc>
            </w:tr>
            <w:tr w14:paraId="73DA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85" w:type="pct"/>
                  <w:vAlign w:val="center"/>
                </w:tcPr>
                <w:p w14:paraId="20E6D0B1">
                  <w:pPr>
                    <w:pStyle w:val="25"/>
                    <w:rPr>
                      <w:b w:val="0"/>
                      <w:bCs w:val="0"/>
                      <w:color w:val="auto"/>
                      <w:highlight w:val="none"/>
                    </w:rPr>
                  </w:pPr>
                  <w:r>
                    <w:rPr>
                      <w:b w:val="0"/>
                      <w:bCs w:val="0"/>
                      <w:color w:val="auto"/>
                      <w:highlight w:val="none"/>
                    </w:rPr>
                    <w:t>导眼</w:t>
                  </w:r>
                </w:p>
              </w:tc>
              <w:tc>
                <w:tcPr>
                  <w:tcW w:w="811" w:type="pct"/>
                  <w:vAlign w:val="center"/>
                </w:tcPr>
                <w:p w14:paraId="51E0E80C">
                  <w:pPr>
                    <w:pStyle w:val="25"/>
                    <w:rPr>
                      <w:b w:val="0"/>
                      <w:bCs w:val="0"/>
                      <w:color w:val="auto"/>
                      <w:highlight w:val="none"/>
                    </w:rPr>
                  </w:pPr>
                  <w:r>
                    <w:rPr>
                      <w:b w:val="0"/>
                      <w:bCs w:val="0"/>
                      <w:color w:val="auto"/>
                      <w:highlight w:val="none"/>
                    </w:rPr>
                    <w:t>30</w:t>
                  </w:r>
                </w:p>
              </w:tc>
              <w:tc>
                <w:tcPr>
                  <w:tcW w:w="762" w:type="pct"/>
                  <w:vAlign w:val="center"/>
                </w:tcPr>
                <w:p w14:paraId="3C32F4B8">
                  <w:pPr>
                    <w:pStyle w:val="25"/>
                    <w:rPr>
                      <w:b w:val="0"/>
                      <w:bCs w:val="0"/>
                      <w:color w:val="auto"/>
                      <w:highlight w:val="none"/>
                    </w:rPr>
                  </w:pPr>
                  <w:r>
                    <w:rPr>
                      <w:b w:val="0"/>
                      <w:bCs w:val="0"/>
                      <w:color w:val="auto"/>
                      <w:highlight w:val="none"/>
                    </w:rPr>
                    <w:t>Φ660</w:t>
                  </w:r>
                </w:p>
              </w:tc>
              <w:tc>
                <w:tcPr>
                  <w:tcW w:w="762" w:type="pct"/>
                  <w:vAlign w:val="center"/>
                </w:tcPr>
                <w:p w14:paraId="09E300F4">
                  <w:pPr>
                    <w:pStyle w:val="25"/>
                    <w:rPr>
                      <w:b w:val="0"/>
                      <w:bCs w:val="0"/>
                      <w:color w:val="auto"/>
                      <w:highlight w:val="none"/>
                    </w:rPr>
                  </w:pPr>
                  <w:r>
                    <w:rPr>
                      <w:b w:val="0"/>
                      <w:bCs w:val="0"/>
                      <w:color w:val="auto"/>
                      <w:highlight w:val="none"/>
                    </w:rPr>
                    <w:t>Φ508</w:t>
                  </w:r>
                </w:p>
              </w:tc>
              <w:tc>
                <w:tcPr>
                  <w:tcW w:w="1138" w:type="pct"/>
                  <w:vAlign w:val="center"/>
                </w:tcPr>
                <w:p w14:paraId="64A83667">
                  <w:pPr>
                    <w:pStyle w:val="25"/>
                    <w:rPr>
                      <w:b w:val="0"/>
                      <w:bCs w:val="0"/>
                      <w:color w:val="auto"/>
                      <w:highlight w:val="none"/>
                    </w:rPr>
                  </w:pPr>
                  <w:r>
                    <w:rPr>
                      <w:b w:val="0"/>
                      <w:bCs w:val="0"/>
                      <w:color w:val="auto"/>
                      <w:highlight w:val="none"/>
                    </w:rPr>
                    <w:t>Q</w:t>
                  </w:r>
                </w:p>
              </w:tc>
              <w:tc>
                <w:tcPr>
                  <w:tcW w:w="1138" w:type="pct"/>
                  <w:vAlign w:val="center"/>
                </w:tcPr>
                <w:p w14:paraId="243BFC3D">
                  <w:pPr>
                    <w:pStyle w:val="25"/>
                    <w:rPr>
                      <w:b w:val="0"/>
                      <w:bCs w:val="0"/>
                      <w:color w:val="auto"/>
                      <w:highlight w:val="none"/>
                    </w:rPr>
                  </w:pPr>
                  <w:r>
                    <w:rPr>
                      <w:b w:val="0"/>
                      <w:bCs w:val="0"/>
                      <w:color w:val="auto"/>
                      <w:highlight w:val="none"/>
                    </w:rPr>
                    <w:t>30</w:t>
                  </w:r>
                </w:p>
              </w:tc>
            </w:tr>
            <w:tr w14:paraId="7312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85" w:type="pct"/>
                  <w:vAlign w:val="center"/>
                </w:tcPr>
                <w:p w14:paraId="26E208AA">
                  <w:pPr>
                    <w:pStyle w:val="25"/>
                    <w:rPr>
                      <w:b w:val="0"/>
                      <w:bCs w:val="0"/>
                      <w:color w:val="auto"/>
                      <w:highlight w:val="none"/>
                    </w:rPr>
                  </w:pPr>
                  <w:r>
                    <w:rPr>
                      <w:b w:val="0"/>
                      <w:bCs w:val="0"/>
                      <w:color w:val="auto"/>
                      <w:highlight w:val="none"/>
                    </w:rPr>
                    <w:t>一开</w:t>
                  </w:r>
                </w:p>
              </w:tc>
              <w:tc>
                <w:tcPr>
                  <w:tcW w:w="811" w:type="pct"/>
                  <w:vAlign w:val="center"/>
                </w:tcPr>
                <w:p w14:paraId="487338E6">
                  <w:pPr>
                    <w:pStyle w:val="25"/>
                    <w:rPr>
                      <w:b w:val="0"/>
                      <w:bCs w:val="0"/>
                      <w:color w:val="auto"/>
                      <w:highlight w:val="none"/>
                    </w:rPr>
                  </w:pPr>
                  <w:r>
                    <w:rPr>
                      <w:b w:val="0"/>
                      <w:bCs w:val="0"/>
                      <w:color w:val="auto"/>
                      <w:highlight w:val="none"/>
                    </w:rPr>
                    <w:t>500</w:t>
                  </w:r>
                </w:p>
              </w:tc>
              <w:tc>
                <w:tcPr>
                  <w:tcW w:w="762" w:type="pct"/>
                  <w:vAlign w:val="center"/>
                </w:tcPr>
                <w:p w14:paraId="075AB2EA">
                  <w:pPr>
                    <w:pStyle w:val="25"/>
                    <w:rPr>
                      <w:b w:val="0"/>
                      <w:bCs w:val="0"/>
                      <w:color w:val="auto"/>
                      <w:highlight w:val="none"/>
                    </w:rPr>
                  </w:pPr>
                  <w:r>
                    <w:rPr>
                      <w:b w:val="0"/>
                      <w:bCs w:val="0"/>
                      <w:color w:val="auto"/>
                      <w:highlight w:val="none"/>
                    </w:rPr>
                    <w:t>Φ444.5</w:t>
                  </w:r>
                </w:p>
              </w:tc>
              <w:tc>
                <w:tcPr>
                  <w:tcW w:w="762" w:type="pct"/>
                  <w:vAlign w:val="center"/>
                </w:tcPr>
                <w:p w14:paraId="3D8E68F0">
                  <w:pPr>
                    <w:pStyle w:val="25"/>
                    <w:rPr>
                      <w:b w:val="0"/>
                      <w:bCs w:val="0"/>
                      <w:color w:val="auto"/>
                      <w:highlight w:val="none"/>
                    </w:rPr>
                  </w:pPr>
                  <w:r>
                    <w:rPr>
                      <w:b w:val="0"/>
                      <w:bCs w:val="0"/>
                      <w:color w:val="auto"/>
                      <w:highlight w:val="none"/>
                    </w:rPr>
                    <w:t>Φ339.7</w:t>
                  </w:r>
                </w:p>
              </w:tc>
              <w:tc>
                <w:tcPr>
                  <w:tcW w:w="1138" w:type="pct"/>
                  <w:vAlign w:val="center"/>
                </w:tcPr>
                <w:p w14:paraId="1B5CA64B">
                  <w:pPr>
                    <w:pStyle w:val="25"/>
                    <w:rPr>
                      <w:b w:val="0"/>
                      <w:bCs w:val="0"/>
                      <w:color w:val="auto"/>
                      <w:highlight w:val="none"/>
                    </w:rPr>
                  </w:pPr>
                  <w:r>
                    <w:rPr>
                      <w:b w:val="0"/>
                      <w:bCs w:val="0"/>
                      <w:color w:val="auto"/>
                      <w:highlight w:val="none"/>
                    </w:rPr>
                    <w:t>N</w:t>
                  </w:r>
                </w:p>
              </w:tc>
              <w:tc>
                <w:tcPr>
                  <w:tcW w:w="1138" w:type="pct"/>
                  <w:vAlign w:val="center"/>
                </w:tcPr>
                <w:p w14:paraId="4C643C53">
                  <w:pPr>
                    <w:pStyle w:val="25"/>
                    <w:rPr>
                      <w:b w:val="0"/>
                      <w:bCs w:val="0"/>
                      <w:color w:val="auto"/>
                      <w:highlight w:val="none"/>
                    </w:rPr>
                  </w:pPr>
                  <w:r>
                    <w:rPr>
                      <w:b w:val="0"/>
                      <w:bCs w:val="0"/>
                      <w:color w:val="auto"/>
                      <w:highlight w:val="none"/>
                    </w:rPr>
                    <w:t>500</w:t>
                  </w:r>
                </w:p>
              </w:tc>
            </w:tr>
            <w:tr w14:paraId="6DA3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85" w:type="pct"/>
                  <w:vAlign w:val="center"/>
                </w:tcPr>
                <w:p w14:paraId="1A13F6BA">
                  <w:pPr>
                    <w:pStyle w:val="25"/>
                    <w:rPr>
                      <w:b w:val="0"/>
                      <w:bCs w:val="0"/>
                      <w:color w:val="auto"/>
                      <w:highlight w:val="none"/>
                    </w:rPr>
                  </w:pPr>
                  <w:r>
                    <w:rPr>
                      <w:b w:val="0"/>
                      <w:bCs w:val="0"/>
                      <w:color w:val="auto"/>
                      <w:highlight w:val="none"/>
                    </w:rPr>
                    <w:t>二开</w:t>
                  </w:r>
                </w:p>
              </w:tc>
              <w:tc>
                <w:tcPr>
                  <w:tcW w:w="811" w:type="pct"/>
                  <w:vAlign w:val="center"/>
                </w:tcPr>
                <w:p w14:paraId="0AED06EE">
                  <w:pPr>
                    <w:pStyle w:val="25"/>
                    <w:rPr>
                      <w:b w:val="0"/>
                      <w:bCs w:val="0"/>
                      <w:color w:val="auto"/>
                      <w:highlight w:val="none"/>
                    </w:rPr>
                  </w:pPr>
                  <w:r>
                    <w:rPr>
                      <w:b w:val="0"/>
                      <w:bCs w:val="0"/>
                      <w:color w:val="auto"/>
                      <w:highlight w:val="none"/>
                    </w:rPr>
                    <w:t>3600</w:t>
                  </w:r>
                </w:p>
              </w:tc>
              <w:tc>
                <w:tcPr>
                  <w:tcW w:w="762" w:type="pct"/>
                  <w:vAlign w:val="center"/>
                </w:tcPr>
                <w:p w14:paraId="422F8545">
                  <w:pPr>
                    <w:pStyle w:val="25"/>
                    <w:rPr>
                      <w:b w:val="0"/>
                      <w:bCs w:val="0"/>
                      <w:color w:val="auto"/>
                      <w:highlight w:val="none"/>
                    </w:rPr>
                  </w:pPr>
                  <w:r>
                    <w:rPr>
                      <w:b w:val="0"/>
                      <w:bCs w:val="0"/>
                      <w:color w:val="auto"/>
                      <w:highlight w:val="none"/>
                    </w:rPr>
                    <w:t>Φ311</w:t>
                  </w:r>
                </w:p>
              </w:tc>
              <w:tc>
                <w:tcPr>
                  <w:tcW w:w="762" w:type="pct"/>
                  <w:vAlign w:val="center"/>
                </w:tcPr>
                <w:p w14:paraId="3418735F">
                  <w:pPr>
                    <w:pStyle w:val="25"/>
                    <w:rPr>
                      <w:b w:val="0"/>
                      <w:bCs w:val="0"/>
                      <w:color w:val="auto"/>
                      <w:highlight w:val="none"/>
                    </w:rPr>
                  </w:pPr>
                  <w:r>
                    <w:rPr>
                      <w:b w:val="0"/>
                      <w:bCs w:val="0"/>
                      <w:color w:val="auto"/>
                      <w:highlight w:val="none"/>
                    </w:rPr>
                    <w:t>Φ244.5</w:t>
                  </w:r>
                </w:p>
              </w:tc>
              <w:tc>
                <w:tcPr>
                  <w:tcW w:w="1138" w:type="pct"/>
                  <w:vAlign w:val="center"/>
                </w:tcPr>
                <w:p w14:paraId="290ECC0B">
                  <w:pPr>
                    <w:pStyle w:val="25"/>
                    <w:rPr>
                      <w:b w:val="0"/>
                      <w:bCs w:val="0"/>
                      <w:color w:val="auto"/>
                      <w:highlight w:val="none"/>
                    </w:rPr>
                  </w:pPr>
                  <w:r>
                    <w:rPr>
                      <w:b w:val="0"/>
                      <w:bCs w:val="0"/>
                      <w:color w:val="auto"/>
                      <w:highlight w:val="none"/>
                    </w:rPr>
                    <w:t>T</w:t>
                  </w:r>
                  <w:r>
                    <w:rPr>
                      <w:b w:val="0"/>
                      <w:bCs w:val="0"/>
                      <w:color w:val="auto"/>
                      <w:highlight w:val="none"/>
                      <w:vertAlign w:val="subscript"/>
                    </w:rPr>
                    <w:t>3</w:t>
                  </w:r>
                  <w:r>
                    <w:rPr>
                      <w:b w:val="0"/>
                      <w:bCs w:val="0"/>
                      <w:color w:val="auto"/>
                      <w:highlight w:val="none"/>
                    </w:rPr>
                    <w:t>h</w:t>
                  </w:r>
                </w:p>
              </w:tc>
              <w:tc>
                <w:tcPr>
                  <w:tcW w:w="1138" w:type="pct"/>
                  <w:vAlign w:val="center"/>
                </w:tcPr>
                <w:p w14:paraId="37B6953E">
                  <w:pPr>
                    <w:pStyle w:val="25"/>
                    <w:rPr>
                      <w:b w:val="0"/>
                      <w:bCs w:val="0"/>
                      <w:color w:val="auto"/>
                      <w:highlight w:val="none"/>
                    </w:rPr>
                  </w:pPr>
                  <w:r>
                    <w:rPr>
                      <w:b w:val="0"/>
                      <w:bCs w:val="0"/>
                      <w:color w:val="auto"/>
                      <w:highlight w:val="none"/>
                    </w:rPr>
                    <w:t>3600</w:t>
                  </w:r>
                </w:p>
              </w:tc>
            </w:tr>
            <w:tr w14:paraId="5284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385" w:type="pct"/>
                  <w:vAlign w:val="center"/>
                </w:tcPr>
                <w:p w14:paraId="439579E2">
                  <w:pPr>
                    <w:pStyle w:val="25"/>
                    <w:rPr>
                      <w:b w:val="0"/>
                      <w:bCs w:val="0"/>
                      <w:color w:val="auto"/>
                      <w:highlight w:val="none"/>
                    </w:rPr>
                  </w:pPr>
                  <w:r>
                    <w:rPr>
                      <w:b w:val="0"/>
                      <w:bCs w:val="0"/>
                      <w:color w:val="auto"/>
                      <w:highlight w:val="none"/>
                    </w:rPr>
                    <w:t>三开</w:t>
                  </w:r>
                </w:p>
              </w:tc>
              <w:tc>
                <w:tcPr>
                  <w:tcW w:w="811" w:type="pct"/>
                  <w:vAlign w:val="center"/>
                </w:tcPr>
                <w:p w14:paraId="5871AC31">
                  <w:pPr>
                    <w:pStyle w:val="25"/>
                    <w:rPr>
                      <w:b w:val="0"/>
                      <w:bCs w:val="0"/>
                      <w:color w:val="auto"/>
                      <w:highlight w:val="none"/>
                    </w:rPr>
                  </w:pPr>
                  <w:r>
                    <w:rPr>
                      <w:b w:val="0"/>
                      <w:bCs w:val="0"/>
                      <w:color w:val="auto"/>
                      <w:highlight w:val="none"/>
                    </w:rPr>
                    <w:t>5410/6992</w:t>
                  </w:r>
                </w:p>
              </w:tc>
              <w:tc>
                <w:tcPr>
                  <w:tcW w:w="762" w:type="pct"/>
                  <w:vAlign w:val="center"/>
                </w:tcPr>
                <w:p w14:paraId="1BE7AC85">
                  <w:pPr>
                    <w:pStyle w:val="25"/>
                    <w:rPr>
                      <w:b w:val="0"/>
                      <w:bCs w:val="0"/>
                      <w:color w:val="auto"/>
                      <w:highlight w:val="none"/>
                    </w:rPr>
                  </w:pPr>
                  <w:r>
                    <w:rPr>
                      <w:b w:val="0"/>
                      <w:bCs w:val="0"/>
                      <w:color w:val="auto"/>
                      <w:highlight w:val="none"/>
                    </w:rPr>
                    <w:t>Φ216</w:t>
                  </w:r>
                </w:p>
              </w:tc>
              <w:tc>
                <w:tcPr>
                  <w:tcW w:w="762" w:type="pct"/>
                  <w:vAlign w:val="center"/>
                </w:tcPr>
                <w:p w14:paraId="21D22031">
                  <w:pPr>
                    <w:pStyle w:val="25"/>
                    <w:rPr>
                      <w:b w:val="0"/>
                      <w:bCs w:val="0"/>
                      <w:color w:val="auto"/>
                      <w:highlight w:val="none"/>
                    </w:rPr>
                  </w:pPr>
                  <w:r>
                    <w:rPr>
                      <w:b w:val="0"/>
                      <w:bCs w:val="0"/>
                      <w:color w:val="auto"/>
                      <w:highlight w:val="none"/>
                    </w:rPr>
                    <w:t>Φ139.7</w:t>
                  </w:r>
                </w:p>
              </w:tc>
              <w:tc>
                <w:tcPr>
                  <w:tcW w:w="1138" w:type="pct"/>
                  <w:vAlign w:val="center"/>
                </w:tcPr>
                <w:p w14:paraId="1529C248">
                  <w:pPr>
                    <w:pStyle w:val="25"/>
                    <w:rPr>
                      <w:b w:val="0"/>
                      <w:bCs w:val="0"/>
                      <w:color w:val="auto"/>
                      <w:highlight w:val="none"/>
                    </w:rPr>
                  </w:pPr>
                  <w:r>
                    <w:rPr>
                      <w:b w:val="0"/>
                      <w:bCs w:val="0"/>
                      <w:color w:val="auto"/>
                      <w:highlight w:val="none"/>
                    </w:rPr>
                    <w:t>P</w:t>
                  </w:r>
                  <w:r>
                    <w:rPr>
                      <w:b w:val="0"/>
                      <w:bCs w:val="0"/>
                      <w:color w:val="auto"/>
                      <w:highlight w:val="none"/>
                      <w:vertAlign w:val="subscript"/>
                    </w:rPr>
                    <w:t>2</w:t>
                  </w:r>
                  <w:r>
                    <w:rPr>
                      <w:b w:val="0"/>
                      <w:bCs w:val="0"/>
                      <w:iCs/>
                      <w:color w:val="auto"/>
                      <w:highlight w:val="none"/>
                    </w:rPr>
                    <w:t>l</w:t>
                  </w:r>
                </w:p>
              </w:tc>
              <w:tc>
                <w:tcPr>
                  <w:tcW w:w="1138" w:type="pct"/>
                  <w:vAlign w:val="center"/>
                </w:tcPr>
                <w:p w14:paraId="7E0F0CC2">
                  <w:pPr>
                    <w:pStyle w:val="25"/>
                    <w:rPr>
                      <w:b w:val="0"/>
                      <w:bCs w:val="0"/>
                      <w:color w:val="auto"/>
                      <w:highlight w:val="none"/>
                    </w:rPr>
                  </w:pPr>
                  <w:r>
                    <w:rPr>
                      <w:b w:val="0"/>
                      <w:bCs w:val="0"/>
                      <w:color w:val="auto"/>
                      <w:highlight w:val="none"/>
                    </w:rPr>
                    <w:t>5410/6992</w:t>
                  </w:r>
                </w:p>
              </w:tc>
            </w:tr>
          </w:tbl>
          <w:p w14:paraId="529BE603">
            <w:pPr>
              <w:pStyle w:val="22"/>
              <w:widowControl w:val="0"/>
              <w:kinsoku/>
              <w:spacing w:before="161" w:line="224" w:lineRule="auto"/>
              <w:jc w:val="center"/>
              <w:rPr>
                <w:rFonts w:ascii="Times New Roman" w:hAnsi="Times New Roman" w:cs="Times New Roman"/>
                <w:color w:val="auto"/>
                <w:highlight w:val="none"/>
                <w:lang w:eastAsia="zh-CN"/>
              </w:rPr>
            </w:pPr>
            <w:r>
              <w:rPr>
                <w:rFonts w:ascii="Times New Roman" w:hAnsi="Times New Roman" w:cs="Times New Roman"/>
                <w:b/>
                <w:bCs/>
                <w:color w:val="auto"/>
                <w:spacing w:val="5"/>
                <w:sz w:val="21"/>
                <w:szCs w:val="21"/>
                <w:highlight w:val="none"/>
                <w:lang w:eastAsia="zh-CN"/>
              </w:rPr>
              <w:t>表2-6 井身结构设计说明表</w:t>
            </w:r>
          </w:p>
          <w:tbl>
            <w:tblPr>
              <w:tblStyle w:val="15"/>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228"/>
              <w:gridCol w:w="6268"/>
            </w:tblGrid>
            <w:tr w14:paraId="620C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87" w:type="pct"/>
                  <w:vAlign w:val="center"/>
                </w:tcPr>
                <w:p w14:paraId="41D3E199">
                  <w:pPr>
                    <w:pStyle w:val="25"/>
                    <w:rPr>
                      <w:b/>
                      <w:bCs/>
                      <w:color w:val="auto"/>
                      <w:highlight w:val="none"/>
                    </w:rPr>
                  </w:pPr>
                  <w:r>
                    <w:rPr>
                      <w:b/>
                      <w:bCs/>
                      <w:color w:val="auto"/>
                      <w:highlight w:val="none"/>
                    </w:rPr>
                    <w:t>开钻次序</w:t>
                  </w:r>
                </w:p>
              </w:tc>
              <w:tc>
                <w:tcPr>
                  <w:tcW w:w="739" w:type="pct"/>
                  <w:vAlign w:val="center"/>
                </w:tcPr>
                <w:p w14:paraId="7882829F">
                  <w:pPr>
                    <w:pStyle w:val="25"/>
                    <w:rPr>
                      <w:b/>
                      <w:bCs/>
                      <w:color w:val="auto"/>
                      <w:highlight w:val="none"/>
                    </w:rPr>
                  </w:pPr>
                  <w:r>
                    <w:rPr>
                      <w:b/>
                      <w:bCs/>
                      <w:color w:val="auto"/>
                      <w:highlight w:val="none"/>
                    </w:rPr>
                    <w:t>套管尺寸(mm)</w:t>
                  </w:r>
                </w:p>
              </w:tc>
              <w:tc>
                <w:tcPr>
                  <w:tcW w:w="3772" w:type="pct"/>
                  <w:vAlign w:val="center"/>
                </w:tcPr>
                <w:p w14:paraId="41D9F803">
                  <w:pPr>
                    <w:pStyle w:val="25"/>
                    <w:rPr>
                      <w:b/>
                      <w:bCs/>
                      <w:color w:val="auto"/>
                      <w:highlight w:val="none"/>
                    </w:rPr>
                  </w:pPr>
                  <w:r>
                    <w:rPr>
                      <w:b/>
                      <w:bCs/>
                      <w:color w:val="auto"/>
                      <w:highlight w:val="none"/>
                    </w:rPr>
                    <w:t>设计说明</w:t>
                  </w:r>
                </w:p>
              </w:tc>
            </w:tr>
            <w:tr w14:paraId="5B95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92" w:type="dxa"/>
                  <w:vAlign w:val="center"/>
                </w:tcPr>
                <w:p w14:paraId="0E106C96">
                  <w:pPr>
                    <w:pStyle w:val="25"/>
                    <w:rPr>
                      <w:b w:val="0"/>
                      <w:bCs w:val="0"/>
                      <w:color w:val="auto"/>
                      <w:highlight w:val="none"/>
                    </w:rPr>
                  </w:pPr>
                  <w:r>
                    <w:rPr>
                      <w:b w:val="0"/>
                      <w:bCs w:val="0"/>
                      <w:color w:val="auto"/>
                      <w:highlight w:val="none"/>
                    </w:rPr>
                    <w:t>导眼</w:t>
                  </w:r>
                </w:p>
              </w:tc>
              <w:tc>
                <w:tcPr>
                  <w:tcW w:w="1203" w:type="dxa"/>
                  <w:vAlign w:val="center"/>
                </w:tcPr>
                <w:p w14:paraId="272281CC">
                  <w:pPr>
                    <w:pStyle w:val="25"/>
                    <w:rPr>
                      <w:b w:val="0"/>
                      <w:bCs w:val="0"/>
                      <w:color w:val="auto"/>
                      <w:highlight w:val="none"/>
                    </w:rPr>
                  </w:pPr>
                  <w:r>
                    <w:rPr>
                      <w:b w:val="0"/>
                      <w:bCs w:val="0"/>
                      <w:color w:val="auto"/>
                      <w:highlight w:val="none"/>
                    </w:rPr>
                    <w:t>Φ508</w:t>
                  </w:r>
                </w:p>
              </w:tc>
              <w:tc>
                <w:tcPr>
                  <w:tcW w:w="6142" w:type="dxa"/>
                  <w:vAlign w:val="center"/>
                </w:tcPr>
                <w:p w14:paraId="71DA37A3">
                  <w:pPr>
                    <w:pStyle w:val="25"/>
                    <w:rPr>
                      <w:b w:val="0"/>
                      <w:bCs w:val="0"/>
                      <w:color w:val="auto"/>
                      <w:highlight w:val="none"/>
                      <w:lang w:val="en-US" w:bidi="ar-SA"/>
                    </w:rPr>
                  </w:pPr>
                  <w:r>
                    <w:rPr>
                      <w:b w:val="0"/>
                      <w:bCs w:val="0"/>
                      <w:color w:val="auto"/>
                      <w:highlight w:val="none"/>
                    </w:rPr>
                    <w:t>用Φ660mm钻头打导眼30-50m，下入Φ508mm的导管固井，水泥返至地面。</w:t>
                  </w:r>
                </w:p>
              </w:tc>
            </w:tr>
            <w:tr w14:paraId="2690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92" w:type="dxa"/>
                  <w:vAlign w:val="center"/>
                </w:tcPr>
                <w:p w14:paraId="0CD6AE01">
                  <w:pPr>
                    <w:pStyle w:val="25"/>
                    <w:rPr>
                      <w:b w:val="0"/>
                      <w:bCs w:val="0"/>
                      <w:color w:val="auto"/>
                      <w:highlight w:val="none"/>
                    </w:rPr>
                  </w:pPr>
                  <w:r>
                    <w:rPr>
                      <w:b w:val="0"/>
                      <w:bCs w:val="0"/>
                      <w:color w:val="auto"/>
                      <w:highlight w:val="none"/>
                    </w:rPr>
                    <w:t>一开</w:t>
                  </w:r>
                </w:p>
              </w:tc>
              <w:tc>
                <w:tcPr>
                  <w:tcW w:w="1203" w:type="dxa"/>
                  <w:vAlign w:val="center"/>
                </w:tcPr>
                <w:p w14:paraId="22DE0161">
                  <w:pPr>
                    <w:pStyle w:val="25"/>
                    <w:rPr>
                      <w:b w:val="0"/>
                      <w:bCs w:val="0"/>
                      <w:color w:val="auto"/>
                      <w:highlight w:val="none"/>
                    </w:rPr>
                  </w:pPr>
                  <w:r>
                    <w:rPr>
                      <w:b w:val="0"/>
                      <w:bCs w:val="0"/>
                      <w:color w:val="auto"/>
                      <w:highlight w:val="none"/>
                    </w:rPr>
                    <w:t>Φ339.7</w:t>
                  </w:r>
                </w:p>
              </w:tc>
              <w:tc>
                <w:tcPr>
                  <w:tcW w:w="6142" w:type="dxa"/>
                  <w:vAlign w:val="center"/>
                </w:tcPr>
                <w:p w14:paraId="39E7B5BD">
                  <w:pPr>
                    <w:pStyle w:val="25"/>
                    <w:rPr>
                      <w:b w:val="0"/>
                      <w:bCs w:val="0"/>
                      <w:color w:val="auto"/>
                      <w:highlight w:val="none"/>
                    </w:rPr>
                  </w:pPr>
                  <w:r>
                    <w:rPr>
                      <w:b w:val="0"/>
                      <w:bCs w:val="0"/>
                      <w:color w:val="auto"/>
                      <w:highlight w:val="none"/>
                    </w:rPr>
                    <w:t>用Φ444.5mm钻头一开，钻穿砾石层至少20m，钻至井深500m左右，下入Φ339.7mm表层套管，水泥返至地面。</w:t>
                  </w:r>
                </w:p>
                <w:p w14:paraId="0933E2CA">
                  <w:pPr>
                    <w:pStyle w:val="25"/>
                    <w:rPr>
                      <w:b w:val="0"/>
                      <w:bCs w:val="0"/>
                      <w:color w:val="auto"/>
                      <w:highlight w:val="none"/>
                      <w:lang w:val="en-US" w:bidi="ar-SA"/>
                    </w:rPr>
                  </w:pPr>
                  <w:r>
                    <w:rPr>
                      <w:b w:val="0"/>
                      <w:bCs w:val="0"/>
                      <w:color w:val="auto"/>
                      <w:highlight w:val="none"/>
                    </w:rPr>
                    <w:t>表套下深原则：封隔表层承压能力薄弱地层。</w:t>
                  </w:r>
                </w:p>
              </w:tc>
            </w:tr>
            <w:tr w14:paraId="540F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92" w:type="dxa"/>
                  <w:vAlign w:val="center"/>
                </w:tcPr>
                <w:p w14:paraId="7F1C6001">
                  <w:pPr>
                    <w:pStyle w:val="25"/>
                    <w:rPr>
                      <w:b w:val="0"/>
                      <w:bCs w:val="0"/>
                      <w:color w:val="auto"/>
                      <w:highlight w:val="none"/>
                    </w:rPr>
                  </w:pPr>
                  <w:r>
                    <w:rPr>
                      <w:b w:val="0"/>
                      <w:bCs w:val="0"/>
                      <w:color w:val="auto"/>
                      <w:highlight w:val="none"/>
                    </w:rPr>
                    <w:t>二开</w:t>
                  </w:r>
                </w:p>
              </w:tc>
              <w:tc>
                <w:tcPr>
                  <w:tcW w:w="1203" w:type="dxa"/>
                  <w:vAlign w:val="center"/>
                </w:tcPr>
                <w:p w14:paraId="7E9C121A">
                  <w:pPr>
                    <w:pStyle w:val="25"/>
                    <w:rPr>
                      <w:b w:val="0"/>
                      <w:bCs w:val="0"/>
                      <w:color w:val="auto"/>
                      <w:highlight w:val="none"/>
                    </w:rPr>
                  </w:pPr>
                  <w:r>
                    <w:rPr>
                      <w:b w:val="0"/>
                      <w:bCs w:val="0"/>
                      <w:color w:val="auto"/>
                      <w:highlight w:val="none"/>
                    </w:rPr>
                    <w:t>Φ244.5</w:t>
                  </w:r>
                </w:p>
              </w:tc>
              <w:tc>
                <w:tcPr>
                  <w:tcW w:w="6142" w:type="dxa"/>
                  <w:vAlign w:val="center"/>
                </w:tcPr>
                <w:p w14:paraId="446F6682">
                  <w:pPr>
                    <w:pStyle w:val="25"/>
                    <w:rPr>
                      <w:b w:val="0"/>
                      <w:bCs w:val="0"/>
                      <w:color w:val="auto"/>
                      <w:highlight w:val="none"/>
                    </w:rPr>
                  </w:pPr>
                  <w:r>
                    <w:rPr>
                      <w:b w:val="0"/>
                      <w:bCs w:val="0"/>
                      <w:color w:val="auto"/>
                      <w:highlight w:val="none"/>
                    </w:rPr>
                    <w:t>用Φ311mm钻头二开，钻至井深3600/3730m左右，下入Φ244.5mm技术套管，采用抗盐+抗盐低密复合水泥浆体系固井。抗盐水泥返至2300/2500m。</w:t>
                  </w:r>
                </w:p>
                <w:p w14:paraId="00BC54D5">
                  <w:pPr>
                    <w:pStyle w:val="25"/>
                    <w:rPr>
                      <w:b w:val="0"/>
                      <w:bCs w:val="0"/>
                      <w:color w:val="auto"/>
                      <w:highlight w:val="none"/>
                      <w:lang w:val="en-US" w:bidi="ar-SA"/>
                    </w:rPr>
                  </w:pPr>
                  <w:r>
                    <w:rPr>
                      <w:b w:val="0"/>
                      <w:bCs w:val="0"/>
                      <w:color w:val="auto"/>
                      <w:highlight w:val="none"/>
                    </w:rPr>
                    <w:t>技套下深原则：钻穿郝家沟组进入黄山街组60m左右，为三开安全钻进提供井筒保障。</w:t>
                  </w:r>
                </w:p>
              </w:tc>
            </w:tr>
            <w:tr w14:paraId="3741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92" w:type="dxa"/>
                  <w:vAlign w:val="center"/>
                </w:tcPr>
                <w:p w14:paraId="654E4AFF">
                  <w:pPr>
                    <w:pStyle w:val="25"/>
                    <w:rPr>
                      <w:b w:val="0"/>
                      <w:bCs w:val="0"/>
                      <w:color w:val="auto"/>
                      <w:highlight w:val="none"/>
                    </w:rPr>
                  </w:pPr>
                  <w:r>
                    <w:rPr>
                      <w:b w:val="0"/>
                      <w:bCs w:val="0"/>
                      <w:color w:val="auto"/>
                      <w:highlight w:val="none"/>
                    </w:rPr>
                    <w:t>三开</w:t>
                  </w:r>
                </w:p>
              </w:tc>
              <w:tc>
                <w:tcPr>
                  <w:tcW w:w="1203" w:type="dxa"/>
                  <w:vAlign w:val="center"/>
                </w:tcPr>
                <w:p w14:paraId="079FF7E0">
                  <w:pPr>
                    <w:pStyle w:val="25"/>
                    <w:rPr>
                      <w:b w:val="0"/>
                      <w:bCs w:val="0"/>
                      <w:color w:val="auto"/>
                      <w:highlight w:val="none"/>
                    </w:rPr>
                  </w:pPr>
                  <w:r>
                    <w:rPr>
                      <w:b w:val="0"/>
                      <w:bCs w:val="0"/>
                      <w:color w:val="auto"/>
                      <w:highlight w:val="none"/>
                    </w:rPr>
                    <w:t>Φ139.7</w:t>
                  </w:r>
                </w:p>
              </w:tc>
              <w:tc>
                <w:tcPr>
                  <w:tcW w:w="6142" w:type="dxa"/>
                  <w:vAlign w:val="center"/>
                </w:tcPr>
                <w:p w14:paraId="1EF4FAAF">
                  <w:pPr>
                    <w:pStyle w:val="25"/>
                    <w:rPr>
                      <w:b w:val="0"/>
                      <w:bCs w:val="0"/>
                      <w:color w:val="auto"/>
                      <w:highlight w:val="none"/>
                      <w:lang w:val="en-US" w:bidi="ar-SA"/>
                    </w:rPr>
                  </w:pPr>
                  <w:r>
                    <w:rPr>
                      <w:b w:val="0"/>
                      <w:bCs w:val="0"/>
                      <w:color w:val="auto"/>
                      <w:highlight w:val="none"/>
                    </w:rPr>
                    <w:t>用Ф216mm钻头三开，钻至井深</w:t>
                  </w:r>
                  <w:r>
                    <w:rPr>
                      <w:b w:val="0"/>
                      <w:bCs w:val="0"/>
                      <w:color w:val="auto"/>
                      <w:highlight w:val="none"/>
                      <w:lang w:val="en-US"/>
                    </w:rPr>
                    <w:t>5410m/</w:t>
                  </w:r>
                  <w:r>
                    <w:rPr>
                      <w:b w:val="0"/>
                      <w:bCs w:val="0"/>
                      <w:color w:val="auto"/>
                      <w:highlight w:val="none"/>
                    </w:rPr>
                    <w:t>6992m完钻，下入Φ139.7mm油层套管，采用抗盐增韧加砂+抗盐复合水泥浆体系固井。抗盐增韧加砂水泥返至3500/4200m。</w:t>
                  </w:r>
                </w:p>
              </w:tc>
            </w:tr>
          </w:tbl>
          <w:p w14:paraId="71C0D694">
            <w:pPr>
              <w:widowControl w:val="0"/>
              <w:kinsoku/>
              <w:jc w:val="center"/>
              <w:rPr>
                <w:rFonts w:ascii="Times New Roman" w:hAnsi="Times New Roman" w:eastAsia="宋体" w:cs="Times New Roman"/>
                <w:b/>
                <w:bCs/>
                <w:color w:val="auto"/>
                <w:sz w:val="24"/>
                <w:szCs w:val="24"/>
                <w:highlight w:val="none"/>
                <w:lang w:eastAsia="zh-CN"/>
              </w:rPr>
            </w:pPr>
          </w:p>
          <w:p w14:paraId="0DF4ECDF">
            <w:pPr>
              <w:widowControl w:val="0"/>
              <w:kinsoku/>
              <w:jc w:val="center"/>
              <w:rPr>
                <w:rFonts w:ascii="Times New Roman" w:hAnsi="Times New Roman" w:eastAsia="宋体" w:cs="Times New Roman"/>
                <w:b/>
                <w:bCs/>
                <w:color w:val="auto"/>
                <w:sz w:val="24"/>
                <w:szCs w:val="24"/>
                <w:highlight w:val="none"/>
                <w:lang w:eastAsia="zh-CN"/>
              </w:rPr>
            </w:pPr>
            <w:r>
              <w:rPr>
                <w:rFonts w:ascii="Times New Roman" w:hAnsi="Times New Roman" w:cs="Times New Roman"/>
                <w:color w:val="auto"/>
                <w:highlight w:val="none"/>
              </w:rPr>
              <w:drawing>
                <wp:inline distT="0" distB="0" distL="114300" distR="114300">
                  <wp:extent cx="5189855" cy="6650355"/>
                  <wp:effectExtent l="0" t="0" r="10795" b="171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189855" cy="6650355"/>
                          </a:xfrm>
                          <a:prstGeom prst="rect">
                            <a:avLst/>
                          </a:prstGeom>
                          <a:noFill/>
                          <a:ln>
                            <a:noFill/>
                          </a:ln>
                        </pic:spPr>
                      </pic:pic>
                    </a:graphicData>
                  </a:graphic>
                </wp:inline>
              </w:drawing>
            </w:r>
          </w:p>
          <w:p w14:paraId="082FD94B">
            <w:pPr>
              <w:pStyle w:val="22"/>
              <w:widowControl w:val="0"/>
              <w:kinsoku/>
              <w:spacing w:before="152" w:line="228" w:lineRule="auto"/>
              <w:ind w:left="3204"/>
              <w:jc w:val="both"/>
              <w:rPr>
                <w:rFonts w:ascii="Times New Roman" w:hAnsi="Times New Roman" w:cs="Times New Roman"/>
                <w:b/>
                <w:bCs/>
                <w:color w:val="auto"/>
                <w:spacing w:val="4"/>
                <w:highlight w:val="none"/>
                <w:lang w:eastAsia="zh-CN"/>
              </w:rPr>
            </w:pPr>
            <w:r>
              <w:rPr>
                <w:rFonts w:ascii="Times New Roman" w:hAnsi="Times New Roman" w:cs="Times New Roman"/>
                <w:b/>
                <w:bCs/>
                <w:color w:val="auto"/>
                <w:spacing w:val="4"/>
                <w:highlight w:val="none"/>
                <w:lang w:eastAsia="zh-CN"/>
              </w:rPr>
              <w:t>图2-1 阜4803H井身结构示意图</w:t>
            </w:r>
          </w:p>
          <w:p w14:paraId="22153A94">
            <w:pPr>
              <w:pStyle w:val="22"/>
              <w:widowControl w:val="0"/>
              <w:kinsoku/>
              <w:spacing w:line="240" w:lineRule="atLeast"/>
              <w:jc w:val="both"/>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drawing>
                <wp:inline distT="0" distB="0" distL="0" distR="0">
                  <wp:extent cx="5270500" cy="7358380"/>
                  <wp:effectExtent l="0" t="0" r="6350" b="13970"/>
                  <wp:docPr id="1280508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08798" name="图片 1"/>
                          <pic:cNvPicPr>
                            <a:picLocks noChangeAspect="1"/>
                          </pic:cNvPicPr>
                        </pic:nvPicPr>
                        <pic:blipFill>
                          <a:blip r:embed="rId11"/>
                          <a:stretch>
                            <a:fillRect/>
                          </a:stretch>
                        </pic:blipFill>
                        <pic:spPr>
                          <a:xfrm>
                            <a:off x="0" y="0"/>
                            <a:ext cx="5270500" cy="7358380"/>
                          </a:xfrm>
                          <a:prstGeom prst="rect">
                            <a:avLst/>
                          </a:prstGeom>
                        </pic:spPr>
                      </pic:pic>
                    </a:graphicData>
                  </a:graphic>
                </wp:inline>
              </w:drawing>
            </w:r>
          </w:p>
          <w:p w14:paraId="1C734DDE">
            <w:pPr>
              <w:pStyle w:val="22"/>
              <w:widowControl w:val="0"/>
              <w:kinsoku/>
              <w:spacing w:before="152" w:line="228" w:lineRule="auto"/>
              <w:ind w:left="3204"/>
              <w:jc w:val="both"/>
              <w:rPr>
                <w:rFonts w:ascii="Times New Roman" w:hAnsi="Times New Roman" w:cs="Times New Roman"/>
                <w:b/>
                <w:bCs/>
                <w:color w:val="auto"/>
                <w:spacing w:val="4"/>
                <w:highlight w:val="none"/>
                <w:lang w:eastAsia="zh-CN"/>
              </w:rPr>
            </w:pPr>
            <w:r>
              <w:rPr>
                <w:rFonts w:ascii="Times New Roman" w:hAnsi="Times New Roman" w:cs="Times New Roman"/>
                <w:b/>
                <w:bCs/>
                <w:color w:val="auto"/>
                <w:spacing w:val="4"/>
                <w:highlight w:val="none"/>
                <w:lang w:eastAsia="zh-CN"/>
              </w:rPr>
              <w:t>图2-2 阜4805H井身结构示意图</w:t>
            </w:r>
          </w:p>
          <w:p w14:paraId="2EAFC127">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5.主要设备</w:t>
            </w:r>
          </w:p>
          <w:p w14:paraId="2791C3C5">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本项目单个钻井工程主要设备见下表2-7，单个钻井试油工程主要设备见下表2-8，储层改造设备见表2-9。</w:t>
            </w:r>
          </w:p>
          <w:p w14:paraId="1E1024CD">
            <w:pPr>
              <w:widowControl w:val="0"/>
              <w:kinsoku/>
              <w:spacing w:line="500" w:lineRule="exact"/>
              <w:jc w:val="center"/>
              <w:rPr>
                <w:rFonts w:ascii="Times New Roman" w:hAnsi="Times New Roman" w:eastAsia="宋体" w:cs="Times New Roman"/>
                <w:b/>
                <w:bCs/>
                <w:color w:val="auto"/>
                <w:spacing w:val="5"/>
                <w:kern w:val="2"/>
                <w:highlight w:val="none"/>
                <w:lang w:eastAsia="zh-CN"/>
              </w:rPr>
            </w:pPr>
            <w:r>
              <w:rPr>
                <w:rFonts w:ascii="Times New Roman" w:hAnsi="Times New Roman" w:eastAsia="宋体" w:cs="Times New Roman"/>
                <w:b/>
                <w:bCs/>
                <w:color w:val="auto"/>
                <w:spacing w:val="5"/>
                <w:kern w:val="2"/>
                <w:highlight w:val="none"/>
                <w:lang w:eastAsia="zh-CN"/>
              </w:rPr>
              <w:t>表2-7 单个钻井工程主要设备</w:t>
            </w:r>
          </w:p>
          <w:tbl>
            <w:tblPr>
              <w:tblStyle w:val="16"/>
              <w:tblW w:w="8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937"/>
              <w:gridCol w:w="971"/>
              <w:gridCol w:w="1482"/>
              <w:gridCol w:w="1014"/>
              <w:gridCol w:w="965"/>
              <w:gridCol w:w="936"/>
              <w:gridCol w:w="936"/>
            </w:tblGrid>
            <w:tr w14:paraId="39D2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C6083D8">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5"/>
                      <w:sz w:val="21"/>
                      <w:szCs w:val="21"/>
                      <w:highlight w:val="none"/>
                      <w:lang w:eastAsia="zh-CN"/>
                    </w:rPr>
                    <w:t>序号</w:t>
                  </w:r>
                </w:p>
              </w:tc>
              <w:tc>
                <w:tcPr>
                  <w:tcW w:w="1908" w:type="dxa"/>
                  <w:gridSpan w:val="2"/>
                  <w:vAlign w:val="center"/>
                </w:tcPr>
                <w:p w14:paraId="4DAED839">
                  <w:pPr>
                    <w:pStyle w:val="5"/>
                    <w:widowControl/>
                    <w:kinsoku/>
                    <w:spacing w:line="240" w:lineRule="atLeast"/>
                    <w:ind w:firstLine="0" w:firstLineChars="0"/>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spacing w:val="3"/>
                      <w:highlight w:val="none"/>
                      <w:lang w:eastAsia="zh-CN"/>
                    </w:rPr>
                    <w:t>名称</w:t>
                  </w:r>
                </w:p>
              </w:tc>
              <w:tc>
                <w:tcPr>
                  <w:tcW w:w="1482" w:type="dxa"/>
                  <w:vAlign w:val="center"/>
                </w:tcPr>
                <w:p w14:paraId="47A9EC22">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1"/>
                      <w:sz w:val="21"/>
                      <w:szCs w:val="21"/>
                      <w:highlight w:val="none"/>
                      <w:lang w:eastAsia="zh-CN"/>
                    </w:rPr>
                    <w:t>型号</w:t>
                  </w:r>
                </w:p>
              </w:tc>
              <w:tc>
                <w:tcPr>
                  <w:tcW w:w="1014" w:type="dxa"/>
                  <w:vAlign w:val="center"/>
                </w:tcPr>
                <w:p w14:paraId="5CD49DA1">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4"/>
                      <w:sz w:val="21"/>
                      <w:szCs w:val="21"/>
                      <w:highlight w:val="none"/>
                      <w:lang w:eastAsia="zh-CN"/>
                    </w:rPr>
                    <w:t>载荷</w:t>
                  </w:r>
                </w:p>
              </w:tc>
              <w:tc>
                <w:tcPr>
                  <w:tcW w:w="965" w:type="dxa"/>
                  <w:vAlign w:val="center"/>
                </w:tcPr>
                <w:p w14:paraId="63B01C0D">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10"/>
                      <w:sz w:val="21"/>
                      <w:szCs w:val="21"/>
                      <w:highlight w:val="none"/>
                      <w:lang w:eastAsia="zh-CN"/>
                    </w:rPr>
                    <w:t>功率</w:t>
                  </w:r>
                  <w:r>
                    <w:rPr>
                      <w:rFonts w:ascii="Times New Roman" w:hAnsi="Times New Roman" w:cs="Times New Roman"/>
                      <w:b/>
                      <w:bCs/>
                      <w:color w:val="auto"/>
                      <w:sz w:val="21"/>
                      <w:szCs w:val="21"/>
                      <w:highlight w:val="none"/>
                      <w:lang w:eastAsia="zh-CN"/>
                    </w:rPr>
                    <w:t>kW</w:t>
                  </w:r>
                </w:p>
              </w:tc>
              <w:tc>
                <w:tcPr>
                  <w:tcW w:w="936" w:type="dxa"/>
                  <w:vAlign w:val="center"/>
                </w:tcPr>
                <w:p w14:paraId="76311482">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3"/>
                      <w:sz w:val="21"/>
                      <w:szCs w:val="21"/>
                      <w:highlight w:val="none"/>
                      <w:lang w:eastAsia="zh-CN"/>
                    </w:rPr>
                    <w:t>单位</w:t>
                  </w:r>
                </w:p>
              </w:tc>
              <w:tc>
                <w:tcPr>
                  <w:tcW w:w="936" w:type="dxa"/>
                  <w:vAlign w:val="center"/>
                </w:tcPr>
                <w:p w14:paraId="53ECADBF">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3"/>
                      <w:sz w:val="21"/>
                      <w:szCs w:val="21"/>
                      <w:highlight w:val="none"/>
                      <w:lang w:eastAsia="zh-CN"/>
                    </w:rPr>
                    <w:t>数量</w:t>
                  </w:r>
                </w:p>
              </w:tc>
            </w:tr>
            <w:tr w14:paraId="0E57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43651EA">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c>
                <w:tcPr>
                  <w:tcW w:w="1908" w:type="dxa"/>
                  <w:gridSpan w:val="2"/>
                  <w:vAlign w:val="center"/>
                </w:tcPr>
                <w:p w14:paraId="42F162C9">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钻机</w:t>
                  </w:r>
                </w:p>
              </w:tc>
              <w:tc>
                <w:tcPr>
                  <w:tcW w:w="1482" w:type="dxa"/>
                  <w:vAlign w:val="center"/>
                </w:tcPr>
                <w:p w14:paraId="41679E9F">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ZJ</w:t>
                  </w:r>
                  <w:r>
                    <w:rPr>
                      <w:rFonts w:ascii="Times New Roman" w:hAnsi="Times New Roman" w:eastAsia="宋体" w:cs="Times New Roman"/>
                      <w:color w:val="auto"/>
                      <w:spacing w:val="6"/>
                      <w:highlight w:val="none"/>
                      <w:lang w:eastAsia="zh-CN"/>
                    </w:rPr>
                    <w:t>-50</w:t>
                  </w:r>
                </w:p>
              </w:tc>
              <w:tc>
                <w:tcPr>
                  <w:tcW w:w="1014" w:type="dxa"/>
                  <w:vAlign w:val="center"/>
                </w:tcPr>
                <w:p w14:paraId="3F3D1F4A">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26E63872">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691029BB">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部</w:t>
                  </w:r>
                </w:p>
              </w:tc>
              <w:tc>
                <w:tcPr>
                  <w:tcW w:w="936" w:type="dxa"/>
                  <w:vAlign w:val="center"/>
                </w:tcPr>
                <w:p w14:paraId="2C1DCD3E">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5884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E48F7FB">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w:t>
                  </w:r>
                </w:p>
              </w:tc>
              <w:tc>
                <w:tcPr>
                  <w:tcW w:w="1908" w:type="dxa"/>
                  <w:gridSpan w:val="2"/>
                  <w:vAlign w:val="center"/>
                </w:tcPr>
                <w:p w14:paraId="605E2A61">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井架</w:t>
                  </w:r>
                </w:p>
              </w:tc>
              <w:tc>
                <w:tcPr>
                  <w:tcW w:w="1482" w:type="dxa"/>
                  <w:vAlign w:val="center"/>
                </w:tcPr>
                <w:p w14:paraId="178CAF0C">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JJ</w:t>
                  </w:r>
                  <w:r>
                    <w:rPr>
                      <w:rFonts w:ascii="Times New Roman" w:hAnsi="Times New Roman" w:eastAsia="宋体" w:cs="Times New Roman"/>
                      <w:color w:val="auto"/>
                      <w:spacing w:val="6"/>
                      <w:highlight w:val="none"/>
                      <w:lang w:eastAsia="zh-CN"/>
                    </w:rPr>
                    <w:t>450</w:t>
                  </w:r>
                </w:p>
              </w:tc>
              <w:tc>
                <w:tcPr>
                  <w:tcW w:w="1014" w:type="dxa"/>
                  <w:vAlign w:val="center"/>
                </w:tcPr>
                <w:p w14:paraId="0B2410BE">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7"/>
                      <w:highlight w:val="none"/>
                      <w:lang w:eastAsia="zh-CN"/>
                    </w:rPr>
                    <w:t>4500</w:t>
                  </w:r>
                  <w:r>
                    <w:rPr>
                      <w:rFonts w:ascii="Times New Roman" w:hAnsi="Times New Roman" w:eastAsia="宋体" w:cs="Times New Roman"/>
                      <w:color w:val="auto"/>
                      <w:highlight w:val="none"/>
                      <w:lang w:eastAsia="zh-CN"/>
                    </w:rPr>
                    <w:t>KN</w:t>
                  </w:r>
                </w:p>
              </w:tc>
              <w:tc>
                <w:tcPr>
                  <w:tcW w:w="965" w:type="dxa"/>
                  <w:vAlign w:val="center"/>
                </w:tcPr>
                <w:p w14:paraId="01A2F10A">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6305BFF5">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部</w:t>
                  </w:r>
                </w:p>
              </w:tc>
              <w:tc>
                <w:tcPr>
                  <w:tcW w:w="936" w:type="dxa"/>
                  <w:vAlign w:val="center"/>
                </w:tcPr>
                <w:p w14:paraId="6EA2041A">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451E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59307F4">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w:t>
                  </w:r>
                </w:p>
              </w:tc>
              <w:tc>
                <w:tcPr>
                  <w:tcW w:w="1908" w:type="dxa"/>
                  <w:gridSpan w:val="2"/>
                  <w:vAlign w:val="center"/>
                </w:tcPr>
                <w:p w14:paraId="54A50417">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天车</w:t>
                  </w:r>
                </w:p>
              </w:tc>
              <w:tc>
                <w:tcPr>
                  <w:tcW w:w="1482" w:type="dxa"/>
                  <w:vAlign w:val="center"/>
                </w:tcPr>
                <w:p w14:paraId="599AC823">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TC</w:t>
                  </w:r>
                  <w:r>
                    <w:rPr>
                      <w:rFonts w:ascii="Times New Roman" w:hAnsi="Times New Roman" w:eastAsia="宋体" w:cs="Times New Roman"/>
                      <w:color w:val="auto"/>
                      <w:spacing w:val="5"/>
                      <w:highlight w:val="none"/>
                      <w:lang w:eastAsia="zh-CN"/>
                    </w:rPr>
                    <w:t>-450</w:t>
                  </w:r>
                </w:p>
              </w:tc>
              <w:tc>
                <w:tcPr>
                  <w:tcW w:w="1014" w:type="dxa"/>
                  <w:vAlign w:val="center"/>
                </w:tcPr>
                <w:p w14:paraId="21FCC221">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7"/>
                      <w:highlight w:val="none"/>
                      <w:lang w:eastAsia="zh-CN"/>
                    </w:rPr>
                    <w:t>4500</w:t>
                  </w:r>
                  <w:r>
                    <w:rPr>
                      <w:rFonts w:ascii="Times New Roman" w:hAnsi="Times New Roman" w:eastAsia="宋体" w:cs="Times New Roman"/>
                      <w:color w:val="auto"/>
                      <w:highlight w:val="none"/>
                      <w:lang w:eastAsia="zh-CN"/>
                    </w:rPr>
                    <w:t>KN</w:t>
                  </w:r>
                </w:p>
              </w:tc>
              <w:tc>
                <w:tcPr>
                  <w:tcW w:w="965" w:type="dxa"/>
                  <w:vAlign w:val="center"/>
                </w:tcPr>
                <w:p w14:paraId="78B0368A">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1B294213">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18D882C9">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4E56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D36D149">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1"/>
                      <w:highlight w:val="none"/>
                      <w:lang w:eastAsia="zh-CN"/>
                    </w:rPr>
                    <w:t>4</w:t>
                  </w:r>
                </w:p>
              </w:tc>
              <w:tc>
                <w:tcPr>
                  <w:tcW w:w="1908" w:type="dxa"/>
                  <w:gridSpan w:val="2"/>
                  <w:vAlign w:val="center"/>
                </w:tcPr>
                <w:p w14:paraId="2B0799C3">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7"/>
                      <w:highlight w:val="none"/>
                      <w:lang w:eastAsia="zh-CN"/>
                    </w:rPr>
                    <w:t>游动滑车</w:t>
                  </w:r>
                </w:p>
              </w:tc>
              <w:tc>
                <w:tcPr>
                  <w:tcW w:w="1482" w:type="dxa"/>
                  <w:vAlign w:val="center"/>
                </w:tcPr>
                <w:p w14:paraId="5DA2A92D">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YC</w:t>
                  </w:r>
                  <w:r>
                    <w:rPr>
                      <w:rFonts w:ascii="Times New Roman" w:hAnsi="Times New Roman" w:eastAsia="宋体" w:cs="Times New Roman"/>
                      <w:color w:val="auto"/>
                      <w:spacing w:val="7"/>
                      <w:highlight w:val="none"/>
                      <w:lang w:eastAsia="zh-CN"/>
                    </w:rPr>
                    <w:t>-450</w:t>
                  </w:r>
                </w:p>
              </w:tc>
              <w:tc>
                <w:tcPr>
                  <w:tcW w:w="1014" w:type="dxa"/>
                  <w:vAlign w:val="center"/>
                </w:tcPr>
                <w:p w14:paraId="44410D4C">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7"/>
                      <w:highlight w:val="none"/>
                      <w:lang w:eastAsia="zh-CN"/>
                    </w:rPr>
                    <w:t>4500</w:t>
                  </w:r>
                  <w:r>
                    <w:rPr>
                      <w:rFonts w:ascii="Times New Roman" w:hAnsi="Times New Roman" w:eastAsia="宋体" w:cs="Times New Roman"/>
                      <w:color w:val="auto"/>
                      <w:highlight w:val="none"/>
                      <w:lang w:eastAsia="zh-CN"/>
                    </w:rPr>
                    <w:t>KN</w:t>
                  </w:r>
                </w:p>
              </w:tc>
              <w:tc>
                <w:tcPr>
                  <w:tcW w:w="965" w:type="dxa"/>
                  <w:vAlign w:val="center"/>
                </w:tcPr>
                <w:p w14:paraId="0EA7F04F">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5BBAB60D">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24E70922">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72E8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BF7CB53">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5</w:t>
                  </w:r>
                </w:p>
              </w:tc>
              <w:tc>
                <w:tcPr>
                  <w:tcW w:w="1908" w:type="dxa"/>
                  <w:gridSpan w:val="2"/>
                  <w:vAlign w:val="center"/>
                </w:tcPr>
                <w:p w14:paraId="4C402324">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3"/>
                      <w:highlight w:val="none"/>
                      <w:lang w:eastAsia="zh-CN"/>
                    </w:rPr>
                    <w:t>大钩</w:t>
                  </w:r>
                </w:p>
              </w:tc>
              <w:tc>
                <w:tcPr>
                  <w:tcW w:w="1482" w:type="dxa"/>
                  <w:vAlign w:val="center"/>
                </w:tcPr>
                <w:p w14:paraId="5390FCCF">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DG</w:t>
                  </w:r>
                  <w:r>
                    <w:rPr>
                      <w:rFonts w:ascii="Times New Roman" w:hAnsi="Times New Roman" w:eastAsia="宋体" w:cs="Times New Roman"/>
                      <w:color w:val="auto"/>
                      <w:spacing w:val="7"/>
                      <w:highlight w:val="none"/>
                      <w:lang w:eastAsia="zh-CN"/>
                    </w:rPr>
                    <w:t>-450</w:t>
                  </w:r>
                </w:p>
              </w:tc>
              <w:tc>
                <w:tcPr>
                  <w:tcW w:w="1014" w:type="dxa"/>
                  <w:vAlign w:val="center"/>
                </w:tcPr>
                <w:p w14:paraId="7C3F7E24">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7"/>
                      <w:highlight w:val="none"/>
                      <w:lang w:eastAsia="zh-CN"/>
                    </w:rPr>
                    <w:t>4500</w:t>
                  </w:r>
                  <w:r>
                    <w:rPr>
                      <w:rFonts w:ascii="Times New Roman" w:hAnsi="Times New Roman" w:eastAsia="宋体" w:cs="Times New Roman"/>
                      <w:color w:val="auto"/>
                      <w:highlight w:val="none"/>
                      <w:lang w:eastAsia="zh-CN"/>
                    </w:rPr>
                    <w:t>KN</w:t>
                  </w:r>
                </w:p>
              </w:tc>
              <w:tc>
                <w:tcPr>
                  <w:tcW w:w="965" w:type="dxa"/>
                  <w:vAlign w:val="center"/>
                </w:tcPr>
                <w:p w14:paraId="2AD72F54">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1C3F73EC">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494EE65F">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323F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2A25A9B">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6</w:t>
                  </w:r>
                </w:p>
              </w:tc>
              <w:tc>
                <w:tcPr>
                  <w:tcW w:w="1908" w:type="dxa"/>
                  <w:gridSpan w:val="2"/>
                  <w:vAlign w:val="center"/>
                </w:tcPr>
                <w:p w14:paraId="097ADB22">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6"/>
                      <w:highlight w:val="none"/>
                      <w:lang w:eastAsia="zh-CN"/>
                    </w:rPr>
                    <w:t>水龙头</w:t>
                  </w:r>
                </w:p>
              </w:tc>
              <w:tc>
                <w:tcPr>
                  <w:tcW w:w="1482" w:type="dxa"/>
                  <w:vAlign w:val="center"/>
                </w:tcPr>
                <w:p w14:paraId="49354D44">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SL</w:t>
                  </w:r>
                  <w:r>
                    <w:rPr>
                      <w:rFonts w:ascii="Times New Roman" w:hAnsi="Times New Roman" w:eastAsia="宋体" w:cs="Times New Roman"/>
                      <w:color w:val="auto"/>
                      <w:spacing w:val="3"/>
                      <w:highlight w:val="none"/>
                      <w:lang w:eastAsia="zh-CN"/>
                    </w:rPr>
                    <w:t>-450</w:t>
                  </w:r>
                </w:p>
              </w:tc>
              <w:tc>
                <w:tcPr>
                  <w:tcW w:w="1014" w:type="dxa"/>
                  <w:vAlign w:val="center"/>
                </w:tcPr>
                <w:p w14:paraId="1CE20019">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7"/>
                      <w:highlight w:val="none"/>
                      <w:lang w:eastAsia="zh-CN"/>
                    </w:rPr>
                    <w:t>4500</w:t>
                  </w:r>
                  <w:r>
                    <w:rPr>
                      <w:rFonts w:ascii="Times New Roman" w:hAnsi="Times New Roman" w:eastAsia="宋体" w:cs="Times New Roman"/>
                      <w:color w:val="auto"/>
                      <w:highlight w:val="none"/>
                      <w:lang w:eastAsia="zh-CN"/>
                    </w:rPr>
                    <w:t>KN</w:t>
                  </w:r>
                </w:p>
              </w:tc>
              <w:tc>
                <w:tcPr>
                  <w:tcW w:w="965" w:type="dxa"/>
                  <w:vAlign w:val="center"/>
                </w:tcPr>
                <w:p w14:paraId="252A831E">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6AF4ED0A">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51367BFD">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5B63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6530ABC">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7</w:t>
                  </w:r>
                </w:p>
              </w:tc>
              <w:tc>
                <w:tcPr>
                  <w:tcW w:w="1908" w:type="dxa"/>
                  <w:gridSpan w:val="2"/>
                  <w:vAlign w:val="center"/>
                </w:tcPr>
                <w:p w14:paraId="7ACF9D7E">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转盘</w:t>
                  </w:r>
                </w:p>
              </w:tc>
              <w:tc>
                <w:tcPr>
                  <w:tcW w:w="1482" w:type="dxa"/>
                  <w:vAlign w:val="center"/>
                </w:tcPr>
                <w:p w14:paraId="09D9EAC1">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ZP</w:t>
                  </w:r>
                  <w:r>
                    <w:rPr>
                      <w:rFonts w:ascii="Times New Roman" w:hAnsi="Times New Roman" w:eastAsia="宋体" w:cs="Times New Roman"/>
                      <w:color w:val="auto"/>
                      <w:spacing w:val="6"/>
                      <w:highlight w:val="none"/>
                      <w:lang w:eastAsia="zh-CN"/>
                    </w:rPr>
                    <w:t>-375</w:t>
                  </w:r>
                </w:p>
              </w:tc>
              <w:tc>
                <w:tcPr>
                  <w:tcW w:w="1014" w:type="dxa"/>
                  <w:vAlign w:val="center"/>
                </w:tcPr>
                <w:p w14:paraId="080FAAE2">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200T</w:t>
                  </w:r>
                </w:p>
              </w:tc>
              <w:tc>
                <w:tcPr>
                  <w:tcW w:w="965" w:type="dxa"/>
                  <w:vAlign w:val="center"/>
                </w:tcPr>
                <w:p w14:paraId="5C1B5F7D">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212B31E0">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112534B2">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407A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BA9DA33">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8</w:t>
                  </w:r>
                </w:p>
              </w:tc>
              <w:tc>
                <w:tcPr>
                  <w:tcW w:w="1908" w:type="dxa"/>
                  <w:gridSpan w:val="2"/>
                  <w:vAlign w:val="center"/>
                </w:tcPr>
                <w:p w14:paraId="0E249326">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3"/>
                      <w:highlight w:val="none"/>
                      <w:lang w:eastAsia="zh-CN"/>
                    </w:rPr>
                    <w:t>绞车</w:t>
                  </w:r>
                </w:p>
              </w:tc>
              <w:tc>
                <w:tcPr>
                  <w:tcW w:w="1482" w:type="dxa"/>
                  <w:vAlign w:val="center"/>
                </w:tcPr>
                <w:p w14:paraId="2C2DCA42">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JC</w:t>
                  </w:r>
                  <w:r>
                    <w:rPr>
                      <w:rFonts w:ascii="Times New Roman" w:hAnsi="Times New Roman" w:eastAsia="宋体" w:cs="Times New Roman"/>
                      <w:color w:val="auto"/>
                      <w:spacing w:val="5"/>
                      <w:highlight w:val="none"/>
                      <w:lang w:eastAsia="zh-CN"/>
                    </w:rPr>
                    <w:t>-200</w:t>
                  </w:r>
                </w:p>
              </w:tc>
              <w:tc>
                <w:tcPr>
                  <w:tcW w:w="1014" w:type="dxa"/>
                  <w:vAlign w:val="center"/>
                </w:tcPr>
                <w:p w14:paraId="73B51B51">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05E5EE5C">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60F603AE">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58F81642">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0692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F16D783">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9</w:t>
                  </w:r>
                </w:p>
              </w:tc>
              <w:tc>
                <w:tcPr>
                  <w:tcW w:w="1908" w:type="dxa"/>
                  <w:gridSpan w:val="2"/>
                  <w:vAlign w:val="center"/>
                </w:tcPr>
                <w:p w14:paraId="6A569920">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6"/>
                      <w:highlight w:val="none"/>
                      <w:lang w:eastAsia="zh-CN"/>
                    </w:rPr>
                    <w:t>泥浆泵</w:t>
                  </w:r>
                </w:p>
              </w:tc>
              <w:tc>
                <w:tcPr>
                  <w:tcW w:w="1482" w:type="dxa"/>
                  <w:vAlign w:val="center"/>
                </w:tcPr>
                <w:p w14:paraId="173D46FB">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F-1600</w:t>
                  </w:r>
                </w:p>
              </w:tc>
              <w:tc>
                <w:tcPr>
                  <w:tcW w:w="1014" w:type="dxa"/>
                  <w:vAlign w:val="center"/>
                </w:tcPr>
                <w:p w14:paraId="24D8C34F">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2AC9630D">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1"/>
                      <w:highlight w:val="none"/>
                      <w:lang w:eastAsia="zh-CN"/>
                    </w:rPr>
                    <w:t>1600</w:t>
                  </w:r>
                </w:p>
              </w:tc>
              <w:tc>
                <w:tcPr>
                  <w:tcW w:w="936" w:type="dxa"/>
                  <w:vAlign w:val="center"/>
                </w:tcPr>
                <w:p w14:paraId="0AE9A9CA">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台</w:t>
                  </w:r>
                </w:p>
              </w:tc>
              <w:tc>
                <w:tcPr>
                  <w:tcW w:w="936" w:type="dxa"/>
                  <w:vAlign w:val="center"/>
                </w:tcPr>
                <w:p w14:paraId="41236979">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w:t>
                  </w:r>
                </w:p>
              </w:tc>
            </w:tr>
            <w:tr w14:paraId="1BA6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EAAC7AA">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8"/>
                      <w:highlight w:val="none"/>
                      <w:lang w:eastAsia="zh-CN"/>
                    </w:rPr>
                    <w:t>10</w:t>
                  </w:r>
                </w:p>
              </w:tc>
              <w:tc>
                <w:tcPr>
                  <w:tcW w:w="1908" w:type="dxa"/>
                  <w:gridSpan w:val="2"/>
                  <w:vAlign w:val="center"/>
                </w:tcPr>
                <w:p w14:paraId="68BA8053">
                  <w:pPr>
                    <w:pStyle w:val="5"/>
                    <w:widowControl/>
                    <w:kinsoku/>
                    <w:spacing w:line="240" w:lineRule="atLeast"/>
                    <w:ind w:firstLine="0" w:firstLineChars="0"/>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6"/>
                      <w:highlight w:val="none"/>
                      <w:lang w:eastAsia="zh-CN"/>
                    </w:rPr>
                    <w:t>柴油机</w:t>
                  </w:r>
                </w:p>
              </w:tc>
              <w:tc>
                <w:tcPr>
                  <w:tcW w:w="1482" w:type="dxa"/>
                  <w:vAlign w:val="center"/>
                </w:tcPr>
                <w:p w14:paraId="55D9D980">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5"/>
                      <w:highlight w:val="none"/>
                      <w:lang w:eastAsia="zh-CN"/>
                    </w:rPr>
                    <w:t>G12V190</w:t>
                  </w:r>
                  <w:r>
                    <w:rPr>
                      <w:rFonts w:ascii="Times New Roman" w:hAnsi="Times New Roman" w:eastAsia="宋体" w:cs="Times New Roman"/>
                      <w:color w:val="auto"/>
                      <w:highlight w:val="none"/>
                      <w:lang w:eastAsia="zh-CN"/>
                    </w:rPr>
                    <w:t>PJL</w:t>
                  </w:r>
                  <w:r>
                    <w:rPr>
                      <w:rFonts w:ascii="Times New Roman" w:hAnsi="Times New Roman" w:eastAsia="宋体" w:cs="Times New Roman"/>
                      <w:color w:val="auto"/>
                      <w:spacing w:val="5"/>
                      <w:highlight w:val="none"/>
                      <w:lang w:eastAsia="zh-CN"/>
                    </w:rPr>
                    <w:t>-3</w:t>
                  </w:r>
                </w:p>
              </w:tc>
              <w:tc>
                <w:tcPr>
                  <w:tcW w:w="1014" w:type="dxa"/>
                  <w:vAlign w:val="center"/>
                </w:tcPr>
                <w:p w14:paraId="2179EC2D">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5D664AAB">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810</w:t>
                  </w:r>
                </w:p>
              </w:tc>
              <w:tc>
                <w:tcPr>
                  <w:tcW w:w="936" w:type="dxa"/>
                  <w:vAlign w:val="center"/>
                </w:tcPr>
                <w:p w14:paraId="384B7789">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台</w:t>
                  </w:r>
                </w:p>
              </w:tc>
              <w:tc>
                <w:tcPr>
                  <w:tcW w:w="936" w:type="dxa"/>
                  <w:vAlign w:val="center"/>
                </w:tcPr>
                <w:p w14:paraId="42358E73">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1"/>
                      <w:highlight w:val="none"/>
                      <w:lang w:eastAsia="zh-CN"/>
                    </w:rPr>
                    <w:t>3</w:t>
                  </w:r>
                </w:p>
              </w:tc>
            </w:tr>
            <w:tr w14:paraId="0A85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restart"/>
                  <w:vAlign w:val="center"/>
                </w:tcPr>
                <w:p w14:paraId="60F38205">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8"/>
                      <w:highlight w:val="none"/>
                      <w:lang w:eastAsia="zh-CN"/>
                    </w:rPr>
                    <w:t>11</w:t>
                  </w:r>
                </w:p>
              </w:tc>
              <w:tc>
                <w:tcPr>
                  <w:tcW w:w="937" w:type="dxa"/>
                  <w:vMerge w:val="restart"/>
                  <w:vAlign w:val="center"/>
                </w:tcPr>
                <w:p w14:paraId="78CFF452">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四级固</w:t>
                  </w:r>
                  <w:r>
                    <w:rPr>
                      <w:rFonts w:ascii="Times New Roman" w:hAnsi="Times New Roman" w:cs="Times New Roman"/>
                      <w:color w:val="auto"/>
                      <w:spacing w:val="7"/>
                      <w:sz w:val="21"/>
                      <w:szCs w:val="21"/>
                      <w:highlight w:val="none"/>
                      <w:lang w:eastAsia="zh-CN"/>
                    </w:rPr>
                    <w:t>控装置</w:t>
                  </w:r>
                </w:p>
              </w:tc>
              <w:tc>
                <w:tcPr>
                  <w:tcW w:w="971" w:type="dxa"/>
                  <w:vAlign w:val="center"/>
                </w:tcPr>
                <w:p w14:paraId="5CDCED51">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振动筛×3</w:t>
                  </w:r>
                </w:p>
              </w:tc>
              <w:tc>
                <w:tcPr>
                  <w:tcW w:w="1482" w:type="dxa"/>
                  <w:vAlign w:val="center"/>
                </w:tcPr>
                <w:p w14:paraId="22891C43">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ZX</w:t>
                  </w:r>
                  <w:r>
                    <w:rPr>
                      <w:rFonts w:ascii="Times New Roman" w:hAnsi="Times New Roman" w:eastAsia="宋体" w:cs="Times New Roman"/>
                      <w:color w:val="auto"/>
                      <w:spacing w:val="6"/>
                      <w:highlight w:val="none"/>
                      <w:lang w:eastAsia="zh-CN"/>
                    </w:rPr>
                    <w:t>-60×300</w:t>
                  </w:r>
                </w:p>
              </w:tc>
              <w:tc>
                <w:tcPr>
                  <w:tcW w:w="1014" w:type="dxa"/>
                  <w:vAlign w:val="center"/>
                </w:tcPr>
                <w:p w14:paraId="010DF608">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0FA45385">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2E24DB27">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组</w:t>
                  </w:r>
                </w:p>
              </w:tc>
              <w:tc>
                <w:tcPr>
                  <w:tcW w:w="936" w:type="dxa"/>
                  <w:vAlign w:val="center"/>
                </w:tcPr>
                <w:p w14:paraId="56F8313C">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6D73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vAlign w:val="center"/>
                </w:tcPr>
                <w:p w14:paraId="4455FF6C">
                  <w:pPr>
                    <w:widowControl/>
                    <w:kinsoku/>
                    <w:spacing w:line="240" w:lineRule="atLeast"/>
                    <w:jc w:val="center"/>
                    <w:rPr>
                      <w:rFonts w:ascii="Times New Roman" w:hAnsi="Times New Roman" w:eastAsia="宋体" w:cs="Times New Roman"/>
                      <w:color w:val="auto"/>
                      <w:highlight w:val="none"/>
                      <w:lang w:eastAsia="zh-CN"/>
                    </w:rPr>
                  </w:pPr>
                </w:p>
              </w:tc>
              <w:tc>
                <w:tcPr>
                  <w:tcW w:w="937" w:type="dxa"/>
                  <w:vMerge w:val="continue"/>
                  <w:vAlign w:val="center"/>
                </w:tcPr>
                <w:p w14:paraId="3234AE06">
                  <w:pPr>
                    <w:widowControl/>
                    <w:kinsoku/>
                    <w:spacing w:line="240" w:lineRule="atLeast"/>
                    <w:jc w:val="center"/>
                    <w:rPr>
                      <w:rFonts w:ascii="Times New Roman" w:hAnsi="Times New Roman" w:eastAsia="宋体" w:cs="Times New Roman"/>
                      <w:color w:val="auto"/>
                      <w:highlight w:val="none"/>
                      <w:lang w:eastAsia="zh-CN"/>
                    </w:rPr>
                  </w:pPr>
                </w:p>
              </w:tc>
              <w:tc>
                <w:tcPr>
                  <w:tcW w:w="971" w:type="dxa"/>
                  <w:vAlign w:val="center"/>
                </w:tcPr>
                <w:p w14:paraId="2A04E337">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2"/>
                      <w:sz w:val="21"/>
                      <w:szCs w:val="21"/>
                      <w:highlight w:val="none"/>
                      <w:lang w:eastAsia="zh-CN"/>
                    </w:rPr>
                    <w:t>除砂器</w:t>
                  </w:r>
                </w:p>
              </w:tc>
              <w:tc>
                <w:tcPr>
                  <w:tcW w:w="1482" w:type="dxa"/>
                  <w:vAlign w:val="center"/>
                </w:tcPr>
                <w:p w14:paraId="188D6FF4">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NCS</w:t>
                  </w:r>
                  <w:r>
                    <w:rPr>
                      <w:rFonts w:ascii="Times New Roman" w:hAnsi="Times New Roman" w:eastAsia="宋体" w:cs="Times New Roman"/>
                      <w:color w:val="auto"/>
                      <w:spacing w:val="9"/>
                      <w:highlight w:val="none"/>
                      <w:lang w:eastAsia="zh-CN"/>
                    </w:rPr>
                    <w:t>250×2</w:t>
                  </w:r>
                </w:p>
              </w:tc>
              <w:tc>
                <w:tcPr>
                  <w:tcW w:w="1014" w:type="dxa"/>
                  <w:vAlign w:val="center"/>
                </w:tcPr>
                <w:p w14:paraId="050C953F">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4EC64ECE">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28CA022A">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台</w:t>
                  </w:r>
                </w:p>
              </w:tc>
              <w:tc>
                <w:tcPr>
                  <w:tcW w:w="936" w:type="dxa"/>
                  <w:vAlign w:val="center"/>
                </w:tcPr>
                <w:p w14:paraId="68C1CA1D">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2243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vAlign w:val="center"/>
                </w:tcPr>
                <w:p w14:paraId="0B655B1F">
                  <w:pPr>
                    <w:widowControl/>
                    <w:kinsoku/>
                    <w:spacing w:line="240" w:lineRule="atLeast"/>
                    <w:jc w:val="center"/>
                    <w:rPr>
                      <w:rFonts w:ascii="Times New Roman" w:hAnsi="Times New Roman" w:eastAsia="宋体" w:cs="Times New Roman"/>
                      <w:color w:val="auto"/>
                      <w:highlight w:val="none"/>
                      <w:lang w:eastAsia="zh-CN"/>
                    </w:rPr>
                  </w:pPr>
                </w:p>
              </w:tc>
              <w:tc>
                <w:tcPr>
                  <w:tcW w:w="937" w:type="dxa"/>
                  <w:vMerge w:val="continue"/>
                  <w:vAlign w:val="center"/>
                </w:tcPr>
                <w:p w14:paraId="4A656663">
                  <w:pPr>
                    <w:widowControl/>
                    <w:kinsoku/>
                    <w:spacing w:line="240" w:lineRule="atLeast"/>
                    <w:jc w:val="center"/>
                    <w:rPr>
                      <w:rFonts w:ascii="Times New Roman" w:hAnsi="Times New Roman" w:eastAsia="宋体" w:cs="Times New Roman"/>
                      <w:color w:val="auto"/>
                      <w:highlight w:val="none"/>
                      <w:lang w:eastAsia="zh-CN"/>
                    </w:rPr>
                  </w:pPr>
                </w:p>
              </w:tc>
              <w:tc>
                <w:tcPr>
                  <w:tcW w:w="971" w:type="dxa"/>
                  <w:vAlign w:val="center"/>
                </w:tcPr>
                <w:p w14:paraId="2F15D1A9">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2"/>
                      <w:sz w:val="21"/>
                      <w:szCs w:val="21"/>
                      <w:highlight w:val="none"/>
                      <w:lang w:eastAsia="zh-CN"/>
                    </w:rPr>
                    <w:t>除泥器</w:t>
                  </w:r>
                </w:p>
              </w:tc>
              <w:tc>
                <w:tcPr>
                  <w:tcW w:w="1482" w:type="dxa"/>
                  <w:vAlign w:val="center"/>
                </w:tcPr>
                <w:p w14:paraId="7319173C">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ZQJ</w:t>
                  </w:r>
                  <w:r>
                    <w:rPr>
                      <w:rFonts w:ascii="Times New Roman" w:hAnsi="Times New Roman" w:eastAsia="宋体" w:cs="Times New Roman"/>
                      <w:color w:val="auto"/>
                      <w:spacing w:val="6"/>
                      <w:highlight w:val="none"/>
                      <w:lang w:eastAsia="zh-CN"/>
                    </w:rPr>
                    <w:t>125×8-1.3×0.</w:t>
                  </w:r>
                  <w:r>
                    <w:rPr>
                      <w:rFonts w:ascii="Times New Roman" w:hAnsi="Times New Roman" w:eastAsia="宋体" w:cs="Times New Roman"/>
                      <w:color w:val="auto"/>
                      <w:highlight w:val="none"/>
                      <w:lang w:eastAsia="zh-CN"/>
                    </w:rPr>
                    <w:t>6</w:t>
                  </w:r>
                </w:p>
              </w:tc>
              <w:tc>
                <w:tcPr>
                  <w:tcW w:w="1014" w:type="dxa"/>
                  <w:vAlign w:val="center"/>
                </w:tcPr>
                <w:p w14:paraId="249D46A5">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40ABE682">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1DB6D668">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台</w:t>
                  </w:r>
                </w:p>
              </w:tc>
              <w:tc>
                <w:tcPr>
                  <w:tcW w:w="936" w:type="dxa"/>
                  <w:vAlign w:val="center"/>
                </w:tcPr>
                <w:p w14:paraId="0A4C0AB5">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3AB2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vAlign w:val="center"/>
                </w:tcPr>
                <w:p w14:paraId="11C700AB">
                  <w:pPr>
                    <w:widowControl/>
                    <w:kinsoku/>
                    <w:spacing w:line="240" w:lineRule="atLeast"/>
                    <w:jc w:val="center"/>
                    <w:rPr>
                      <w:rFonts w:ascii="Times New Roman" w:hAnsi="Times New Roman" w:eastAsia="宋体" w:cs="Times New Roman"/>
                      <w:color w:val="auto"/>
                      <w:highlight w:val="none"/>
                      <w:lang w:eastAsia="zh-CN"/>
                    </w:rPr>
                  </w:pPr>
                </w:p>
              </w:tc>
              <w:tc>
                <w:tcPr>
                  <w:tcW w:w="937" w:type="dxa"/>
                  <w:vMerge w:val="continue"/>
                  <w:vAlign w:val="center"/>
                </w:tcPr>
                <w:p w14:paraId="1A715938">
                  <w:pPr>
                    <w:widowControl/>
                    <w:kinsoku/>
                    <w:spacing w:line="240" w:lineRule="atLeast"/>
                    <w:jc w:val="center"/>
                    <w:rPr>
                      <w:rFonts w:ascii="Times New Roman" w:hAnsi="Times New Roman" w:eastAsia="宋体" w:cs="Times New Roman"/>
                      <w:color w:val="auto"/>
                      <w:highlight w:val="none"/>
                      <w:lang w:eastAsia="zh-CN"/>
                    </w:rPr>
                  </w:pPr>
                </w:p>
              </w:tc>
              <w:tc>
                <w:tcPr>
                  <w:tcW w:w="971" w:type="dxa"/>
                  <w:vAlign w:val="center"/>
                </w:tcPr>
                <w:p w14:paraId="09787C8F">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5"/>
                      <w:sz w:val="21"/>
                      <w:szCs w:val="21"/>
                      <w:highlight w:val="none"/>
                      <w:lang w:eastAsia="zh-CN"/>
                    </w:rPr>
                    <w:t>离心机</w:t>
                  </w:r>
                </w:p>
              </w:tc>
              <w:tc>
                <w:tcPr>
                  <w:tcW w:w="1482" w:type="dxa"/>
                  <w:vAlign w:val="center"/>
                </w:tcPr>
                <w:p w14:paraId="6E4F2ACD">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LW</w:t>
                  </w:r>
                  <w:r>
                    <w:rPr>
                      <w:rFonts w:ascii="Times New Roman" w:hAnsi="Times New Roman" w:eastAsia="宋体" w:cs="Times New Roman"/>
                      <w:color w:val="auto"/>
                      <w:spacing w:val="6"/>
                      <w:highlight w:val="none"/>
                      <w:lang w:eastAsia="zh-CN"/>
                    </w:rPr>
                    <w:t>450-842N</w:t>
                  </w:r>
                </w:p>
              </w:tc>
              <w:tc>
                <w:tcPr>
                  <w:tcW w:w="1014" w:type="dxa"/>
                  <w:vAlign w:val="center"/>
                </w:tcPr>
                <w:p w14:paraId="6E29E4CB">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583B365B">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72A12F93">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台</w:t>
                  </w:r>
                </w:p>
              </w:tc>
              <w:tc>
                <w:tcPr>
                  <w:tcW w:w="936" w:type="dxa"/>
                  <w:vAlign w:val="center"/>
                </w:tcPr>
                <w:p w14:paraId="2CAB1789">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2DAD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vAlign w:val="center"/>
                </w:tcPr>
                <w:p w14:paraId="7234A9CB">
                  <w:pPr>
                    <w:widowControl/>
                    <w:kinsoku/>
                    <w:spacing w:line="240" w:lineRule="atLeast"/>
                    <w:jc w:val="center"/>
                    <w:rPr>
                      <w:rFonts w:ascii="Times New Roman" w:hAnsi="Times New Roman" w:eastAsia="宋体" w:cs="Times New Roman"/>
                      <w:color w:val="auto"/>
                      <w:highlight w:val="none"/>
                      <w:lang w:eastAsia="zh-CN"/>
                    </w:rPr>
                  </w:pPr>
                </w:p>
              </w:tc>
              <w:tc>
                <w:tcPr>
                  <w:tcW w:w="937" w:type="dxa"/>
                  <w:vMerge w:val="continue"/>
                  <w:vAlign w:val="center"/>
                </w:tcPr>
                <w:p w14:paraId="6962D418">
                  <w:pPr>
                    <w:widowControl/>
                    <w:kinsoku/>
                    <w:spacing w:line="240" w:lineRule="atLeast"/>
                    <w:jc w:val="center"/>
                    <w:rPr>
                      <w:rFonts w:ascii="Times New Roman" w:hAnsi="Times New Roman" w:eastAsia="宋体" w:cs="Times New Roman"/>
                      <w:color w:val="auto"/>
                      <w:highlight w:val="none"/>
                      <w:lang w:eastAsia="zh-CN"/>
                    </w:rPr>
                  </w:pPr>
                </w:p>
              </w:tc>
              <w:tc>
                <w:tcPr>
                  <w:tcW w:w="971" w:type="dxa"/>
                  <w:vAlign w:val="center"/>
                </w:tcPr>
                <w:p w14:paraId="0F6F8699">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2"/>
                      <w:sz w:val="21"/>
                      <w:szCs w:val="21"/>
                      <w:highlight w:val="none"/>
                      <w:lang w:eastAsia="zh-CN"/>
                    </w:rPr>
                    <w:t>除气器</w:t>
                  </w:r>
                </w:p>
              </w:tc>
              <w:tc>
                <w:tcPr>
                  <w:tcW w:w="1482" w:type="dxa"/>
                  <w:vAlign w:val="center"/>
                </w:tcPr>
                <w:p w14:paraId="448B41F2">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HZQ</w:t>
                  </w:r>
                  <w:r>
                    <w:rPr>
                      <w:rFonts w:ascii="Times New Roman" w:hAnsi="Times New Roman" w:eastAsia="宋体" w:cs="Times New Roman"/>
                      <w:color w:val="auto"/>
                      <w:spacing w:val="9"/>
                      <w:highlight w:val="none"/>
                      <w:lang w:eastAsia="zh-CN"/>
                    </w:rPr>
                    <w:t>1/4</w:t>
                  </w:r>
                </w:p>
              </w:tc>
              <w:tc>
                <w:tcPr>
                  <w:tcW w:w="1014" w:type="dxa"/>
                  <w:vAlign w:val="center"/>
                </w:tcPr>
                <w:p w14:paraId="2D6DBAC1">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65A24FC8">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36" w:type="dxa"/>
                  <w:vAlign w:val="center"/>
                </w:tcPr>
                <w:p w14:paraId="1EDBAB69">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台</w:t>
                  </w:r>
                </w:p>
              </w:tc>
              <w:tc>
                <w:tcPr>
                  <w:tcW w:w="936" w:type="dxa"/>
                  <w:vAlign w:val="center"/>
                </w:tcPr>
                <w:p w14:paraId="6C4BA95E">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108B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14595C1">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8"/>
                      <w:highlight w:val="none"/>
                      <w:lang w:eastAsia="zh-CN"/>
                    </w:rPr>
                    <w:t>12</w:t>
                  </w:r>
                </w:p>
              </w:tc>
              <w:tc>
                <w:tcPr>
                  <w:tcW w:w="937" w:type="dxa"/>
                  <w:vAlign w:val="center"/>
                </w:tcPr>
                <w:p w14:paraId="158EF4F8">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柴油发</w:t>
                  </w:r>
                  <w:r>
                    <w:rPr>
                      <w:rFonts w:ascii="Times New Roman" w:hAnsi="Times New Roman" w:cs="Times New Roman"/>
                      <w:color w:val="auto"/>
                      <w:spacing w:val="-8"/>
                      <w:sz w:val="21"/>
                      <w:szCs w:val="21"/>
                      <w:highlight w:val="none"/>
                      <w:lang w:eastAsia="zh-CN"/>
                    </w:rPr>
                    <w:t>电机</w:t>
                  </w:r>
                </w:p>
              </w:tc>
              <w:tc>
                <w:tcPr>
                  <w:tcW w:w="971" w:type="dxa"/>
                  <w:vAlign w:val="center"/>
                </w:tcPr>
                <w:p w14:paraId="28587848">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5"/>
                      <w:sz w:val="21"/>
                      <w:szCs w:val="21"/>
                      <w:highlight w:val="none"/>
                      <w:lang w:eastAsia="zh-CN"/>
                    </w:rPr>
                    <w:t>#1-#3</w:t>
                  </w:r>
                </w:p>
              </w:tc>
              <w:tc>
                <w:tcPr>
                  <w:tcW w:w="1482" w:type="dxa"/>
                  <w:vAlign w:val="center"/>
                </w:tcPr>
                <w:p w14:paraId="650B1FBF">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Vovol</w:t>
                  </w:r>
                </w:p>
              </w:tc>
              <w:tc>
                <w:tcPr>
                  <w:tcW w:w="1014" w:type="dxa"/>
                  <w:vAlign w:val="center"/>
                </w:tcPr>
                <w:p w14:paraId="76CDC810">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4F80FA4F">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400</w:t>
                  </w:r>
                </w:p>
              </w:tc>
              <w:tc>
                <w:tcPr>
                  <w:tcW w:w="936" w:type="dxa"/>
                  <w:vAlign w:val="center"/>
                </w:tcPr>
                <w:p w14:paraId="220F8324">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台</w:t>
                  </w:r>
                </w:p>
              </w:tc>
              <w:tc>
                <w:tcPr>
                  <w:tcW w:w="936" w:type="dxa"/>
                  <w:vAlign w:val="center"/>
                </w:tcPr>
                <w:p w14:paraId="4826B8C5">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w:t>
                  </w:r>
                </w:p>
              </w:tc>
            </w:tr>
            <w:tr w14:paraId="4120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89719EB">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8"/>
                      <w:highlight w:val="none"/>
                      <w:lang w:eastAsia="zh-CN"/>
                    </w:rPr>
                    <w:t>13</w:t>
                  </w:r>
                </w:p>
              </w:tc>
              <w:tc>
                <w:tcPr>
                  <w:tcW w:w="937" w:type="dxa"/>
                  <w:vAlign w:val="center"/>
                </w:tcPr>
                <w:p w14:paraId="67CA2250">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净化罐</w:t>
                  </w:r>
                </w:p>
              </w:tc>
              <w:tc>
                <w:tcPr>
                  <w:tcW w:w="971" w:type="dxa"/>
                  <w:vAlign w:val="center"/>
                </w:tcPr>
                <w:p w14:paraId="50933E03">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position w:val="-1"/>
                      <w:highlight w:val="none"/>
                      <w:lang w:eastAsia="zh-CN"/>
                    </w:rPr>
                    <w:t>40m</w:t>
                  </w:r>
                  <w:r>
                    <w:rPr>
                      <w:rFonts w:ascii="Times New Roman" w:hAnsi="Times New Roman" w:eastAsia="宋体" w:cs="Times New Roman"/>
                      <w:color w:val="auto"/>
                      <w:spacing w:val="4"/>
                      <w:position w:val="-1"/>
                      <w:highlight w:val="none"/>
                      <w:vertAlign w:val="superscript"/>
                      <w:lang w:eastAsia="zh-CN"/>
                    </w:rPr>
                    <w:t>3</w:t>
                  </w:r>
                </w:p>
              </w:tc>
              <w:tc>
                <w:tcPr>
                  <w:tcW w:w="1482" w:type="dxa"/>
                  <w:vAlign w:val="center"/>
                </w:tcPr>
                <w:p w14:paraId="3BBEE8F5">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1014" w:type="dxa"/>
                  <w:vAlign w:val="center"/>
                </w:tcPr>
                <w:p w14:paraId="25FBE01D">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4AD17B98">
                  <w:pPr>
                    <w:widowControl/>
                    <w:kinsoku/>
                    <w:spacing w:line="240" w:lineRule="atLeast"/>
                    <w:jc w:val="center"/>
                    <w:rPr>
                      <w:rFonts w:ascii="Times New Roman" w:hAnsi="Times New Roman" w:eastAsia="宋体" w:cs="Times New Roman"/>
                      <w:color w:val="auto"/>
                      <w:highlight w:val="none"/>
                      <w:lang w:eastAsia="zh-CN"/>
                    </w:rPr>
                  </w:pPr>
                </w:p>
              </w:tc>
              <w:tc>
                <w:tcPr>
                  <w:tcW w:w="936" w:type="dxa"/>
                  <w:vAlign w:val="center"/>
                </w:tcPr>
                <w:p w14:paraId="617F65DC">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6F739B7C">
                  <w:pPr>
                    <w:widowControl/>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1"/>
                      <w:highlight w:val="none"/>
                      <w:lang w:eastAsia="zh-CN"/>
                    </w:rPr>
                    <w:t>4</w:t>
                  </w:r>
                </w:p>
              </w:tc>
            </w:tr>
            <w:tr w14:paraId="1187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451AEE6">
                  <w:pPr>
                    <w:widowControl/>
                    <w:kinsoku/>
                    <w:spacing w:line="240" w:lineRule="atLeast"/>
                    <w:jc w:val="center"/>
                    <w:rPr>
                      <w:rFonts w:ascii="Times New Roman" w:hAnsi="Times New Roman" w:eastAsia="宋体" w:cs="Times New Roman"/>
                      <w:color w:val="auto"/>
                      <w:spacing w:val="-8"/>
                      <w:highlight w:val="none"/>
                      <w:lang w:eastAsia="zh-CN"/>
                    </w:rPr>
                  </w:pPr>
                  <w:r>
                    <w:rPr>
                      <w:rFonts w:ascii="Times New Roman" w:hAnsi="Times New Roman" w:eastAsia="宋体" w:cs="Times New Roman"/>
                      <w:color w:val="auto"/>
                      <w:spacing w:val="-8"/>
                      <w:highlight w:val="none"/>
                      <w:lang w:eastAsia="zh-CN"/>
                    </w:rPr>
                    <w:t>14</w:t>
                  </w:r>
                </w:p>
              </w:tc>
              <w:tc>
                <w:tcPr>
                  <w:tcW w:w="937" w:type="dxa"/>
                  <w:vAlign w:val="center"/>
                </w:tcPr>
                <w:p w14:paraId="6CAF8452">
                  <w:pPr>
                    <w:pStyle w:val="22"/>
                    <w:widowControl/>
                    <w:kinsoku/>
                    <w:spacing w:line="240" w:lineRule="atLeast"/>
                    <w:jc w:val="center"/>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套装水</w:t>
                  </w:r>
                  <w:r>
                    <w:rPr>
                      <w:rFonts w:ascii="Times New Roman" w:hAnsi="Times New Roman" w:cs="Times New Roman"/>
                      <w:color w:val="auto"/>
                      <w:sz w:val="21"/>
                      <w:szCs w:val="21"/>
                      <w:highlight w:val="none"/>
                      <w:lang w:eastAsia="zh-CN"/>
                    </w:rPr>
                    <w:t>罐</w:t>
                  </w:r>
                </w:p>
              </w:tc>
              <w:tc>
                <w:tcPr>
                  <w:tcW w:w="971" w:type="dxa"/>
                  <w:vAlign w:val="center"/>
                </w:tcPr>
                <w:p w14:paraId="247424AB">
                  <w:pPr>
                    <w:widowControl/>
                    <w:kinsoku/>
                    <w:spacing w:line="240" w:lineRule="atLeast"/>
                    <w:jc w:val="center"/>
                    <w:rPr>
                      <w:rFonts w:ascii="Times New Roman" w:hAnsi="Times New Roman" w:eastAsia="宋体" w:cs="Times New Roman"/>
                      <w:color w:val="auto"/>
                      <w:spacing w:val="4"/>
                      <w:position w:val="-1"/>
                      <w:highlight w:val="none"/>
                      <w:lang w:eastAsia="zh-CN"/>
                    </w:rPr>
                  </w:pPr>
                  <w:r>
                    <w:rPr>
                      <w:rFonts w:ascii="Times New Roman" w:hAnsi="Times New Roman" w:eastAsia="宋体" w:cs="Times New Roman"/>
                      <w:color w:val="auto"/>
                      <w:spacing w:val="2"/>
                      <w:position w:val="-1"/>
                      <w:highlight w:val="none"/>
                      <w:lang w:eastAsia="zh-CN"/>
                    </w:rPr>
                    <w:t>60</w:t>
                  </w:r>
                  <w:r>
                    <w:rPr>
                      <w:rFonts w:ascii="Times New Roman" w:hAnsi="Times New Roman" w:eastAsia="宋体" w:cs="Times New Roman"/>
                      <w:color w:val="auto"/>
                      <w:spacing w:val="4"/>
                      <w:position w:val="-1"/>
                      <w:highlight w:val="none"/>
                      <w:lang w:eastAsia="zh-CN"/>
                    </w:rPr>
                    <w:t>m</w:t>
                  </w:r>
                  <w:r>
                    <w:rPr>
                      <w:rFonts w:ascii="Times New Roman" w:hAnsi="Times New Roman" w:eastAsia="宋体" w:cs="Times New Roman"/>
                      <w:color w:val="auto"/>
                      <w:spacing w:val="4"/>
                      <w:position w:val="-1"/>
                      <w:highlight w:val="none"/>
                      <w:vertAlign w:val="superscript"/>
                      <w:lang w:eastAsia="zh-CN"/>
                    </w:rPr>
                    <w:t>3</w:t>
                  </w:r>
                </w:p>
              </w:tc>
              <w:tc>
                <w:tcPr>
                  <w:tcW w:w="1482" w:type="dxa"/>
                  <w:vAlign w:val="center"/>
                </w:tcPr>
                <w:p w14:paraId="16AF76BC">
                  <w:pPr>
                    <w:widowControl/>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1014" w:type="dxa"/>
                  <w:vAlign w:val="center"/>
                </w:tcPr>
                <w:p w14:paraId="646AD021">
                  <w:pPr>
                    <w:widowControl/>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70BF66EA">
                  <w:pPr>
                    <w:widowControl/>
                    <w:kinsoku/>
                    <w:spacing w:line="240" w:lineRule="atLeast"/>
                    <w:jc w:val="center"/>
                    <w:rPr>
                      <w:rFonts w:ascii="Times New Roman" w:hAnsi="Times New Roman" w:eastAsia="宋体" w:cs="Times New Roman"/>
                      <w:color w:val="auto"/>
                      <w:highlight w:val="none"/>
                      <w:lang w:eastAsia="zh-CN"/>
                    </w:rPr>
                  </w:pPr>
                </w:p>
              </w:tc>
              <w:tc>
                <w:tcPr>
                  <w:tcW w:w="936" w:type="dxa"/>
                  <w:vAlign w:val="center"/>
                </w:tcPr>
                <w:p w14:paraId="79DC128B">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0AC0624C">
                  <w:pPr>
                    <w:widowControl/>
                    <w:kinsoku/>
                    <w:spacing w:line="240" w:lineRule="atLeast"/>
                    <w:jc w:val="center"/>
                    <w:rPr>
                      <w:rFonts w:ascii="Times New Roman" w:hAnsi="Times New Roman" w:eastAsia="宋体" w:cs="Times New Roman"/>
                      <w:color w:val="auto"/>
                      <w:spacing w:val="1"/>
                      <w:highlight w:val="none"/>
                      <w:lang w:eastAsia="zh-CN"/>
                    </w:rPr>
                  </w:pPr>
                  <w:r>
                    <w:rPr>
                      <w:rFonts w:ascii="Times New Roman" w:hAnsi="Times New Roman" w:eastAsia="宋体" w:cs="Times New Roman"/>
                      <w:color w:val="auto"/>
                      <w:highlight w:val="none"/>
                      <w:lang w:eastAsia="zh-CN"/>
                    </w:rPr>
                    <w:t>1</w:t>
                  </w:r>
                </w:p>
              </w:tc>
            </w:tr>
            <w:tr w14:paraId="744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08CC90B">
                  <w:pPr>
                    <w:widowControl/>
                    <w:kinsoku/>
                    <w:spacing w:line="240" w:lineRule="atLeast"/>
                    <w:jc w:val="center"/>
                    <w:rPr>
                      <w:rFonts w:ascii="Times New Roman" w:hAnsi="Times New Roman" w:eastAsia="宋体" w:cs="Times New Roman"/>
                      <w:color w:val="auto"/>
                      <w:spacing w:val="-8"/>
                      <w:highlight w:val="none"/>
                      <w:lang w:eastAsia="zh-CN"/>
                    </w:rPr>
                  </w:pPr>
                  <w:r>
                    <w:rPr>
                      <w:rFonts w:ascii="Times New Roman" w:hAnsi="Times New Roman" w:eastAsia="宋体" w:cs="Times New Roman"/>
                      <w:color w:val="auto"/>
                      <w:spacing w:val="-8"/>
                      <w:highlight w:val="none"/>
                      <w:lang w:eastAsia="zh-CN"/>
                    </w:rPr>
                    <w:t>15</w:t>
                  </w:r>
                </w:p>
              </w:tc>
              <w:tc>
                <w:tcPr>
                  <w:tcW w:w="937" w:type="dxa"/>
                  <w:vAlign w:val="center"/>
                </w:tcPr>
                <w:p w14:paraId="540960B8">
                  <w:pPr>
                    <w:pStyle w:val="22"/>
                    <w:widowControl/>
                    <w:kinsoku/>
                    <w:spacing w:line="240" w:lineRule="atLeast"/>
                    <w:jc w:val="center"/>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5"/>
                      <w:sz w:val="21"/>
                      <w:szCs w:val="21"/>
                      <w:highlight w:val="none"/>
                      <w:lang w:eastAsia="zh-CN"/>
                    </w:rPr>
                    <w:t>油水罐</w:t>
                  </w:r>
                </w:p>
              </w:tc>
              <w:tc>
                <w:tcPr>
                  <w:tcW w:w="971" w:type="dxa"/>
                  <w:vAlign w:val="center"/>
                </w:tcPr>
                <w:p w14:paraId="06D055C1">
                  <w:pPr>
                    <w:widowControl/>
                    <w:kinsoku/>
                    <w:spacing w:line="240" w:lineRule="atLeast"/>
                    <w:jc w:val="center"/>
                    <w:rPr>
                      <w:rFonts w:ascii="Times New Roman" w:hAnsi="Times New Roman" w:eastAsia="宋体" w:cs="Times New Roman"/>
                      <w:color w:val="auto"/>
                      <w:spacing w:val="4"/>
                      <w:position w:val="-1"/>
                      <w:highlight w:val="none"/>
                      <w:lang w:eastAsia="zh-CN"/>
                    </w:rPr>
                  </w:pPr>
                  <w:r>
                    <w:rPr>
                      <w:rFonts w:ascii="Times New Roman" w:hAnsi="Times New Roman" w:eastAsia="宋体" w:cs="Times New Roman"/>
                      <w:color w:val="auto"/>
                      <w:spacing w:val="4"/>
                      <w:position w:val="-1"/>
                      <w:highlight w:val="none"/>
                      <w:lang w:eastAsia="zh-CN"/>
                    </w:rPr>
                    <w:t>40m</w:t>
                  </w:r>
                  <w:r>
                    <w:rPr>
                      <w:rFonts w:ascii="Times New Roman" w:hAnsi="Times New Roman" w:eastAsia="宋体" w:cs="Times New Roman"/>
                      <w:color w:val="auto"/>
                      <w:spacing w:val="4"/>
                      <w:position w:val="-1"/>
                      <w:highlight w:val="none"/>
                      <w:vertAlign w:val="superscript"/>
                      <w:lang w:eastAsia="zh-CN"/>
                    </w:rPr>
                    <w:t>3</w:t>
                  </w:r>
                </w:p>
              </w:tc>
              <w:tc>
                <w:tcPr>
                  <w:tcW w:w="1482" w:type="dxa"/>
                  <w:vAlign w:val="center"/>
                </w:tcPr>
                <w:p w14:paraId="0176779A">
                  <w:pPr>
                    <w:widowControl/>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1014" w:type="dxa"/>
                  <w:vAlign w:val="center"/>
                </w:tcPr>
                <w:p w14:paraId="38D7020C">
                  <w:pPr>
                    <w:widowControl/>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2B765B8E">
                  <w:pPr>
                    <w:widowControl/>
                    <w:kinsoku/>
                    <w:spacing w:line="240" w:lineRule="atLeast"/>
                    <w:jc w:val="center"/>
                    <w:rPr>
                      <w:rFonts w:ascii="Times New Roman" w:hAnsi="Times New Roman" w:eastAsia="宋体" w:cs="Times New Roman"/>
                      <w:color w:val="auto"/>
                      <w:highlight w:val="none"/>
                      <w:lang w:eastAsia="zh-CN"/>
                    </w:rPr>
                  </w:pPr>
                </w:p>
              </w:tc>
              <w:tc>
                <w:tcPr>
                  <w:tcW w:w="936" w:type="dxa"/>
                  <w:vAlign w:val="center"/>
                </w:tcPr>
                <w:p w14:paraId="76A329AE">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6C82E2E8">
                  <w:pPr>
                    <w:widowControl/>
                    <w:kinsoku/>
                    <w:spacing w:line="240" w:lineRule="atLeast"/>
                    <w:jc w:val="center"/>
                    <w:rPr>
                      <w:rFonts w:ascii="Times New Roman" w:hAnsi="Times New Roman" w:eastAsia="宋体" w:cs="Times New Roman"/>
                      <w:color w:val="auto"/>
                      <w:spacing w:val="1"/>
                      <w:highlight w:val="none"/>
                      <w:lang w:eastAsia="zh-CN"/>
                    </w:rPr>
                  </w:pPr>
                  <w:r>
                    <w:rPr>
                      <w:rFonts w:ascii="Times New Roman" w:hAnsi="Times New Roman" w:eastAsia="宋体" w:cs="Times New Roman"/>
                      <w:color w:val="auto"/>
                      <w:highlight w:val="none"/>
                      <w:lang w:eastAsia="zh-CN"/>
                    </w:rPr>
                    <w:t>3</w:t>
                  </w:r>
                </w:p>
              </w:tc>
            </w:tr>
            <w:tr w14:paraId="66BB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235238F">
                  <w:pPr>
                    <w:widowControl/>
                    <w:kinsoku/>
                    <w:spacing w:line="240" w:lineRule="atLeast"/>
                    <w:jc w:val="center"/>
                    <w:rPr>
                      <w:rFonts w:ascii="Times New Roman" w:hAnsi="Times New Roman" w:eastAsia="宋体" w:cs="Times New Roman"/>
                      <w:color w:val="auto"/>
                      <w:spacing w:val="-8"/>
                      <w:highlight w:val="none"/>
                      <w:lang w:eastAsia="zh-CN"/>
                    </w:rPr>
                  </w:pPr>
                  <w:r>
                    <w:rPr>
                      <w:rFonts w:ascii="Times New Roman" w:hAnsi="Times New Roman" w:eastAsia="宋体" w:cs="Times New Roman"/>
                      <w:color w:val="auto"/>
                      <w:spacing w:val="-8"/>
                      <w:highlight w:val="none"/>
                      <w:lang w:eastAsia="zh-CN"/>
                    </w:rPr>
                    <w:t>16</w:t>
                  </w:r>
                </w:p>
              </w:tc>
              <w:tc>
                <w:tcPr>
                  <w:tcW w:w="937" w:type="dxa"/>
                  <w:vAlign w:val="center"/>
                </w:tcPr>
                <w:p w14:paraId="4BA1DB6C">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钻井液</w:t>
                  </w:r>
                </w:p>
                <w:p w14:paraId="1B6B9A1A">
                  <w:pPr>
                    <w:pStyle w:val="22"/>
                    <w:widowControl/>
                    <w:kinsoku/>
                    <w:spacing w:line="240" w:lineRule="atLeast"/>
                    <w:jc w:val="center"/>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5"/>
                      <w:sz w:val="21"/>
                      <w:szCs w:val="21"/>
                      <w:highlight w:val="none"/>
                      <w:lang w:eastAsia="zh-CN"/>
                    </w:rPr>
                    <w:t>不落地</w:t>
                  </w:r>
                  <w:r>
                    <w:rPr>
                      <w:rFonts w:ascii="Times New Roman" w:hAnsi="Times New Roman" w:cs="Times New Roman"/>
                      <w:color w:val="auto"/>
                      <w:spacing w:val="3"/>
                      <w:sz w:val="21"/>
                      <w:szCs w:val="21"/>
                      <w:highlight w:val="none"/>
                      <w:lang w:eastAsia="zh-CN"/>
                    </w:rPr>
                    <w:t>设备</w:t>
                  </w:r>
                </w:p>
              </w:tc>
              <w:tc>
                <w:tcPr>
                  <w:tcW w:w="971" w:type="dxa"/>
                  <w:vAlign w:val="center"/>
                </w:tcPr>
                <w:p w14:paraId="0A039617">
                  <w:pPr>
                    <w:widowControl/>
                    <w:kinsoku/>
                    <w:spacing w:line="240" w:lineRule="atLeast"/>
                    <w:jc w:val="center"/>
                    <w:rPr>
                      <w:rFonts w:ascii="Times New Roman" w:hAnsi="Times New Roman" w:eastAsia="宋体" w:cs="Times New Roman"/>
                      <w:color w:val="auto"/>
                      <w:spacing w:val="4"/>
                      <w:position w:val="-1"/>
                      <w:highlight w:val="none"/>
                      <w:lang w:eastAsia="zh-CN"/>
                    </w:rPr>
                  </w:pPr>
                  <w:r>
                    <w:rPr>
                      <w:rFonts w:ascii="Times New Roman" w:hAnsi="Times New Roman" w:eastAsia="宋体" w:cs="Times New Roman"/>
                      <w:color w:val="auto"/>
                      <w:spacing w:val="2"/>
                      <w:highlight w:val="none"/>
                      <w:lang w:eastAsia="zh-CN"/>
                    </w:rPr>
                    <w:t>/</w:t>
                  </w:r>
                </w:p>
              </w:tc>
              <w:tc>
                <w:tcPr>
                  <w:tcW w:w="1482" w:type="dxa"/>
                  <w:vAlign w:val="center"/>
                </w:tcPr>
                <w:p w14:paraId="46A19E23">
                  <w:pPr>
                    <w:widowControl/>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1014" w:type="dxa"/>
                  <w:vAlign w:val="center"/>
                </w:tcPr>
                <w:p w14:paraId="413C7DE1">
                  <w:pPr>
                    <w:widowControl/>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48B6006C">
                  <w:pPr>
                    <w:widowControl/>
                    <w:kinsoku/>
                    <w:spacing w:line="240" w:lineRule="atLeast"/>
                    <w:jc w:val="center"/>
                    <w:rPr>
                      <w:rFonts w:ascii="Times New Roman" w:hAnsi="Times New Roman" w:eastAsia="宋体" w:cs="Times New Roman"/>
                      <w:color w:val="auto"/>
                      <w:highlight w:val="none"/>
                      <w:lang w:eastAsia="zh-CN"/>
                    </w:rPr>
                  </w:pPr>
                </w:p>
              </w:tc>
              <w:tc>
                <w:tcPr>
                  <w:tcW w:w="936" w:type="dxa"/>
                  <w:vAlign w:val="center"/>
                </w:tcPr>
                <w:p w14:paraId="093B075B">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套</w:t>
                  </w:r>
                </w:p>
              </w:tc>
              <w:tc>
                <w:tcPr>
                  <w:tcW w:w="936" w:type="dxa"/>
                  <w:vAlign w:val="center"/>
                </w:tcPr>
                <w:p w14:paraId="3895D28D">
                  <w:pPr>
                    <w:widowControl/>
                    <w:kinsoku/>
                    <w:spacing w:line="240" w:lineRule="atLeast"/>
                    <w:jc w:val="center"/>
                    <w:rPr>
                      <w:rFonts w:ascii="Times New Roman" w:hAnsi="Times New Roman" w:eastAsia="宋体" w:cs="Times New Roman"/>
                      <w:color w:val="auto"/>
                      <w:spacing w:val="1"/>
                      <w:highlight w:val="none"/>
                      <w:lang w:eastAsia="zh-CN"/>
                    </w:rPr>
                  </w:pPr>
                  <w:r>
                    <w:rPr>
                      <w:rFonts w:ascii="Times New Roman" w:hAnsi="Times New Roman" w:eastAsia="宋体" w:cs="Times New Roman"/>
                      <w:color w:val="auto"/>
                      <w:highlight w:val="none"/>
                      <w:lang w:eastAsia="zh-CN"/>
                    </w:rPr>
                    <w:t>1</w:t>
                  </w:r>
                </w:p>
              </w:tc>
            </w:tr>
            <w:tr w14:paraId="0F6C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6390C4F">
                  <w:pPr>
                    <w:widowControl/>
                    <w:kinsoku/>
                    <w:spacing w:line="240" w:lineRule="atLeast"/>
                    <w:jc w:val="center"/>
                    <w:rPr>
                      <w:rFonts w:ascii="Times New Roman" w:hAnsi="Times New Roman" w:eastAsia="宋体" w:cs="Times New Roman"/>
                      <w:color w:val="auto"/>
                      <w:spacing w:val="-8"/>
                      <w:highlight w:val="none"/>
                      <w:lang w:eastAsia="zh-CN"/>
                    </w:rPr>
                  </w:pPr>
                  <w:r>
                    <w:rPr>
                      <w:rFonts w:ascii="Times New Roman" w:hAnsi="Times New Roman" w:eastAsia="宋体" w:cs="Times New Roman"/>
                      <w:color w:val="auto"/>
                      <w:spacing w:val="-8"/>
                      <w:highlight w:val="none"/>
                      <w:lang w:eastAsia="zh-CN"/>
                    </w:rPr>
                    <w:t>17</w:t>
                  </w:r>
                </w:p>
              </w:tc>
              <w:tc>
                <w:tcPr>
                  <w:tcW w:w="937" w:type="dxa"/>
                  <w:vAlign w:val="center"/>
                </w:tcPr>
                <w:p w14:paraId="459A02B9">
                  <w:pPr>
                    <w:pStyle w:val="22"/>
                    <w:widowControl/>
                    <w:kinsoku/>
                    <w:spacing w:line="240" w:lineRule="atLeast"/>
                    <w:jc w:val="center"/>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柴油罐</w:t>
                  </w:r>
                </w:p>
              </w:tc>
              <w:tc>
                <w:tcPr>
                  <w:tcW w:w="971" w:type="dxa"/>
                  <w:vAlign w:val="center"/>
                </w:tcPr>
                <w:p w14:paraId="40674CBF">
                  <w:pPr>
                    <w:widowControl/>
                    <w:kinsoku/>
                    <w:spacing w:line="240" w:lineRule="atLeast"/>
                    <w:jc w:val="center"/>
                    <w:rPr>
                      <w:rFonts w:ascii="Times New Roman" w:hAnsi="Times New Roman" w:eastAsia="宋体" w:cs="Times New Roman"/>
                      <w:color w:val="auto"/>
                      <w:spacing w:val="4"/>
                      <w:position w:val="-1"/>
                      <w:highlight w:val="none"/>
                      <w:lang w:eastAsia="zh-CN"/>
                    </w:rPr>
                  </w:pPr>
                  <w:r>
                    <w:rPr>
                      <w:rFonts w:ascii="Times New Roman" w:hAnsi="Times New Roman" w:eastAsia="宋体" w:cs="Times New Roman"/>
                      <w:color w:val="auto"/>
                      <w:spacing w:val="3"/>
                      <w:position w:val="-1"/>
                      <w:highlight w:val="none"/>
                      <w:lang w:eastAsia="zh-CN"/>
                    </w:rPr>
                    <w:t>20</w:t>
                  </w:r>
                  <w:r>
                    <w:rPr>
                      <w:rFonts w:ascii="Times New Roman" w:hAnsi="Times New Roman" w:eastAsia="宋体" w:cs="Times New Roman"/>
                      <w:color w:val="auto"/>
                      <w:spacing w:val="4"/>
                      <w:position w:val="-1"/>
                      <w:highlight w:val="none"/>
                      <w:lang w:eastAsia="zh-CN"/>
                    </w:rPr>
                    <w:t>m</w:t>
                  </w:r>
                  <w:r>
                    <w:rPr>
                      <w:rFonts w:ascii="Times New Roman" w:hAnsi="Times New Roman" w:eastAsia="宋体" w:cs="Times New Roman"/>
                      <w:color w:val="auto"/>
                      <w:spacing w:val="4"/>
                      <w:position w:val="-1"/>
                      <w:highlight w:val="none"/>
                      <w:vertAlign w:val="superscript"/>
                      <w:lang w:eastAsia="zh-CN"/>
                    </w:rPr>
                    <w:t>3</w:t>
                  </w:r>
                </w:p>
              </w:tc>
              <w:tc>
                <w:tcPr>
                  <w:tcW w:w="1482" w:type="dxa"/>
                  <w:vAlign w:val="center"/>
                </w:tcPr>
                <w:p w14:paraId="55F8178C">
                  <w:pPr>
                    <w:widowControl/>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1014" w:type="dxa"/>
                  <w:vAlign w:val="center"/>
                </w:tcPr>
                <w:p w14:paraId="29AC3FBC">
                  <w:pPr>
                    <w:widowControl/>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5015DC06">
                  <w:pPr>
                    <w:widowControl/>
                    <w:kinsoku/>
                    <w:spacing w:line="240" w:lineRule="atLeast"/>
                    <w:jc w:val="center"/>
                    <w:rPr>
                      <w:rFonts w:ascii="Times New Roman" w:hAnsi="Times New Roman" w:eastAsia="宋体" w:cs="Times New Roman"/>
                      <w:color w:val="auto"/>
                      <w:highlight w:val="none"/>
                      <w:lang w:eastAsia="zh-CN"/>
                    </w:rPr>
                  </w:pPr>
                </w:p>
              </w:tc>
              <w:tc>
                <w:tcPr>
                  <w:tcW w:w="936" w:type="dxa"/>
                  <w:vAlign w:val="center"/>
                </w:tcPr>
                <w:p w14:paraId="71A6AC04">
                  <w:pPr>
                    <w:pStyle w:val="22"/>
                    <w:widowControl/>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22220D7E">
                  <w:pPr>
                    <w:widowControl/>
                    <w:kinsoku/>
                    <w:spacing w:line="240" w:lineRule="atLeast"/>
                    <w:jc w:val="center"/>
                    <w:rPr>
                      <w:rFonts w:ascii="Times New Roman" w:hAnsi="Times New Roman" w:eastAsia="宋体" w:cs="Times New Roman"/>
                      <w:color w:val="auto"/>
                      <w:spacing w:val="1"/>
                      <w:highlight w:val="none"/>
                      <w:lang w:eastAsia="zh-CN"/>
                    </w:rPr>
                  </w:pPr>
                  <w:r>
                    <w:rPr>
                      <w:rFonts w:ascii="Times New Roman" w:hAnsi="Times New Roman" w:eastAsia="宋体" w:cs="Times New Roman"/>
                      <w:color w:val="auto"/>
                      <w:highlight w:val="none"/>
                      <w:lang w:eastAsia="zh-CN"/>
                    </w:rPr>
                    <w:t>1</w:t>
                  </w:r>
                </w:p>
              </w:tc>
            </w:tr>
            <w:tr w14:paraId="534C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0E8F324">
                  <w:pPr>
                    <w:widowControl w:val="0"/>
                    <w:kinsoku/>
                    <w:spacing w:line="240" w:lineRule="atLeast"/>
                    <w:jc w:val="center"/>
                    <w:rPr>
                      <w:rFonts w:ascii="Times New Roman" w:hAnsi="Times New Roman" w:eastAsia="宋体" w:cs="Times New Roman"/>
                      <w:color w:val="auto"/>
                      <w:spacing w:val="-8"/>
                      <w:highlight w:val="none"/>
                      <w:lang w:eastAsia="zh-CN"/>
                    </w:rPr>
                  </w:pPr>
                  <w:r>
                    <w:rPr>
                      <w:rFonts w:ascii="Times New Roman" w:hAnsi="Times New Roman" w:eastAsia="宋体" w:cs="Times New Roman"/>
                      <w:color w:val="auto"/>
                      <w:spacing w:val="-8"/>
                      <w:highlight w:val="none"/>
                      <w:lang w:eastAsia="zh-CN"/>
                    </w:rPr>
                    <w:t>18</w:t>
                  </w:r>
                </w:p>
              </w:tc>
              <w:tc>
                <w:tcPr>
                  <w:tcW w:w="937" w:type="dxa"/>
                  <w:vAlign w:val="center"/>
                </w:tcPr>
                <w:p w14:paraId="63C4A8AF">
                  <w:pPr>
                    <w:pStyle w:val="22"/>
                    <w:widowControl w:val="0"/>
                    <w:kinsoku/>
                    <w:spacing w:line="240" w:lineRule="atLeast"/>
                    <w:jc w:val="center"/>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生物质锅炉</w:t>
                  </w:r>
                </w:p>
              </w:tc>
              <w:tc>
                <w:tcPr>
                  <w:tcW w:w="971" w:type="dxa"/>
                  <w:vAlign w:val="center"/>
                </w:tcPr>
                <w:p w14:paraId="0A881E0A">
                  <w:pPr>
                    <w:widowControl w:val="0"/>
                    <w:kinsoku/>
                    <w:spacing w:line="240" w:lineRule="atLeast"/>
                    <w:jc w:val="center"/>
                    <w:rPr>
                      <w:rFonts w:ascii="Times New Roman" w:hAnsi="Times New Roman" w:eastAsia="宋体" w:cs="Times New Roman"/>
                      <w:color w:val="auto"/>
                      <w:spacing w:val="3"/>
                      <w:position w:val="-1"/>
                      <w:highlight w:val="none"/>
                      <w:lang w:eastAsia="zh-CN"/>
                    </w:rPr>
                  </w:pPr>
                  <w:r>
                    <w:rPr>
                      <w:rFonts w:ascii="Times New Roman" w:hAnsi="Times New Roman" w:eastAsia="宋体" w:cs="Times New Roman"/>
                      <w:color w:val="auto"/>
                      <w:spacing w:val="3"/>
                      <w:position w:val="-1"/>
                      <w:highlight w:val="none"/>
                      <w:lang w:eastAsia="zh-CN"/>
                    </w:rPr>
                    <w:t>/</w:t>
                  </w:r>
                </w:p>
              </w:tc>
              <w:tc>
                <w:tcPr>
                  <w:tcW w:w="1482" w:type="dxa"/>
                  <w:vAlign w:val="center"/>
                </w:tcPr>
                <w:p w14:paraId="22F51EA8">
                  <w:pPr>
                    <w:widowControl w:val="0"/>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DZS2.5-0.8-SCⅡ</w:t>
                  </w:r>
                </w:p>
              </w:tc>
              <w:tc>
                <w:tcPr>
                  <w:tcW w:w="1014" w:type="dxa"/>
                  <w:vAlign w:val="center"/>
                </w:tcPr>
                <w:p w14:paraId="30A5CF46">
                  <w:pPr>
                    <w:widowControl w:val="0"/>
                    <w:kinsoku/>
                    <w:spacing w:line="240" w:lineRule="atLeast"/>
                    <w:jc w:val="center"/>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spacing w:val="2"/>
                      <w:highlight w:val="none"/>
                      <w:lang w:eastAsia="zh-CN"/>
                    </w:rPr>
                    <w:t>/</w:t>
                  </w:r>
                </w:p>
              </w:tc>
              <w:tc>
                <w:tcPr>
                  <w:tcW w:w="965" w:type="dxa"/>
                  <w:vAlign w:val="center"/>
                </w:tcPr>
                <w:p w14:paraId="640D8BC4">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936" w:type="dxa"/>
                  <w:vAlign w:val="center"/>
                </w:tcPr>
                <w:p w14:paraId="76B7C826">
                  <w:pPr>
                    <w:pStyle w:val="22"/>
                    <w:widowControl w:val="0"/>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个</w:t>
                  </w:r>
                </w:p>
              </w:tc>
              <w:tc>
                <w:tcPr>
                  <w:tcW w:w="936" w:type="dxa"/>
                  <w:vAlign w:val="center"/>
                </w:tcPr>
                <w:p w14:paraId="038653DE">
                  <w:pPr>
                    <w:widowControl w:val="0"/>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bl>
          <w:p w14:paraId="48F73F70">
            <w:pPr>
              <w:pStyle w:val="5"/>
              <w:widowControl w:val="0"/>
              <w:kinsoku/>
              <w:jc w:val="both"/>
              <w:rPr>
                <w:rFonts w:ascii="Times New Roman" w:hAnsi="Times New Roman" w:cs="Times New Roman"/>
                <w:color w:val="auto"/>
                <w:highlight w:val="none"/>
                <w:lang w:eastAsia="zh-CN"/>
              </w:rPr>
            </w:pPr>
          </w:p>
          <w:p w14:paraId="5049958F">
            <w:pPr>
              <w:widowControl w:val="0"/>
              <w:kinsoku/>
              <w:spacing w:line="500" w:lineRule="exact"/>
              <w:jc w:val="center"/>
              <w:rPr>
                <w:rFonts w:ascii="Times New Roman" w:hAnsi="Times New Roman" w:eastAsia="宋体" w:cs="Times New Roman"/>
                <w:b/>
                <w:bCs/>
                <w:color w:val="auto"/>
                <w:spacing w:val="5"/>
                <w:kern w:val="2"/>
                <w:highlight w:val="none"/>
                <w:lang w:eastAsia="zh-CN"/>
              </w:rPr>
            </w:pPr>
            <w:r>
              <w:rPr>
                <w:rFonts w:ascii="Times New Roman" w:hAnsi="Times New Roman" w:eastAsia="宋体" w:cs="Times New Roman"/>
                <w:b/>
                <w:bCs/>
                <w:color w:val="auto"/>
                <w:spacing w:val="5"/>
                <w:kern w:val="2"/>
                <w:highlight w:val="none"/>
                <w:lang w:eastAsia="zh-CN"/>
              </w:rPr>
              <w:t>表2-8 单个试油工程主要设备</w:t>
            </w:r>
          </w:p>
          <w:tbl>
            <w:tblPr>
              <w:tblStyle w:val="21"/>
              <w:tblW w:w="817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68"/>
              <w:gridCol w:w="1385"/>
              <w:gridCol w:w="2026"/>
              <w:gridCol w:w="1013"/>
              <w:gridCol w:w="1318"/>
              <w:gridCol w:w="1767"/>
            </w:tblGrid>
            <w:tr w14:paraId="300D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31FB820A">
                  <w:pPr>
                    <w:kinsoku/>
                    <w:jc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序号</w:t>
                  </w:r>
                </w:p>
              </w:tc>
              <w:tc>
                <w:tcPr>
                  <w:tcW w:w="1385" w:type="dxa"/>
                  <w:vAlign w:val="center"/>
                </w:tcPr>
                <w:p w14:paraId="18B89379">
                  <w:pPr>
                    <w:kinsoku/>
                    <w:jc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设备名称</w:t>
                  </w:r>
                </w:p>
              </w:tc>
              <w:tc>
                <w:tcPr>
                  <w:tcW w:w="2026" w:type="dxa"/>
                  <w:vAlign w:val="center"/>
                </w:tcPr>
                <w:p w14:paraId="7BFE5AA0">
                  <w:pPr>
                    <w:kinsoku/>
                    <w:jc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型号及规格</w:t>
                  </w:r>
                </w:p>
              </w:tc>
              <w:tc>
                <w:tcPr>
                  <w:tcW w:w="1013" w:type="dxa"/>
                  <w:vAlign w:val="center"/>
                </w:tcPr>
                <w:p w14:paraId="67E7ABE0">
                  <w:pPr>
                    <w:kinsoku/>
                    <w:jc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单位</w:t>
                  </w:r>
                </w:p>
              </w:tc>
              <w:tc>
                <w:tcPr>
                  <w:tcW w:w="1318" w:type="dxa"/>
                  <w:vAlign w:val="center"/>
                </w:tcPr>
                <w:p w14:paraId="3DB9A50A">
                  <w:pPr>
                    <w:kinsoku/>
                    <w:jc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数量</w:t>
                  </w:r>
                </w:p>
              </w:tc>
              <w:tc>
                <w:tcPr>
                  <w:tcW w:w="1767" w:type="dxa"/>
                  <w:tcBorders>
                    <w:right w:val="single" w:color="000000" w:sz="4" w:space="0"/>
                  </w:tcBorders>
                  <w:vAlign w:val="center"/>
                </w:tcPr>
                <w:p w14:paraId="15FD435B">
                  <w:pPr>
                    <w:kinsoku/>
                    <w:jc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备注</w:t>
                  </w:r>
                </w:p>
              </w:tc>
            </w:tr>
            <w:tr w14:paraId="680AD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1AD50F44">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385" w:type="dxa"/>
                  <w:vAlign w:val="center"/>
                </w:tcPr>
                <w:p w14:paraId="7AB774B3">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试油作业机</w:t>
                  </w:r>
                </w:p>
              </w:tc>
              <w:tc>
                <w:tcPr>
                  <w:tcW w:w="2026" w:type="dxa"/>
                  <w:vAlign w:val="center"/>
                </w:tcPr>
                <w:p w14:paraId="6B04DE6D">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110t</w:t>
                  </w:r>
                </w:p>
              </w:tc>
              <w:tc>
                <w:tcPr>
                  <w:tcW w:w="1013" w:type="dxa"/>
                  <w:vAlign w:val="center"/>
                </w:tcPr>
                <w:p w14:paraId="34D5EEEA">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部</w:t>
                  </w:r>
                </w:p>
              </w:tc>
              <w:tc>
                <w:tcPr>
                  <w:tcW w:w="1318" w:type="dxa"/>
                  <w:vAlign w:val="center"/>
                </w:tcPr>
                <w:p w14:paraId="0E3B4F78">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14645483">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7E528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02B1F8CD">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w:t>
                  </w:r>
                </w:p>
              </w:tc>
              <w:tc>
                <w:tcPr>
                  <w:tcW w:w="1385" w:type="dxa"/>
                  <w:vAlign w:val="center"/>
                </w:tcPr>
                <w:p w14:paraId="00A28141">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试油井架</w:t>
                  </w:r>
                </w:p>
              </w:tc>
              <w:tc>
                <w:tcPr>
                  <w:tcW w:w="2026" w:type="dxa"/>
                  <w:vAlign w:val="center"/>
                </w:tcPr>
                <w:p w14:paraId="7545579B">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c>
                <w:tcPr>
                  <w:tcW w:w="1013" w:type="dxa"/>
                  <w:vAlign w:val="center"/>
                </w:tcPr>
                <w:p w14:paraId="003EC09B">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部</w:t>
                  </w:r>
                </w:p>
              </w:tc>
              <w:tc>
                <w:tcPr>
                  <w:tcW w:w="1318" w:type="dxa"/>
                  <w:vAlign w:val="center"/>
                </w:tcPr>
                <w:p w14:paraId="026F9EF4">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0F31A34D">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40C93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3FED1492">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3</w:t>
                  </w:r>
                </w:p>
              </w:tc>
              <w:tc>
                <w:tcPr>
                  <w:tcW w:w="1385" w:type="dxa"/>
                  <w:vAlign w:val="center"/>
                </w:tcPr>
                <w:p w14:paraId="053AFD3C">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液压钳</w:t>
                  </w:r>
                </w:p>
              </w:tc>
              <w:tc>
                <w:tcPr>
                  <w:tcW w:w="2026" w:type="dxa"/>
                  <w:vAlign w:val="center"/>
                </w:tcPr>
                <w:p w14:paraId="43119241">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600型或300型</w:t>
                  </w:r>
                </w:p>
              </w:tc>
              <w:tc>
                <w:tcPr>
                  <w:tcW w:w="1013" w:type="dxa"/>
                  <w:vAlign w:val="center"/>
                </w:tcPr>
                <w:p w14:paraId="1424AEF1">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台</w:t>
                  </w:r>
                </w:p>
              </w:tc>
              <w:tc>
                <w:tcPr>
                  <w:tcW w:w="1318" w:type="dxa"/>
                  <w:vAlign w:val="center"/>
                </w:tcPr>
                <w:p w14:paraId="5E581988">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74D8694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足够长的配套</w:t>
                  </w:r>
                </w:p>
                <w:p w14:paraId="2D4B675D">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管线</w:t>
                  </w:r>
                </w:p>
              </w:tc>
            </w:tr>
            <w:tr w14:paraId="11A0E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0295A88F">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4</w:t>
                  </w:r>
                </w:p>
              </w:tc>
              <w:tc>
                <w:tcPr>
                  <w:tcW w:w="1385" w:type="dxa"/>
                  <w:vAlign w:val="center"/>
                </w:tcPr>
                <w:p w14:paraId="42702860">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方罐</w:t>
                  </w:r>
                </w:p>
              </w:tc>
              <w:tc>
                <w:tcPr>
                  <w:tcW w:w="2026" w:type="dxa"/>
                  <w:vAlign w:val="center"/>
                </w:tcPr>
                <w:p w14:paraId="63C9CE1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40m</w:t>
                  </w:r>
                  <w:r>
                    <w:rPr>
                      <w:rFonts w:ascii="Times New Roman" w:hAnsi="Times New Roman" w:eastAsia="宋体" w:cs="Times New Roman"/>
                      <w:color w:val="auto"/>
                      <w:highlight w:val="none"/>
                      <w:vertAlign w:val="superscript"/>
                      <w:lang w:eastAsia="zh-CN" w:bidi="ar"/>
                    </w:rPr>
                    <w:t>3</w:t>
                  </w:r>
                </w:p>
              </w:tc>
              <w:tc>
                <w:tcPr>
                  <w:tcW w:w="1013" w:type="dxa"/>
                  <w:vAlign w:val="center"/>
                </w:tcPr>
                <w:p w14:paraId="4FF3D8FD">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个</w:t>
                  </w:r>
                </w:p>
              </w:tc>
              <w:tc>
                <w:tcPr>
                  <w:tcW w:w="1318" w:type="dxa"/>
                  <w:vAlign w:val="center"/>
                </w:tcPr>
                <w:p w14:paraId="58D84830">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4</w:t>
                  </w:r>
                </w:p>
              </w:tc>
              <w:tc>
                <w:tcPr>
                  <w:tcW w:w="1767" w:type="dxa"/>
                  <w:tcBorders>
                    <w:right w:val="single" w:color="000000" w:sz="4" w:space="0"/>
                  </w:tcBorders>
                  <w:vAlign w:val="center"/>
                </w:tcPr>
                <w:p w14:paraId="7C5630F3">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5008D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63D0681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5</w:t>
                  </w:r>
                </w:p>
              </w:tc>
              <w:tc>
                <w:tcPr>
                  <w:tcW w:w="1385" w:type="dxa"/>
                  <w:vAlign w:val="center"/>
                </w:tcPr>
                <w:p w14:paraId="4D35DD92">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吊卡</w:t>
                  </w:r>
                </w:p>
              </w:tc>
              <w:tc>
                <w:tcPr>
                  <w:tcW w:w="2026" w:type="dxa"/>
                  <w:vAlign w:val="center"/>
                </w:tcPr>
                <w:p w14:paraId="2682121E">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Φ73.0mm/Φ88.9mm</w:t>
                  </w:r>
                </w:p>
              </w:tc>
              <w:tc>
                <w:tcPr>
                  <w:tcW w:w="1013" w:type="dxa"/>
                  <w:vAlign w:val="center"/>
                </w:tcPr>
                <w:p w14:paraId="66FDC7D6">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只</w:t>
                  </w:r>
                </w:p>
              </w:tc>
              <w:tc>
                <w:tcPr>
                  <w:tcW w:w="1318" w:type="dxa"/>
                  <w:vAlign w:val="center"/>
                </w:tcPr>
                <w:p w14:paraId="30E84CC3">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2/2</w:t>
                  </w:r>
                </w:p>
              </w:tc>
              <w:tc>
                <w:tcPr>
                  <w:tcW w:w="1767" w:type="dxa"/>
                  <w:tcBorders>
                    <w:right w:val="single" w:color="000000" w:sz="4" w:space="0"/>
                  </w:tcBorders>
                  <w:vAlign w:val="center"/>
                </w:tcPr>
                <w:p w14:paraId="5AD59D8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50t</w:t>
                  </w:r>
                </w:p>
              </w:tc>
            </w:tr>
            <w:tr w14:paraId="61D5B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7E667087">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6</w:t>
                  </w:r>
                </w:p>
              </w:tc>
              <w:tc>
                <w:tcPr>
                  <w:tcW w:w="1385" w:type="dxa"/>
                  <w:vAlign w:val="center"/>
                </w:tcPr>
                <w:p w14:paraId="3AF7D691">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吊环</w:t>
                  </w:r>
                </w:p>
              </w:tc>
              <w:tc>
                <w:tcPr>
                  <w:tcW w:w="2026" w:type="dxa"/>
                  <w:vAlign w:val="center"/>
                </w:tcPr>
                <w:p w14:paraId="50EF4554">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SH-80</w:t>
                  </w:r>
                </w:p>
              </w:tc>
              <w:tc>
                <w:tcPr>
                  <w:tcW w:w="1013" w:type="dxa"/>
                  <w:vAlign w:val="center"/>
                </w:tcPr>
                <w:p w14:paraId="06437A64">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副</w:t>
                  </w:r>
                </w:p>
              </w:tc>
              <w:tc>
                <w:tcPr>
                  <w:tcW w:w="1318" w:type="dxa"/>
                  <w:vAlign w:val="center"/>
                </w:tcPr>
                <w:p w14:paraId="65BAFDC1">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51A5D47E">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1F7D6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5EEE49AC">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7</w:t>
                  </w:r>
                </w:p>
              </w:tc>
              <w:tc>
                <w:tcPr>
                  <w:tcW w:w="1385" w:type="dxa"/>
                  <w:vAlign w:val="center"/>
                </w:tcPr>
                <w:p w14:paraId="768D3BF3">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通管规</w:t>
                  </w:r>
                </w:p>
              </w:tc>
              <w:tc>
                <w:tcPr>
                  <w:tcW w:w="2026" w:type="dxa"/>
                  <w:vAlign w:val="center"/>
                </w:tcPr>
                <w:p w14:paraId="2341CBC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Φ730mm/580mm</w:t>
                  </w:r>
                </w:p>
              </w:tc>
              <w:tc>
                <w:tcPr>
                  <w:tcW w:w="1013" w:type="dxa"/>
                  <w:vAlign w:val="center"/>
                </w:tcPr>
                <w:p w14:paraId="2E330D06">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个</w:t>
                  </w:r>
                </w:p>
              </w:tc>
              <w:tc>
                <w:tcPr>
                  <w:tcW w:w="1318" w:type="dxa"/>
                  <w:vAlign w:val="center"/>
                </w:tcPr>
                <w:p w14:paraId="77876B74">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各2</w:t>
                  </w:r>
                </w:p>
              </w:tc>
              <w:tc>
                <w:tcPr>
                  <w:tcW w:w="1767" w:type="dxa"/>
                  <w:tcBorders>
                    <w:right w:val="single" w:color="000000" w:sz="4" w:space="0"/>
                  </w:tcBorders>
                  <w:vAlign w:val="center"/>
                </w:tcPr>
                <w:p w14:paraId="21323DE6">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7FBE7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288BABDF">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8</w:t>
                  </w:r>
                </w:p>
              </w:tc>
              <w:tc>
                <w:tcPr>
                  <w:tcW w:w="1385" w:type="dxa"/>
                  <w:vAlign w:val="center"/>
                </w:tcPr>
                <w:p w14:paraId="114D42E3">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提升短节</w:t>
                  </w:r>
                </w:p>
              </w:tc>
              <w:tc>
                <w:tcPr>
                  <w:tcW w:w="2026" w:type="dxa"/>
                  <w:vAlign w:val="center"/>
                </w:tcPr>
                <w:p w14:paraId="5C0BACC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Φ88.9mm</w:t>
                  </w:r>
                </w:p>
              </w:tc>
              <w:tc>
                <w:tcPr>
                  <w:tcW w:w="1013" w:type="dxa"/>
                  <w:vAlign w:val="center"/>
                </w:tcPr>
                <w:p w14:paraId="46EFE52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套</w:t>
                  </w:r>
                </w:p>
              </w:tc>
              <w:tc>
                <w:tcPr>
                  <w:tcW w:w="1318" w:type="dxa"/>
                  <w:vAlign w:val="center"/>
                </w:tcPr>
                <w:p w14:paraId="7C36A5A3">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577D5F51">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4AE05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4A1D8472">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9</w:t>
                  </w:r>
                </w:p>
              </w:tc>
              <w:tc>
                <w:tcPr>
                  <w:tcW w:w="1385" w:type="dxa"/>
                  <w:vAlign w:val="center"/>
                </w:tcPr>
                <w:p w14:paraId="696ED829">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调整短节</w:t>
                  </w:r>
                </w:p>
              </w:tc>
              <w:tc>
                <w:tcPr>
                  <w:tcW w:w="2026" w:type="dxa"/>
                  <w:vAlign w:val="center"/>
                </w:tcPr>
                <w:p w14:paraId="5C67996D">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Φ73.0mm</w:t>
                  </w:r>
                </w:p>
              </w:tc>
              <w:tc>
                <w:tcPr>
                  <w:tcW w:w="1013" w:type="dxa"/>
                  <w:vAlign w:val="center"/>
                </w:tcPr>
                <w:p w14:paraId="0D75C018">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m</w:t>
                  </w:r>
                </w:p>
              </w:tc>
              <w:tc>
                <w:tcPr>
                  <w:tcW w:w="1318" w:type="dxa"/>
                  <w:vAlign w:val="center"/>
                </w:tcPr>
                <w:p w14:paraId="795715DB">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1CEE7B28">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(0.3m、0.5m、</w:t>
                  </w:r>
                </w:p>
                <w:p w14:paraId="03F7661B">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1.0m、1.5m、</w:t>
                  </w:r>
                </w:p>
                <w:p w14:paraId="4514D29B">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2.0m)</w:t>
                  </w:r>
                </w:p>
              </w:tc>
            </w:tr>
            <w:tr w14:paraId="6B12D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1AB6FE6E">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10</w:t>
                  </w:r>
                </w:p>
              </w:tc>
              <w:tc>
                <w:tcPr>
                  <w:tcW w:w="1385" w:type="dxa"/>
                  <w:vAlign w:val="center"/>
                </w:tcPr>
                <w:p w14:paraId="794B846B">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值班房</w:t>
                  </w:r>
                </w:p>
              </w:tc>
              <w:tc>
                <w:tcPr>
                  <w:tcW w:w="2026" w:type="dxa"/>
                  <w:vAlign w:val="center"/>
                </w:tcPr>
                <w:p w14:paraId="6124017E">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c>
                <w:tcPr>
                  <w:tcW w:w="1013" w:type="dxa"/>
                  <w:vAlign w:val="center"/>
                </w:tcPr>
                <w:p w14:paraId="3D5A2C18">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套</w:t>
                  </w:r>
                </w:p>
              </w:tc>
              <w:tc>
                <w:tcPr>
                  <w:tcW w:w="1318" w:type="dxa"/>
                  <w:vAlign w:val="center"/>
                </w:tcPr>
                <w:p w14:paraId="475A6F1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736454B7">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0351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4C444DD0">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11</w:t>
                  </w:r>
                </w:p>
              </w:tc>
              <w:tc>
                <w:tcPr>
                  <w:tcW w:w="1385" w:type="dxa"/>
                  <w:vAlign w:val="center"/>
                </w:tcPr>
                <w:p w14:paraId="7369FE19">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发电房</w:t>
                  </w:r>
                </w:p>
              </w:tc>
              <w:tc>
                <w:tcPr>
                  <w:tcW w:w="2026" w:type="dxa"/>
                  <w:vAlign w:val="center"/>
                </w:tcPr>
                <w:p w14:paraId="4446079B">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c>
                <w:tcPr>
                  <w:tcW w:w="1013" w:type="dxa"/>
                  <w:vAlign w:val="center"/>
                </w:tcPr>
                <w:p w14:paraId="4D9EAF5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套</w:t>
                  </w:r>
                </w:p>
              </w:tc>
              <w:tc>
                <w:tcPr>
                  <w:tcW w:w="1318" w:type="dxa"/>
                  <w:vAlign w:val="center"/>
                </w:tcPr>
                <w:p w14:paraId="5BB92A8A">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69A1E817">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7929D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70523E6C">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12</w:t>
                  </w:r>
                </w:p>
              </w:tc>
              <w:tc>
                <w:tcPr>
                  <w:tcW w:w="1385" w:type="dxa"/>
                  <w:vAlign w:val="center"/>
                </w:tcPr>
                <w:p w14:paraId="1E31A6FB">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柴油发电机</w:t>
                  </w:r>
                </w:p>
              </w:tc>
              <w:tc>
                <w:tcPr>
                  <w:tcW w:w="2026" w:type="dxa"/>
                  <w:vAlign w:val="center"/>
                </w:tcPr>
                <w:p w14:paraId="71DFAB6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c>
                <w:tcPr>
                  <w:tcW w:w="1013" w:type="dxa"/>
                  <w:vAlign w:val="center"/>
                </w:tcPr>
                <w:p w14:paraId="2CBF351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台</w:t>
                  </w:r>
                </w:p>
              </w:tc>
              <w:tc>
                <w:tcPr>
                  <w:tcW w:w="1318" w:type="dxa"/>
                  <w:vAlign w:val="center"/>
                </w:tcPr>
                <w:p w14:paraId="3E6435FA">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w:t>
                  </w:r>
                </w:p>
              </w:tc>
              <w:tc>
                <w:tcPr>
                  <w:tcW w:w="1767" w:type="dxa"/>
                  <w:tcBorders>
                    <w:right w:val="single" w:color="000000" w:sz="4" w:space="0"/>
                  </w:tcBorders>
                  <w:vAlign w:val="center"/>
                </w:tcPr>
                <w:p w14:paraId="25779F60">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一用一备</w:t>
                  </w:r>
                </w:p>
              </w:tc>
            </w:tr>
            <w:tr w14:paraId="5493A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55AC618E">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13</w:t>
                  </w:r>
                </w:p>
              </w:tc>
              <w:tc>
                <w:tcPr>
                  <w:tcW w:w="1385" w:type="dxa"/>
                  <w:vAlign w:val="center"/>
                </w:tcPr>
                <w:p w14:paraId="51277102">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泵车</w:t>
                  </w:r>
                </w:p>
              </w:tc>
              <w:tc>
                <w:tcPr>
                  <w:tcW w:w="2026" w:type="dxa"/>
                  <w:vAlign w:val="center"/>
                </w:tcPr>
                <w:p w14:paraId="71272D32">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700型</w:t>
                  </w:r>
                </w:p>
              </w:tc>
              <w:tc>
                <w:tcPr>
                  <w:tcW w:w="1013" w:type="dxa"/>
                  <w:vAlign w:val="center"/>
                </w:tcPr>
                <w:p w14:paraId="06FDBE58">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台</w:t>
                  </w:r>
                </w:p>
              </w:tc>
              <w:tc>
                <w:tcPr>
                  <w:tcW w:w="1318" w:type="dxa"/>
                  <w:vAlign w:val="center"/>
                </w:tcPr>
                <w:p w14:paraId="4F7BEE17">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w:t>
                  </w:r>
                </w:p>
              </w:tc>
              <w:tc>
                <w:tcPr>
                  <w:tcW w:w="1767" w:type="dxa"/>
                  <w:tcBorders>
                    <w:right w:val="single" w:color="000000" w:sz="4" w:space="0"/>
                  </w:tcBorders>
                  <w:vAlign w:val="center"/>
                </w:tcPr>
                <w:p w14:paraId="6069C411">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r w14:paraId="3EDC8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3F6B4766">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14</w:t>
                  </w:r>
                </w:p>
              </w:tc>
              <w:tc>
                <w:tcPr>
                  <w:tcW w:w="1385" w:type="dxa"/>
                  <w:vAlign w:val="center"/>
                </w:tcPr>
                <w:p w14:paraId="119EEBA6">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原油储罐</w:t>
                  </w:r>
                </w:p>
              </w:tc>
              <w:tc>
                <w:tcPr>
                  <w:tcW w:w="2026" w:type="dxa"/>
                  <w:vAlign w:val="center"/>
                </w:tcPr>
                <w:p w14:paraId="18C2FFBF">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60m</w:t>
                  </w:r>
                  <w:r>
                    <w:rPr>
                      <w:rFonts w:ascii="Times New Roman" w:hAnsi="Times New Roman" w:eastAsia="宋体" w:cs="Times New Roman"/>
                      <w:color w:val="auto"/>
                      <w:highlight w:val="none"/>
                      <w:vertAlign w:val="superscript"/>
                      <w:lang w:eastAsia="zh-CN" w:bidi="ar"/>
                    </w:rPr>
                    <w:t>3</w:t>
                  </w:r>
                </w:p>
              </w:tc>
              <w:tc>
                <w:tcPr>
                  <w:tcW w:w="1013" w:type="dxa"/>
                  <w:vAlign w:val="center"/>
                </w:tcPr>
                <w:p w14:paraId="0BD9FDF5">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罐</w:t>
                  </w:r>
                </w:p>
              </w:tc>
              <w:tc>
                <w:tcPr>
                  <w:tcW w:w="1318" w:type="dxa"/>
                  <w:vAlign w:val="center"/>
                </w:tcPr>
                <w:p w14:paraId="44F062FD">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2</w:t>
                  </w:r>
                </w:p>
              </w:tc>
              <w:tc>
                <w:tcPr>
                  <w:tcW w:w="1767" w:type="dxa"/>
                  <w:tcBorders>
                    <w:right w:val="single" w:color="000000" w:sz="4" w:space="0"/>
                  </w:tcBorders>
                  <w:vAlign w:val="center"/>
                </w:tcPr>
                <w:p w14:paraId="55126C96">
                  <w:pPr>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bl>
          <w:p w14:paraId="2D2CCEFA">
            <w:pPr>
              <w:widowControl w:val="0"/>
              <w:kinsoku/>
              <w:spacing w:line="500" w:lineRule="exact"/>
              <w:jc w:val="center"/>
              <w:rPr>
                <w:rFonts w:ascii="Times New Roman" w:hAnsi="Times New Roman" w:eastAsia="宋体" w:cs="Times New Roman"/>
                <w:b/>
                <w:bCs/>
                <w:color w:val="auto"/>
                <w:spacing w:val="5"/>
                <w:kern w:val="2"/>
                <w:highlight w:val="none"/>
                <w:lang w:eastAsia="zh-CN"/>
              </w:rPr>
            </w:pPr>
            <w:r>
              <w:rPr>
                <w:rFonts w:ascii="Times New Roman" w:hAnsi="Times New Roman" w:eastAsia="宋体" w:cs="Times New Roman"/>
                <w:b/>
                <w:bCs/>
                <w:color w:val="auto"/>
                <w:spacing w:val="5"/>
                <w:kern w:val="2"/>
                <w:highlight w:val="none"/>
                <w:lang w:eastAsia="zh-CN"/>
              </w:rPr>
              <w:t>表2-9 单个钻井储层改造主要设备</w:t>
            </w:r>
          </w:p>
          <w:tbl>
            <w:tblPr>
              <w:tblStyle w:val="16"/>
              <w:tblW w:w="8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2044"/>
              <w:gridCol w:w="2045"/>
              <w:gridCol w:w="2045"/>
            </w:tblGrid>
            <w:tr w14:paraId="2D7F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Align w:val="center"/>
                </w:tcPr>
                <w:p w14:paraId="2B0D1880">
                  <w:pPr>
                    <w:widowControl/>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bidi="ar"/>
                    </w:rPr>
                    <w:t>阶段</w:t>
                  </w:r>
                </w:p>
              </w:tc>
              <w:tc>
                <w:tcPr>
                  <w:tcW w:w="2044" w:type="dxa"/>
                  <w:vAlign w:val="center"/>
                </w:tcPr>
                <w:p w14:paraId="3071AB83">
                  <w:pPr>
                    <w:widowControl/>
                    <w:kinsoku/>
                    <w:jc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设备名称</w:t>
                  </w:r>
                </w:p>
              </w:tc>
              <w:tc>
                <w:tcPr>
                  <w:tcW w:w="2045" w:type="dxa"/>
                  <w:vAlign w:val="center"/>
                </w:tcPr>
                <w:p w14:paraId="13CD7F3C">
                  <w:pPr>
                    <w:widowControl/>
                    <w:kinsoku/>
                    <w:jc w:val="center"/>
                    <w:rPr>
                      <w:rFonts w:ascii="Times New Roman" w:hAnsi="Times New Roman" w:eastAsia="宋体" w:cs="Times New Roman"/>
                      <w:b/>
                      <w:bCs/>
                      <w:color w:val="auto"/>
                      <w:highlight w:val="none"/>
                      <w:lang w:eastAsia="zh-CN" w:bidi="ar"/>
                    </w:rPr>
                  </w:pPr>
                  <w:r>
                    <w:rPr>
                      <w:rFonts w:ascii="Times New Roman" w:hAnsi="Times New Roman" w:eastAsia="宋体" w:cs="Times New Roman"/>
                      <w:b/>
                      <w:bCs/>
                      <w:color w:val="auto"/>
                      <w:highlight w:val="none"/>
                      <w:lang w:eastAsia="zh-CN" w:bidi="ar"/>
                    </w:rPr>
                    <w:t>主要型号</w:t>
                  </w:r>
                </w:p>
              </w:tc>
              <w:tc>
                <w:tcPr>
                  <w:tcW w:w="2045" w:type="dxa"/>
                  <w:vAlign w:val="center"/>
                </w:tcPr>
                <w:p w14:paraId="4D96CE94">
                  <w:pPr>
                    <w:widowControl/>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bidi="ar"/>
                    </w:rPr>
                    <w:t>数量（台/座）</w:t>
                  </w:r>
                </w:p>
              </w:tc>
            </w:tr>
            <w:tr w14:paraId="523E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restart"/>
                  <w:vAlign w:val="center"/>
                </w:tcPr>
                <w:p w14:paraId="1D4B7626">
                  <w:pPr>
                    <w:widowControl/>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压裂</w:t>
                  </w:r>
                </w:p>
              </w:tc>
              <w:tc>
                <w:tcPr>
                  <w:tcW w:w="2044" w:type="dxa"/>
                  <w:vAlign w:val="center"/>
                </w:tcPr>
                <w:p w14:paraId="7300418E">
                  <w:pPr>
                    <w:widowControl/>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压裂车</w:t>
                  </w:r>
                </w:p>
              </w:tc>
              <w:tc>
                <w:tcPr>
                  <w:tcW w:w="2045" w:type="dxa"/>
                  <w:vAlign w:val="center"/>
                </w:tcPr>
                <w:p w14:paraId="6BDFD5CD">
                  <w:pPr>
                    <w:widowControl/>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2500型</w:t>
                  </w:r>
                </w:p>
              </w:tc>
              <w:tc>
                <w:tcPr>
                  <w:tcW w:w="2045" w:type="dxa"/>
                  <w:vAlign w:val="center"/>
                </w:tcPr>
                <w:p w14:paraId="051A0500">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8</w:t>
                  </w:r>
                </w:p>
              </w:tc>
            </w:tr>
            <w:tr w14:paraId="2924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417324C1">
                  <w:pPr>
                    <w:widowControl w:val="0"/>
                    <w:kinsoku/>
                    <w:jc w:val="center"/>
                    <w:rPr>
                      <w:rFonts w:ascii="Times New Roman" w:hAnsi="Times New Roman" w:eastAsia="宋体" w:cs="Times New Roman"/>
                      <w:color w:val="auto"/>
                      <w:highlight w:val="none"/>
                      <w:lang w:eastAsia="zh-CN"/>
                    </w:rPr>
                  </w:pPr>
                </w:p>
              </w:tc>
              <w:tc>
                <w:tcPr>
                  <w:tcW w:w="2044" w:type="dxa"/>
                  <w:vAlign w:val="center"/>
                </w:tcPr>
                <w:p w14:paraId="7955D5E7">
                  <w:pPr>
                    <w:widowControl/>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混砂车</w:t>
                  </w:r>
                </w:p>
              </w:tc>
              <w:tc>
                <w:tcPr>
                  <w:tcW w:w="2045" w:type="dxa"/>
                  <w:vAlign w:val="center"/>
                </w:tcPr>
                <w:p w14:paraId="6CFBFE4B">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2045" w:type="dxa"/>
                  <w:vAlign w:val="center"/>
                </w:tcPr>
                <w:p w14:paraId="1A577B5C">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11D9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6CB1DCD8">
                  <w:pPr>
                    <w:widowControl w:val="0"/>
                    <w:kinsoku/>
                    <w:jc w:val="center"/>
                    <w:rPr>
                      <w:rFonts w:ascii="Times New Roman" w:hAnsi="Times New Roman" w:eastAsia="宋体" w:cs="Times New Roman"/>
                      <w:color w:val="auto"/>
                      <w:highlight w:val="none"/>
                      <w:lang w:eastAsia="zh-CN"/>
                    </w:rPr>
                  </w:pPr>
                </w:p>
              </w:tc>
              <w:tc>
                <w:tcPr>
                  <w:tcW w:w="2044" w:type="dxa"/>
                  <w:vAlign w:val="center"/>
                </w:tcPr>
                <w:p w14:paraId="7E7238D6">
                  <w:pPr>
                    <w:widowControl/>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仪表车</w:t>
                  </w:r>
                </w:p>
              </w:tc>
              <w:tc>
                <w:tcPr>
                  <w:tcW w:w="2045" w:type="dxa"/>
                  <w:vAlign w:val="center"/>
                </w:tcPr>
                <w:p w14:paraId="7EFB5902">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2045" w:type="dxa"/>
                  <w:vAlign w:val="center"/>
                </w:tcPr>
                <w:p w14:paraId="0B9297E4">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032F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6B3BD943">
                  <w:pPr>
                    <w:widowControl w:val="0"/>
                    <w:kinsoku/>
                    <w:jc w:val="center"/>
                    <w:rPr>
                      <w:rFonts w:ascii="Times New Roman" w:hAnsi="Times New Roman" w:eastAsia="宋体" w:cs="Times New Roman"/>
                      <w:color w:val="auto"/>
                      <w:highlight w:val="none"/>
                      <w:lang w:eastAsia="zh-CN"/>
                    </w:rPr>
                  </w:pPr>
                </w:p>
              </w:tc>
              <w:tc>
                <w:tcPr>
                  <w:tcW w:w="2044" w:type="dxa"/>
                  <w:vAlign w:val="center"/>
                </w:tcPr>
                <w:p w14:paraId="720AC3F7">
                  <w:pPr>
                    <w:widowControl/>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砂罐车</w:t>
                  </w:r>
                </w:p>
              </w:tc>
              <w:tc>
                <w:tcPr>
                  <w:tcW w:w="2045" w:type="dxa"/>
                  <w:vAlign w:val="center"/>
                </w:tcPr>
                <w:p w14:paraId="220CD8D6">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2045" w:type="dxa"/>
                  <w:vAlign w:val="center"/>
                </w:tcPr>
                <w:p w14:paraId="61E75831">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w:t>
                  </w:r>
                </w:p>
              </w:tc>
            </w:tr>
            <w:tr w14:paraId="095A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760A99E8">
                  <w:pPr>
                    <w:widowControl w:val="0"/>
                    <w:kinsoku/>
                    <w:jc w:val="center"/>
                    <w:rPr>
                      <w:rFonts w:ascii="Times New Roman" w:hAnsi="Times New Roman" w:eastAsia="宋体" w:cs="Times New Roman"/>
                      <w:color w:val="auto"/>
                      <w:highlight w:val="none"/>
                      <w:lang w:eastAsia="zh-CN"/>
                    </w:rPr>
                  </w:pPr>
                </w:p>
              </w:tc>
              <w:tc>
                <w:tcPr>
                  <w:tcW w:w="2044" w:type="dxa"/>
                  <w:vAlign w:val="center"/>
                </w:tcPr>
                <w:p w14:paraId="0FBF566A">
                  <w:pPr>
                    <w:widowControl w:val="0"/>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砂漏</w:t>
                  </w:r>
                </w:p>
              </w:tc>
              <w:tc>
                <w:tcPr>
                  <w:tcW w:w="2045" w:type="dxa"/>
                  <w:vAlign w:val="center"/>
                </w:tcPr>
                <w:p w14:paraId="3A62E12C">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2045" w:type="dxa"/>
                  <w:vAlign w:val="center"/>
                </w:tcPr>
                <w:p w14:paraId="7E652574">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1EDE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7CE36348">
                  <w:pPr>
                    <w:widowControl w:val="0"/>
                    <w:kinsoku/>
                    <w:jc w:val="center"/>
                    <w:rPr>
                      <w:rFonts w:ascii="Times New Roman" w:hAnsi="Times New Roman" w:eastAsia="宋体" w:cs="Times New Roman"/>
                      <w:color w:val="auto"/>
                      <w:highlight w:val="none"/>
                      <w:lang w:eastAsia="zh-CN"/>
                    </w:rPr>
                  </w:pPr>
                </w:p>
              </w:tc>
              <w:tc>
                <w:tcPr>
                  <w:tcW w:w="2044" w:type="dxa"/>
                  <w:vAlign w:val="center"/>
                </w:tcPr>
                <w:p w14:paraId="3A64B43F">
                  <w:pPr>
                    <w:widowControl w:val="0"/>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蓄水池</w:t>
                  </w:r>
                </w:p>
              </w:tc>
              <w:tc>
                <w:tcPr>
                  <w:tcW w:w="2045" w:type="dxa"/>
                  <w:vAlign w:val="center"/>
                </w:tcPr>
                <w:p w14:paraId="4463AEBA">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3000m</w:t>
                  </w:r>
                  <w:r>
                    <w:rPr>
                      <w:rFonts w:ascii="Times New Roman" w:hAnsi="Times New Roman" w:eastAsia="宋体" w:cs="Times New Roman"/>
                      <w:color w:val="auto"/>
                      <w:highlight w:val="none"/>
                      <w:vertAlign w:val="superscript"/>
                      <w:lang w:eastAsia="zh-CN"/>
                    </w:rPr>
                    <w:t>3</w:t>
                  </w:r>
                </w:p>
              </w:tc>
              <w:tc>
                <w:tcPr>
                  <w:tcW w:w="2045" w:type="dxa"/>
                  <w:vAlign w:val="center"/>
                </w:tcPr>
                <w:p w14:paraId="3F32E73E">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5EDC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restart"/>
                  <w:vAlign w:val="center"/>
                </w:tcPr>
                <w:p w14:paraId="4462DE7B">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射孔</w:t>
                  </w:r>
                </w:p>
              </w:tc>
              <w:tc>
                <w:tcPr>
                  <w:tcW w:w="2044" w:type="dxa"/>
                  <w:vAlign w:val="center"/>
                </w:tcPr>
                <w:p w14:paraId="1FFDF6B2">
                  <w:pPr>
                    <w:widowControl/>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射孔车</w:t>
                  </w:r>
                </w:p>
              </w:tc>
              <w:tc>
                <w:tcPr>
                  <w:tcW w:w="2045" w:type="dxa"/>
                  <w:vAlign w:val="center"/>
                </w:tcPr>
                <w:p w14:paraId="6CEDC541">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2045" w:type="dxa"/>
                  <w:vAlign w:val="center"/>
                </w:tcPr>
                <w:p w14:paraId="78B55076">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r w14:paraId="26F6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545EB583">
                  <w:pPr>
                    <w:widowControl w:val="0"/>
                    <w:kinsoku/>
                    <w:jc w:val="center"/>
                    <w:rPr>
                      <w:rFonts w:ascii="Times New Roman" w:hAnsi="Times New Roman" w:eastAsia="宋体" w:cs="Times New Roman"/>
                      <w:color w:val="auto"/>
                      <w:highlight w:val="none"/>
                      <w:lang w:eastAsia="zh-CN"/>
                    </w:rPr>
                  </w:pPr>
                </w:p>
              </w:tc>
              <w:tc>
                <w:tcPr>
                  <w:tcW w:w="2044" w:type="dxa"/>
                  <w:vAlign w:val="center"/>
                </w:tcPr>
                <w:p w14:paraId="50663BE7">
                  <w:pPr>
                    <w:widowControl/>
                    <w:kinsoku/>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射孔工具车</w:t>
                  </w:r>
                </w:p>
              </w:tc>
              <w:tc>
                <w:tcPr>
                  <w:tcW w:w="2045" w:type="dxa"/>
                  <w:vAlign w:val="center"/>
                </w:tcPr>
                <w:p w14:paraId="7D14FA89">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2045" w:type="dxa"/>
                  <w:vAlign w:val="center"/>
                </w:tcPr>
                <w:p w14:paraId="28DC5002">
                  <w:pPr>
                    <w:widowControl w:val="0"/>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r>
          </w:tbl>
          <w:p w14:paraId="4C7BC2A9">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6.钻井液体系</w:t>
            </w:r>
          </w:p>
          <w:p w14:paraId="42E7AE47">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6.1钻井液体系及用量</w:t>
            </w:r>
          </w:p>
          <w:p w14:paraId="4D15AE50">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bidi="ar"/>
              </w:rPr>
              <w:t>根据建设单位提供的设计资料可知，钻井过程中需要使用钻井液，结合井身结构，不同井段采用的钻井液体系有所不同</w:t>
            </w:r>
            <w:bookmarkStart w:id="9" w:name="_Hlk183359743"/>
            <w:bookmarkStart w:id="10" w:name="_Hlk167901113"/>
            <w:bookmarkStart w:id="11" w:name="_Hlk176173839"/>
            <w:bookmarkStart w:id="12" w:name="_Hlk186373794"/>
            <w:r>
              <w:rPr>
                <w:rFonts w:ascii="Times New Roman" w:hAnsi="Times New Roman" w:eastAsia="宋体" w:cs="Times New Roman"/>
                <w:color w:val="auto"/>
                <w:sz w:val="24"/>
                <w:szCs w:val="24"/>
                <w:highlight w:val="none"/>
                <w:lang w:eastAsia="zh-CN" w:bidi="ar"/>
              </w:rPr>
              <w:t>；</w:t>
            </w:r>
            <w:bookmarkEnd w:id="9"/>
            <w:r>
              <w:rPr>
                <w:rFonts w:ascii="Times New Roman" w:hAnsi="Times New Roman" w:eastAsia="宋体" w:cs="Times New Roman"/>
                <w:color w:val="auto"/>
                <w:sz w:val="24"/>
                <w:szCs w:val="24"/>
                <w:highlight w:val="none"/>
                <w:lang w:eastAsia="zh-CN"/>
              </w:rPr>
              <w:t>单井设计钻井液体系见表2-10。</w:t>
            </w:r>
            <w:bookmarkEnd w:id="10"/>
            <w:bookmarkEnd w:id="11"/>
            <w:bookmarkStart w:id="13" w:name="_Ref66721972"/>
            <w:bookmarkStart w:id="14" w:name="_Hlk176173812"/>
          </w:p>
          <w:bookmarkEnd w:id="13"/>
          <w:p w14:paraId="53CD08B4">
            <w:pPr>
              <w:widowControl w:val="0"/>
              <w:kinsoku/>
              <w:spacing w:line="5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b/>
                <w:bCs/>
                <w:color w:val="auto"/>
                <w:highlight w:val="none"/>
                <w:lang w:eastAsia="zh-CN"/>
              </w:rPr>
              <w:t>表2-10 钻井液体系</w:t>
            </w:r>
          </w:p>
          <w:bookmarkEnd w:id="12"/>
          <w:bookmarkEnd w:id="14"/>
          <w:tbl>
            <w:tblPr>
              <w:tblStyle w:val="15"/>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5"/>
              <w:gridCol w:w="1149"/>
              <w:gridCol w:w="940"/>
              <w:gridCol w:w="844"/>
              <w:gridCol w:w="4759"/>
            </w:tblGrid>
            <w:tr w14:paraId="0E45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387" w:type="pct"/>
                  <w:vAlign w:val="center"/>
                </w:tcPr>
                <w:p w14:paraId="7BD3D2D4">
                  <w:pPr>
                    <w:kinsoku/>
                    <w:spacing w:line="240" w:lineRule="atLeast"/>
                    <w:jc w:val="center"/>
                    <w:rPr>
                      <w:rFonts w:ascii="Times New Roman" w:hAnsi="Times New Roman" w:eastAsia="宋体" w:cs="Times New Roman"/>
                      <w:b/>
                      <w:bCs/>
                      <w:color w:val="auto"/>
                      <w:highlight w:val="none"/>
                      <w:lang w:eastAsia="zh-CN"/>
                    </w:rPr>
                  </w:pPr>
                  <w:bookmarkStart w:id="15" w:name="OLE_LINK71"/>
                  <w:r>
                    <w:rPr>
                      <w:rFonts w:ascii="Times New Roman" w:hAnsi="Times New Roman" w:eastAsia="宋体" w:cs="Times New Roman"/>
                      <w:b/>
                      <w:bCs/>
                      <w:color w:val="auto"/>
                      <w:highlight w:val="none"/>
                      <w:lang w:eastAsia="zh-CN"/>
                    </w:rPr>
                    <w:t>开钻次序</w:t>
                  </w:r>
                </w:p>
              </w:tc>
              <w:tc>
                <w:tcPr>
                  <w:tcW w:w="689" w:type="pct"/>
                  <w:vAlign w:val="center"/>
                </w:tcPr>
                <w:p w14:paraId="084C0F5F">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井段</w:t>
                  </w:r>
                </w:p>
                <w:p w14:paraId="68F668D4">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（m）</w:t>
                  </w:r>
                </w:p>
              </w:tc>
              <w:tc>
                <w:tcPr>
                  <w:tcW w:w="564" w:type="pct"/>
                  <w:vAlign w:val="center"/>
                </w:tcPr>
                <w:p w14:paraId="50208B7E">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密度</w:t>
                  </w:r>
                </w:p>
                <w:p w14:paraId="0B9451FE">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g/cm</w:t>
                  </w:r>
                  <w:r>
                    <w:rPr>
                      <w:rFonts w:ascii="Times New Roman" w:hAnsi="Times New Roman" w:eastAsia="宋体" w:cs="Times New Roman"/>
                      <w:b/>
                      <w:bCs/>
                      <w:color w:val="auto"/>
                      <w:highlight w:val="none"/>
                      <w:vertAlign w:val="superscript"/>
                      <w:lang w:eastAsia="zh-CN"/>
                    </w:rPr>
                    <w:t>3</w:t>
                  </w:r>
                </w:p>
              </w:tc>
              <w:tc>
                <w:tcPr>
                  <w:tcW w:w="506" w:type="pct"/>
                  <w:vAlign w:val="center"/>
                </w:tcPr>
                <w:p w14:paraId="541A425B">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钻井液类型</w:t>
                  </w:r>
                </w:p>
              </w:tc>
              <w:tc>
                <w:tcPr>
                  <w:tcW w:w="2852" w:type="pct"/>
                  <w:vAlign w:val="center"/>
                </w:tcPr>
                <w:p w14:paraId="0E708909">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钻井液配方</w:t>
                  </w:r>
                </w:p>
              </w:tc>
            </w:tr>
            <w:tr w14:paraId="1762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6" w:hRule="atLeast"/>
                <w:jc w:val="center"/>
              </w:trPr>
              <w:tc>
                <w:tcPr>
                  <w:tcW w:w="5000" w:type="pct"/>
                  <w:gridSpan w:val="5"/>
                </w:tcPr>
                <w:p w14:paraId="7F771B61">
                  <w:pPr>
                    <w:pStyle w:val="25"/>
                    <w:rPr>
                      <w:color w:val="auto"/>
                      <w:szCs w:val="21"/>
                      <w:highlight w:val="none"/>
                    </w:rPr>
                  </w:pPr>
                  <w:r>
                    <w:rPr>
                      <w:color w:val="auto"/>
                      <w:highlight w:val="none"/>
                    </w:rPr>
                    <w:t>阜4803H</w:t>
                  </w:r>
                </w:p>
              </w:tc>
            </w:tr>
            <w:tr w14:paraId="1EE1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8" w:hRule="atLeast"/>
                <w:jc w:val="center"/>
              </w:trPr>
              <w:tc>
                <w:tcPr>
                  <w:tcW w:w="387" w:type="pct"/>
                  <w:vAlign w:val="center"/>
                </w:tcPr>
                <w:p w14:paraId="2613CF01">
                  <w:pPr>
                    <w:kinsoku/>
                    <w:spacing w:line="240" w:lineRule="atLeast"/>
                    <w:jc w:val="center"/>
                    <w:rPr>
                      <w:rFonts w:ascii="Times New Roman" w:hAnsi="Times New Roman" w:cs="Times New Roman"/>
                      <w:color w:val="auto"/>
                      <w:highlight w:val="none"/>
                      <w:lang w:eastAsia="zh-CN"/>
                    </w:rPr>
                  </w:pPr>
                  <w:r>
                    <w:rPr>
                      <w:rFonts w:hint="eastAsia" w:ascii="宋体" w:hAnsi="宋体" w:eastAsia="宋体" w:cs="宋体"/>
                      <w:color w:val="auto"/>
                      <w:highlight w:val="none"/>
                      <w:lang w:eastAsia="zh-CN"/>
                    </w:rPr>
                    <w:t>导眼</w:t>
                  </w:r>
                  <w:r>
                    <w:rPr>
                      <w:rFonts w:ascii="Times New Roman" w:hAnsi="Times New Roman" w:cs="Times New Roman"/>
                      <w:color w:val="auto"/>
                      <w:highlight w:val="none"/>
                      <w:lang w:eastAsia="zh-CN"/>
                    </w:rPr>
                    <w:t>/</w:t>
                  </w:r>
                </w:p>
                <w:p w14:paraId="60F90F29">
                  <w:pPr>
                    <w:kinsoku/>
                    <w:spacing w:line="240" w:lineRule="atLeast"/>
                    <w:jc w:val="center"/>
                    <w:rPr>
                      <w:rFonts w:ascii="Times New Roman" w:hAnsi="Times New Roman" w:cs="Times New Roman"/>
                      <w:color w:val="auto"/>
                      <w:highlight w:val="none"/>
                      <w:lang w:eastAsia="zh-CN"/>
                    </w:rPr>
                  </w:pPr>
                  <w:r>
                    <w:rPr>
                      <w:rFonts w:hint="eastAsia" w:ascii="宋体" w:hAnsi="宋体" w:eastAsia="宋体" w:cs="宋体"/>
                      <w:color w:val="auto"/>
                      <w:highlight w:val="none"/>
                      <w:lang w:eastAsia="zh-CN"/>
                    </w:rPr>
                    <w:t>一开</w:t>
                  </w:r>
                </w:p>
              </w:tc>
              <w:tc>
                <w:tcPr>
                  <w:tcW w:w="689" w:type="pct"/>
                  <w:vAlign w:val="center"/>
                </w:tcPr>
                <w:p w14:paraId="4DC781C5">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cs="Times New Roman"/>
                      <w:color w:val="auto"/>
                      <w:highlight w:val="none"/>
                      <w:lang w:eastAsia="zh-CN"/>
                    </w:rPr>
                    <w:t>0-</w:t>
                  </w:r>
                  <w:r>
                    <w:rPr>
                      <w:rFonts w:ascii="Times New Roman" w:hAnsi="Times New Roman" w:eastAsia="宋体" w:cs="Times New Roman"/>
                      <w:color w:val="auto"/>
                      <w:highlight w:val="none"/>
                      <w:lang w:eastAsia="zh-CN"/>
                    </w:rPr>
                    <w:t>500</w:t>
                  </w:r>
                </w:p>
              </w:tc>
              <w:tc>
                <w:tcPr>
                  <w:tcW w:w="564" w:type="pct"/>
                  <w:vAlign w:val="center"/>
                </w:tcPr>
                <w:p w14:paraId="79CA2F4A">
                  <w:pPr>
                    <w:kinsoku/>
                    <w:spacing w:line="240" w:lineRule="atLeast"/>
                    <w:jc w:val="center"/>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1.08-1.25</w:t>
                  </w:r>
                </w:p>
              </w:tc>
              <w:tc>
                <w:tcPr>
                  <w:tcW w:w="506" w:type="pct"/>
                  <w:vAlign w:val="center"/>
                </w:tcPr>
                <w:p w14:paraId="5C852A15">
                  <w:pPr>
                    <w:kinsoku/>
                    <w:spacing w:line="240" w:lineRule="atLeast"/>
                    <w:jc w:val="center"/>
                    <w:rPr>
                      <w:rFonts w:ascii="Times New Roman" w:hAnsi="Times New Roman" w:eastAsia="宋体" w:cs="Times New Roman"/>
                      <w:b/>
                      <w:bCs/>
                      <w:color w:val="auto"/>
                      <w:highlight w:val="none"/>
                      <w:lang w:eastAsia="zh-CN"/>
                    </w:rPr>
                  </w:pPr>
                  <w:r>
                    <w:rPr>
                      <w:rFonts w:hint="eastAsia" w:ascii="宋体" w:hAnsi="宋体" w:eastAsia="宋体" w:cs="宋体"/>
                      <w:color w:val="auto"/>
                      <w:highlight w:val="none"/>
                      <w:lang w:eastAsia="zh-CN"/>
                    </w:rPr>
                    <w:t>膨润土</w:t>
                  </w:r>
                  <w:r>
                    <w:rPr>
                      <w:rFonts w:ascii="Times New Roman" w:hAnsi="Times New Roman" w:cs="Times New Roman"/>
                      <w:color w:val="auto"/>
                      <w:highlight w:val="none"/>
                      <w:lang w:eastAsia="zh-CN"/>
                    </w:rPr>
                    <w:t>-</w:t>
                  </w:r>
                  <w:r>
                    <w:rPr>
                      <w:rFonts w:hint="eastAsia" w:ascii="宋体" w:hAnsi="宋体" w:eastAsia="宋体" w:cs="宋体"/>
                      <w:color w:val="auto"/>
                      <w:highlight w:val="none"/>
                      <w:lang w:eastAsia="zh-CN"/>
                    </w:rPr>
                    <w:t>聚合物钻井液</w:t>
                  </w:r>
                </w:p>
              </w:tc>
              <w:tc>
                <w:tcPr>
                  <w:tcW w:w="2852" w:type="pct"/>
                  <w:vAlign w:val="center"/>
                </w:tcPr>
                <w:p w14:paraId="7BAC5FBC">
                  <w:pPr>
                    <w:pStyle w:val="25"/>
                    <w:rPr>
                      <w:b w:val="0"/>
                      <w:bCs w:val="0"/>
                      <w:color w:val="auto"/>
                      <w:highlight w:val="none"/>
                    </w:rPr>
                  </w:pPr>
                  <w:r>
                    <w:rPr>
                      <w:b w:val="0"/>
                      <w:bCs w:val="0"/>
                      <w:color w:val="auto"/>
                      <w:highlight w:val="none"/>
                    </w:rPr>
                    <w:t>清水+(8-12)%膨润土+(0.2-0.3)%Na</w:t>
                  </w:r>
                  <w:r>
                    <w:rPr>
                      <w:b w:val="0"/>
                      <w:bCs w:val="0"/>
                      <w:color w:val="auto"/>
                      <w:highlight w:val="none"/>
                      <w:vertAlign w:val="subscript"/>
                    </w:rPr>
                    <w:t>2</w:t>
                  </w:r>
                  <w:r>
                    <w:rPr>
                      <w:b w:val="0"/>
                      <w:bCs w:val="0"/>
                      <w:color w:val="auto"/>
                      <w:highlight w:val="none"/>
                    </w:rPr>
                    <w:t>CO</w:t>
                  </w:r>
                  <w:r>
                    <w:rPr>
                      <w:b w:val="0"/>
                      <w:bCs w:val="0"/>
                      <w:color w:val="auto"/>
                      <w:highlight w:val="none"/>
                      <w:vertAlign w:val="subscript"/>
                    </w:rPr>
                    <w:t>3</w:t>
                  </w:r>
                  <w:r>
                    <w:rPr>
                      <w:b w:val="0"/>
                      <w:bCs w:val="0"/>
                      <w:color w:val="auto"/>
                      <w:highlight w:val="none"/>
                    </w:rPr>
                    <w:t>+(0.2-0.3)%CMC-LV/CMC-HV/PAC-LV+(0.3-0.5)%NaHPAN/NH</w:t>
                  </w:r>
                  <w:r>
                    <w:rPr>
                      <w:b w:val="0"/>
                      <w:bCs w:val="0"/>
                      <w:color w:val="auto"/>
                      <w:highlight w:val="none"/>
                      <w:vertAlign w:val="subscript"/>
                    </w:rPr>
                    <w:t>4</w:t>
                  </w:r>
                  <w:r>
                    <w:rPr>
                      <w:b w:val="0"/>
                      <w:bCs w:val="0"/>
                      <w:color w:val="auto"/>
                      <w:highlight w:val="none"/>
                    </w:rPr>
                    <w:t>HPAN+(0.3-0.5)%ZNP-1+重晶石粉</w:t>
                  </w:r>
                </w:p>
              </w:tc>
            </w:tr>
            <w:tr w14:paraId="20CE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86" w:hRule="atLeast"/>
                <w:jc w:val="center"/>
              </w:trPr>
              <w:tc>
                <w:tcPr>
                  <w:tcW w:w="387" w:type="pct"/>
                  <w:vAlign w:val="center"/>
                </w:tcPr>
                <w:p w14:paraId="5410A812">
                  <w:pPr>
                    <w:kinsoku/>
                    <w:spacing w:line="240" w:lineRule="atLeast"/>
                    <w:jc w:val="center"/>
                    <w:rPr>
                      <w:rFonts w:ascii="Times New Roman" w:hAnsi="Times New Roman" w:eastAsia="宋体" w:cs="Times New Roman"/>
                      <w:b/>
                      <w:bCs/>
                      <w:color w:val="auto"/>
                      <w:highlight w:val="none"/>
                      <w:lang w:eastAsia="zh-CN"/>
                    </w:rPr>
                  </w:pPr>
                  <w:r>
                    <w:rPr>
                      <w:rFonts w:hint="eastAsia" w:ascii="宋体" w:hAnsi="宋体" w:eastAsia="宋体" w:cs="宋体"/>
                      <w:color w:val="auto"/>
                      <w:highlight w:val="none"/>
                      <w:lang w:eastAsia="zh-CN"/>
                    </w:rPr>
                    <w:t>二开</w:t>
                  </w:r>
                </w:p>
              </w:tc>
              <w:tc>
                <w:tcPr>
                  <w:tcW w:w="689" w:type="pct"/>
                  <w:vAlign w:val="center"/>
                </w:tcPr>
                <w:p w14:paraId="1E0C949B">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color w:val="auto"/>
                      <w:highlight w:val="none"/>
                      <w:lang w:eastAsia="zh-CN"/>
                    </w:rPr>
                    <w:t>5</w:t>
                  </w:r>
                  <w:r>
                    <w:rPr>
                      <w:rFonts w:ascii="Times New Roman" w:hAnsi="Times New Roman" w:cs="Times New Roman"/>
                      <w:color w:val="auto"/>
                      <w:highlight w:val="none"/>
                      <w:lang w:eastAsia="zh-CN"/>
                    </w:rPr>
                    <w:t>00-3</w:t>
                  </w:r>
                  <w:r>
                    <w:rPr>
                      <w:rFonts w:ascii="Times New Roman" w:hAnsi="Times New Roman" w:eastAsia="宋体" w:cs="Times New Roman"/>
                      <w:color w:val="auto"/>
                      <w:highlight w:val="none"/>
                      <w:lang w:eastAsia="zh-CN"/>
                    </w:rPr>
                    <w:t>600</w:t>
                  </w:r>
                </w:p>
              </w:tc>
              <w:tc>
                <w:tcPr>
                  <w:tcW w:w="564" w:type="pct"/>
                  <w:vAlign w:val="center"/>
                </w:tcPr>
                <w:p w14:paraId="63ADBE85">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cs="Times New Roman"/>
                      <w:color w:val="auto"/>
                      <w:highlight w:val="none"/>
                      <w:lang w:eastAsia="zh-CN"/>
                    </w:rPr>
                    <w:t>1.</w:t>
                  </w:r>
                  <w:r>
                    <w:rPr>
                      <w:rFonts w:ascii="Times New Roman" w:hAnsi="Times New Roman" w:eastAsia="宋体" w:cs="Times New Roman"/>
                      <w:color w:val="auto"/>
                      <w:highlight w:val="none"/>
                      <w:lang w:eastAsia="zh-CN"/>
                    </w:rPr>
                    <w:t>25</w:t>
                  </w:r>
                  <w:r>
                    <w:rPr>
                      <w:rFonts w:ascii="Times New Roman" w:hAnsi="Times New Roman" w:cs="Times New Roman"/>
                      <w:color w:val="auto"/>
                      <w:highlight w:val="none"/>
                      <w:lang w:eastAsia="zh-CN"/>
                    </w:rPr>
                    <w:t>-1.</w:t>
                  </w:r>
                  <w:r>
                    <w:rPr>
                      <w:rFonts w:ascii="Times New Roman" w:hAnsi="Times New Roman" w:eastAsia="宋体" w:cs="Times New Roman"/>
                      <w:color w:val="auto"/>
                      <w:highlight w:val="none"/>
                      <w:lang w:eastAsia="zh-CN"/>
                    </w:rPr>
                    <w:t>45</w:t>
                  </w:r>
                </w:p>
              </w:tc>
              <w:tc>
                <w:tcPr>
                  <w:tcW w:w="506" w:type="pct"/>
                  <w:vAlign w:val="center"/>
                </w:tcPr>
                <w:p w14:paraId="1B72E7B5">
                  <w:pPr>
                    <w:kinsoku/>
                    <w:spacing w:line="240" w:lineRule="atLeast"/>
                    <w:jc w:val="center"/>
                    <w:rPr>
                      <w:rFonts w:ascii="Times New Roman" w:hAnsi="Times New Roman" w:eastAsia="宋体" w:cs="Times New Roman"/>
                      <w:b/>
                      <w:bCs/>
                      <w:color w:val="auto"/>
                      <w:highlight w:val="none"/>
                      <w:lang w:eastAsia="zh-CN"/>
                    </w:rPr>
                  </w:pPr>
                  <w:r>
                    <w:rPr>
                      <w:rFonts w:hint="eastAsia" w:ascii="宋体" w:hAnsi="宋体" w:eastAsia="宋体" w:cs="宋体"/>
                      <w:color w:val="auto"/>
                      <w:kern w:val="11"/>
                      <w:highlight w:val="none"/>
                      <w:lang w:eastAsia="zh-CN"/>
                    </w:rPr>
                    <w:t>复合盐钻井液</w:t>
                  </w:r>
                </w:p>
              </w:tc>
              <w:tc>
                <w:tcPr>
                  <w:tcW w:w="2852" w:type="pct"/>
                  <w:vAlign w:val="center"/>
                </w:tcPr>
                <w:p w14:paraId="222FDA1B">
                  <w:pPr>
                    <w:pStyle w:val="25"/>
                    <w:rPr>
                      <w:b w:val="0"/>
                      <w:bCs w:val="0"/>
                      <w:color w:val="auto"/>
                      <w:highlight w:val="none"/>
                    </w:rPr>
                  </w:pPr>
                  <w:r>
                    <w:rPr>
                      <w:b w:val="0"/>
                      <w:bCs w:val="0"/>
                      <w:color w:val="auto"/>
                      <w:highlight w:val="none"/>
                    </w:rPr>
                    <w:t>井浆+(0.3-0.5)%NaOH+(0.5-1)%NH</w:t>
                  </w:r>
                  <w:r>
                    <w:rPr>
                      <w:b w:val="0"/>
                      <w:bCs w:val="0"/>
                      <w:color w:val="auto"/>
                      <w:highlight w:val="none"/>
                      <w:vertAlign w:val="subscript"/>
                    </w:rPr>
                    <w:t>4</w:t>
                  </w:r>
                  <w:r>
                    <w:rPr>
                      <w:b w:val="0"/>
                      <w:bCs w:val="0"/>
                      <w:color w:val="auto"/>
                      <w:highlight w:val="none"/>
                    </w:rPr>
                    <w:t>HPAN/KFT+(0.8-1)%SP-8/REDU1+(0.5-1.2)%FA-367/IND-10/ZNP-1+(5-7)%KCl+(10-20)%NaCl+(2-5)%YN-YL/KR-n/FT-401+(3-5)%超细碳酸钙+(0.2-0.5)%CaO+(1-3)%801+重晶石粉</w:t>
                  </w:r>
                </w:p>
              </w:tc>
            </w:tr>
            <w:tr w14:paraId="06D6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86" w:hRule="atLeast"/>
                <w:jc w:val="center"/>
              </w:trPr>
              <w:tc>
                <w:tcPr>
                  <w:tcW w:w="387" w:type="pct"/>
                  <w:vAlign w:val="center"/>
                </w:tcPr>
                <w:p w14:paraId="40195786">
                  <w:pPr>
                    <w:kinsoku/>
                    <w:spacing w:line="240" w:lineRule="atLeast"/>
                    <w:jc w:val="center"/>
                    <w:rPr>
                      <w:rFonts w:ascii="Times New Roman" w:hAnsi="Times New Roman" w:cs="Times New Roman"/>
                      <w:color w:val="auto"/>
                      <w:highlight w:val="none"/>
                      <w:lang w:eastAsia="zh-CN"/>
                    </w:rPr>
                  </w:pPr>
                  <w:r>
                    <w:rPr>
                      <w:rFonts w:hint="eastAsia" w:ascii="宋体" w:hAnsi="宋体" w:eastAsia="宋体" w:cs="宋体"/>
                      <w:color w:val="auto"/>
                      <w:highlight w:val="none"/>
                      <w:lang w:eastAsia="zh-CN"/>
                    </w:rPr>
                    <w:t>三开</w:t>
                  </w:r>
                </w:p>
              </w:tc>
              <w:tc>
                <w:tcPr>
                  <w:tcW w:w="689" w:type="pct"/>
                  <w:vAlign w:val="center"/>
                </w:tcPr>
                <w:p w14:paraId="273F962F">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3600</w:t>
                  </w:r>
                  <w:r>
                    <w:rPr>
                      <w:rFonts w:ascii="Times New Roman" w:hAnsi="Times New Roman" w:cs="Times New Roman"/>
                      <w:color w:val="auto"/>
                      <w:highlight w:val="none"/>
                      <w:lang w:eastAsia="zh-CN"/>
                    </w:rPr>
                    <w:t>-</w:t>
                  </w:r>
                  <w:r>
                    <w:rPr>
                      <w:rFonts w:ascii="Times New Roman" w:hAnsi="Times New Roman" w:eastAsia="宋体" w:cs="Times New Roman"/>
                      <w:color w:val="auto"/>
                      <w:highlight w:val="none"/>
                      <w:lang w:eastAsia="zh-CN"/>
                    </w:rPr>
                    <w:t>5410</w:t>
                  </w:r>
                </w:p>
              </w:tc>
              <w:tc>
                <w:tcPr>
                  <w:tcW w:w="564" w:type="pct"/>
                  <w:vAlign w:val="center"/>
                </w:tcPr>
                <w:p w14:paraId="4D714F22">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cs="Times New Roman"/>
                      <w:color w:val="auto"/>
                      <w:highlight w:val="none"/>
                      <w:lang w:eastAsia="zh-CN"/>
                    </w:rPr>
                    <w:t>1.</w:t>
                  </w:r>
                  <w:r>
                    <w:rPr>
                      <w:rFonts w:ascii="Times New Roman" w:hAnsi="Times New Roman" w:eastAsia="宋体" w:cs="Times New Roman"/>
                      <w:color w:val="auto"/>
                      <w:highlight w:val="none"/>
                      <w:lang w:eastAsia="zh-CN"/>
                    </w:rPr>
                    <w:t>45</w:t>
                  </w:r>
                  <w:r>
                    <w:rPr>
                      <w:rFonts w:ascii="Times New Roman" w:hAnsi="Times New Roman" w:cs="Times New Roman"/>
                      <w:color w:val="auto"/>
                      <w:highlight w:val="none"/>
                      <w:lang w:eastAsia="zh-CN"/>
                    </w:rPr>
                    <w:t>-1.</w:t>
                  </w:r>
                  <w:r>
                    <w:rPr>
                      <w:rFonts w:ascii="Times New Roman" w:hAnsi="Times New Roman" w:eastAsia="宋体" w:cs="Times New Roman"/>
                      <w:color w:val="auto"/>
                      <w:highlight w:val="none"/>
                      <w:lang w:eastAsia="zh-CN"/>
                    </w:rPr>
                    <w:t>60</w:t>
                  </w:r>
                </w:p>
              </w:tc>
              <w:tc>
                <w:tcPr>
                  <w:tcW w:w="506" w:type="pct"/>
                  <w:vAlign w:val="center"/>
                </w:tcPr>
                <w:p w14:paraId="0EF59ED3">
                  <w:pPr>
                    <w:kinsoku/>
                    <w:spacing w:line="240" w:lineRule="atLeast"/>
                    <w:jc w:val="center"/>
                    <w:rPr>
                      <w:rFonts w:ascii="Times New Roman" w:hAnsi="Times New Roman" w:cs="Times New Roman"/>
                      <w:color w:val="auto"/>
                      <w:kern w:val="11"/>
                      <w:highlight w:val="none"/>
                      <w:lang w:eastAsia="zh-CN"/>
                    </w:rPr>
                  </w:pPr>
                  <w:r>
                    <w:rPr>
                      <w:rFonts w:hint="eastAsia" w:ascii="宋体" w:hAnsi="宋体" w:eastAsia="宋体" w:cs="宋体"/>
                      <w:color w:val="auto"/>
                      <w:kern w:val="11"/>
                      <w:highlight w:val="none"/>
                      <w:lang w:eastAsia="zh-CN"/>
                    </w:rPr>
                    <w:t>复合盐钻井液</w:t>
                  </w:r>
                </w:p>
              </w:tc>
              <w:tc>
                <w:tcPr>
                  <w:tcW w:w="2852" w:type="pct"/>
                  <w:vAlign w:val="center"/>
                </w:tcPr>
                <w:p w14:paraId="7FDAC576">
                  <w:pPr>
                    <w:kinsoku/>
                    <w:spacing w:line="240" w:lineRule="atLeast"/>
                    <w:jc w:val="center"/>
                    <w:rPr>
                      <w:rFonts w:ascii="Times New Roman" w:hAnsi="Times New Roman" w:cs="Times New Roman"/>
                      <w:color w:val="auto"/>
                      <w:highlight w:val="none"/>
                      <w:lang w:eastAsia="zh-CN"/>
                    </w:rPr>
                  </w:pPr>
                  <w:r>
                    <w:rPr>
                      <w:rFonts w:ascii="Times New Roman" w:hAnsi="Times New Roman" w:eastAsia="宋体" w:cs="Times New Roman"/>
                      <w:color w:val="auto"/>
                      <w:highlight w:val="none"/>
                      <w:lang w:eastAsia="zh-CN"/>
                    </w:rPr>
                    <w:t>井浆+(0.3-0.5)%NaOH+(0.5-1)%NH</w:t>
                  </w:r>
                  <w:r>
                    <w:rPr>
                      <w:rFonts w:ascii="Times New Roman" w:hAnsi="Times New Roman" w:eastAsia="宋体" w:cs="Times New Roman"/>
                      <w:color w:val="auto"/>
                      <w:highlight w:val="none"/>
                      <w:vertAlign w:val="subscript"/>
                      <w:lang w:eastAsia="zh-CN"/>
                    </w:rPr>
                    <w:t>4</w:t>
                  </w:r>
                  <w:r>
                    <w:rPr>
                      <w:rFonts w:ascii="Times New Roman" w:hAnsi="Times New Roman" w:eastAsia="宋体" w:cs="Times New Roman"/>
                      <w:color w:val="auto"/>
                      <w:highlight w:val="none"/>
                      <w:lang w:eastAsia="zh-CN"/>
                    </w:rPr>
                    <w:t>HPAN/KFT+(0.8-1)%SP-8/REDU1+(0.5-1.2)%FA-367/IND-10/ZNP-1+(5-7)%KCl+(10-20)%NaCl+(2-5)%YN-YL/KR-n/FT-401+(3-5)%超细碳酸钙+(0.2-0.5)%CaO+(1-3)%801+重晶石粉</w:t>
                  </w:r>
                </w:p>
              </w:tc>
            </w:tr>
            <w:tr w14:paraId="1205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6" w:hRule="atLeast"/>
                <w:jc w:val="center"/>
              </w:trPr>
              <w:tc>
                <w:tcPr>
                  <w:tcW w:w="5000" w:type="pct"/>
                  <w:gridSpan w:val="5"/>
                  <w:vAlign w:val="center"/>
                </w:tcPr>
                <w:p w14:paraId="0936AFDC">
                  <w:pPr>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kern w:val="11"/>
                      <w:highlight w:val="none"/>
                      <w:lang w:eastAsia="zh-CN"/>
                    </w:rPr>
                    <w:t>阜</w:t>
                  </w:r>
                  <w:r>
                    <w:rPr>
                      <w:rFonts w:ascii="Times New Roman" w:hAnsi="Times New Roman" w:cs="Times New Roman"/>
                      <w:b/>
                      <w:bCs/>
                      <w:color w:val="auto"/>
                      <w:kern w:val="11"/>
                      <w:highlight w:val="none"/>
                      <w:lang w:eastAsia="zh-CN"/>
                    </w:rPr>
                    <w:t>480</w:t>
                  </w:r>
                  <w:r>
                    <w:rPr>
                      <w:rFonts w:ascii="Times New Roman" w:hAnsi="Times New Roman" w:cs="Times New Roman" w:eastAsiaTheme="minorEastAsia"/>
                      <w:b/>
                      <w:bCs/>
                      <w:color w:val="auto"/>
                      <w:kern w:val="11"/>
                      <w:highlight w:val="none"/>
                      <w:lang w:eastAsia="zh-CN"/>
                    </w:rPr>
                    <w:t>5</w:t>
                  </w:r>
                  <w:r>
                    <w:rPr>
                      <w:rFonts w:ascii="Times New Roman" w:hAnsi="Times New Roman" w:cs="Times New Roman"/>
                      <w:b/>
                      <w:bCs/>
                      <w:color w:val="auto"/>
                      <w:kern w:val="11"/>
                      <w:highlight w:val="none"/>
                      <w:lang w:eastAsia="zh-CN"/>
                    </w:rPr>
                    <w:t>H</w:t>
                  </w:r>
                </w:p>
              </w:tc>
            </w:tr>
            <w:tr w14:paraId="3C24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0" w:hRule="atLeast"/>
                <w:jc w:val="center"/>
              </w:trPr>
              <w:tc>
                <w:tcPr>
                  <w:tcW w:w="387" w:type="pct"/>
                  <w:vAlign w:val="center"/>
                </w:tcPr>
                <w:p w14:paraId="10B04210">
                  <w:pPr>
                    <w:kinsoku/>
                    <w:spacing w:line="240" w:lineRule="atLeast"/>
                    <w:jc w:val="center"/>
                    <w:rPr>
                      <w:rFonts w:ascii="Times New Roman" w:hAnsi="Times New Roman" w:cs="Times New Roman"/>
                      <w:color w:val="auto"/>
                      <w:highlight w:val="none"/>
                      <w:lang w:eastAsia="zh-CN"/>
                    </w:rPr>
                  </w:pPr>
                  <w:r>
                    <w:rPr>
                      <w:rFonts w:hint="eastAsia" w:ascii="宋体" w:hAnsi="宋体" w:eastAsia="宋体" w:cs="宋体"/>
                      <w:color w:val="auto"/>
                      <w:highlight w:val="none"/>
                      <w:lang w:eastAsia="zh-CN"/>
                    </w:rPr>
                    <w:t>导眼</w:t>
                  </w:r>
                  <w:r>
                    <w:rPr>
                      <w:rFonts w:ascii="Times New Roman" w:hAnsi="Times New Roman" w:cs="Times New Roman"/>
                      <w:color w:val="auto"/>
                      <w:highlight w:val="none"/>
                      <w:lang w:eastAsia="zh-CN"/>
                    </w:rPr>
                    <w:t>/</w:t>
                  </w:r>
                </w:p>
                <w:p w14:paraId="767AEB93">
                  <w:pPr>
                    <w:kinsoku/>
                    <w:spacing w:line="240" w:lineRule="atLeast"/>
                    <w:jc w:val="center"/>
                    <w:rPr>
                      <w:rFonts w:ascii="Times New Roman" w:hAnsi="Times New Roman" w:cs="Times New Roman"/>
                      <w:color w:val="auto"/>
                      <w:highlight w:val="none"/>
                      <w:lang w:eastAsia="zh-CN"/>
                    </w:rPr>
                  </w:pPr>
                  <w:r>
                    <w:rPr>
                      <w:rFonts w:hint="eastAsia" w:ascii="宋体" w:hAnsi="宋体" w:eastAsia="宋体" w:cs="宋体"/>
                      <w:color w:val="auto"/>
                      <w:highlight w:val="none"/>
                      <w:lang w:eastAsia="zh-CN"/>
                    </w:rPr>
                    <w:t>一开</w:t>
                  </w:r>
                </w:p>
              </w:tc>
              <w:tc>
                <w:tcPr>
                  <w:tcW w:w="689" w:type="pct"/>
                  <w:vAlign w:val="center"/>
                </w:tcPr>
                <w:p w14:paraId="64AC4ACE">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cs="Times New Roman"/>
                      <w:color w:val="auto"/>
                      <w:highlight w:val="none"/>
                      <w:lang w:eastAsia="zh-CN"/>
                    </w:rPr>
                    <w:t>0-</w:t>
                  </w:r>
                  <w:r>
                    <w:rPr>
                      <w:rFonts w:ascii="Times New Roman" w:hAnsi="Times New Roman" w:eastAsia="宋体" w:cs="Times New Roman"/>
                      <w:color w:val="auto"/>
                      <w:highlight w:val="none"/>
                      <w:lang w:eastAsia="zh-CN"/>
                    </w:rPr>
                    <w:t>500</w:t>
                  </w:r>
                </w:p>
              </w:tc>
              <w:tc>
                <w:tcPr>
                  <w:tcW w:w="564" w:type="pct"/>
                  <w:vAlign w:val="center"/>
                </w:tcPr>
                <w:p w14:paraId="40BEA9F6">
                  <w:pPr>
                    <w:kinsoku/>
                    <w:spacing w:line="240" w:lineRule="atLeast"/>
                    <w:jc w:val="center"/>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1.</w:t>
                  </w:r>
                  <w:r>
                    <w:rPr>
                      <w:rFonts w:ascii="Times New Roman" w:hAnsi="Times New Roman" w:cs="Times New Roman" w:eastAsiaTheme="minorEastAsia"/>
                      <w:color w:val="auto"/>
                      <w:highlight w:val="none"/>
                      <w:lang w:eastAsia="zh-CN"/>
                    </w:rPr>
                    <w:t>10</w:t>
                  </w:r>
                  <w:r>
                    <w:rPr>
                      <w:rFonts w:ascii="Times New Roman" w:hAnsi="Times New Roman" w:cs="Times New Roman"/>
                      <w:color w:val="auto"/>
                      <w:highlight w:val="none"/>
                      <w:lang w:eastAsia="zh-CN"/>
                    </w:rPr>
                    <w:t>-1.25</w:t>
                  </w:r>
                </w:p>
              </w:tc>
              <w:tc>
                <w:tcPr>
                  <w:tcW w:w="506" w:type="pct"/>
                  <w:vAlign w:val="center"/>
                </w:tcPr>
                <w:p w14:paraId="6D8B1622">
                  <w:pPr>
                    <w:kinsoku/>
                    <w:spacing w:line="240" w:lineRule="atLeast"/>
                    <w:jc w:val="center"/>
                    <w:rPr>
                      <w:rFonts w:ascii="Times New Roman" w:hAnsi="Times New Roman" w:cs="Times New Roman"/>
                      <w:color w:val="auto"/>
                      <w:kern w:val="11"/>
                      <w:highlight w:val="none"/>
                      <w:lang w:eastAsia="zh-CN"/>
                    </w:rPr>
                  </w:pPr>
                  <w:r>
                    <w:rPr>
                      <w:rFonts w:hint="eastAsia" w:ascii="宋体" w:hAnsi="宋体" w:eastAsia="宋体" w:cs="宋体"/>
                      <w:color w:val="auto"/>
                      <w:highlight w:val="none"/>
                      <w:lang w:eastAsia="zh-CN"/>
                    </w:rPr>
                    <w:t>膨润土</w:t>
                  </w:r>
                  <w:r>
                    <w:rPr>
                      <w:rFonts w:ascii="Times New Roman" w:hAnsi="Times New Roman" w:cs="Times New Roman"/>
                      <w:color w:val="auto"/>
                      <w:highlight w:val="none"/>
                      <w:lang w:eastAsia="zh-CN"/>
                    </w:rPr>
                    <w:t>-</w:t>
                  </w:r>
                  <w:r>
                    <w:rPr>
                      <w:rFonts w:hint="eastAsia" w:ascii="宋体" w:hAnsi="宋体" w:eastAsia="宋体" w:cs="宋体"/>
                      <w:color w:val="auto"/>
                      <w:highlight w:val="none"/>
                      <w:lang w:eastAsia="zh-CN"/>
                    </w:rPr>
                    <w:t>聚合物钻井液</w:t>
                  </w:r>
                </w:p>
              </w:tc>
              <w:tc>
                <w:tcPr>
                  <w:tcW w:w="2852" w:type="pct"/>
                  <w:vAlign w:val="center"/>
                </w:tcPr>
                <w:p w14:paraId="0BDD1968">
                  <w:pPr>
                    <w:kinsoku/>
                    <w:spacing w:line="240" w:lineRule="atLeast"/>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rPr>
                    <w:t>清水+(8-12)%膨润土+(0.2-0.3)%Na</w:t>
                  </w:r>
                  <w:r>
                    <w:rPr>
                      <w:rFonts w:ascii="Times New Roman" w:hAnsi="Times New Roman" w:cs="Times New Roman" w:eastAsiaTheme="minorEastAsia"/>
                      <w:color w:val="auto"/>
                      <w:highlight w:val="none"/>
                      <w:vertAlign w:val="subscript"/>
                    </w:rPr>
                    <w:t>2</w:t>
                  </w:r>
                  <w:r>
                    <w:rPr>
                      <w:rFonts w:ascii="Times New Roman" w:hAnsi="Times New Roman" w:cs="Times New Roman" w:eastAsiaTheme="minorEastAsia"/>
                      <w:color w:val="auto"/>
                      <w:highlight w:val="none"/>
                    </w:rPr>
                    <w:t>CO</w:t>
                  </w:r>
                  <w:r>
                    <w:rPr>
                      <w:rFonts w:ascii="Times New Roman" w:hAnsi="Times New Roman" w:cs="Times New Roman" w:eastAsiaTheme="minorEastAsia"/>
                      <w:color w:val="auto"/>
                      <w:highlight w:val="none"/>
                      <w:vertAlign w:val="subscript"/>
                    </w:rPr>
                    <w:t>3</w:t>
                  </w:r>
                  <w:r>
                    <w:rPr>
                      <w:rFonts w:ascii="Times New Roman" w:hAnsi="Times New Roman" w:cs="Times New Roman" w:eastAsiaTheme="minorEastAsia"/>
                      <w:color w:val="auto"/>
                      <w:highlight w:val="none"/>
                    </w:rPr>
                    <w:t>+(0.1-0.3)%NaOH+(0.3-0.5)%ZNP-1/CFB+(0.2-0.3)%CMC-LV/CMC-HV/PAC-LV+(0.3-0.5)%NaHPAN/NH</w:t>
                  </w:r>
                  <w:r>
                    <w:rPr>
                      <w:rFonts w:ascii="Times New Roman" w:hAnsi="Times New Roman" w:cs="Times New Roman" w:eastAsiaTheme="minorEastAsia"/>
                      <w:color w:val="auto"/>
                      <w:highlight w:val="none"/>
                      <w:vertAlign w:val="subscript"/>
                    </w:rPr>
                    <w:t>4</w:t>
                  </w:r>
                  <w:r>
                    <w:rPr>
                      <w:rFonts w:ascii="Times New Roman" w:hAnsi="Times New Roman" w:cs="Times New Roman" w:eastAsiaTheme="minorEastAsia"/>
                      <w:color w:val="auto"/>
                      <w:highlight w:val="none"/>
                    </w:rPr>
                    <w:t>HPAN/XY-27+重晶石粉</w:t>
                  </w:r>
                </w:p>
              </w:tc>
            </w:tr>
            <w:tr w14:paraId="391A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3" w:hRule="atLeast"/>
                <w:jc w:val="center"/>
              </w:trPr>
              <w:tc>
                <w:tcPr>
                  <w:tcW w:w="387" w:type="pct"/>
                  <w:vAlign w:val="center"/>
                </w:tcPr>
                <w:p w14:paraId="0DFE1812">
                  <w:pPr>
                    <w:kinsoku/>
                    <w:spacing w:line="240" w:lineRule="atLeast"/>
                    <w:jc w:val="center"/>
                    <w:rPr>
                      <w:rFonts w:ascii="Times New Roman" w:hAnsi="Times New Roman" w:cs="Times New Roman"/>
                      <w:color w:val="auto"/>
                      <w:highlight w:val="none"/>
                      <w:lang w:eastAsia="zh-CN"/>
                    </w:rPr>
                  </w:pPr>
                  <w:r>
                    <w:rPr>
                      <w:rFonts w:hint="eastAsia" w:ascii="宋体" w:hAnsi="宋体" w:eastAsia="宋体" w:cs="宋体"/>
                      <w:color w:val="auto"/>
                      <w:highlight w:val="none"/>
                      <w:lang w:eastAsia="zh-CN"/>
                    </w:rPr>
                    <w:t>二开</w:t>
                  </w:r>
                </w:p>
              </w:tc>
              <w:tc>
                <w:tcPr>
                  <w:tcW w:w="689" w:type="pct"/>
                  <w:vAlign w:val="center"/>
                </w:tcPr>
                <w:p w14:paraId="67EE2D5F">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5</w:t>
                  </w:r>
                  <w:r>
                    <w:rPr>
                      <w:rFonts w:ascii="Times New Roman" w:hAnsi="Times New Roman" w:cs="Times New Roman"/>
                      <w:color w:val="auto"/>
                      <w:highlight w:val="none"/>
                      <w:lang w:eastAsia="zh-CN"/>
                    </w:rPr>
                    <w:t>00-3</w:t>
                  </w:r>
                  <w:r>
                    <w:rPr>
                      <w:rFonts w:ascii="Times New Roman" w:hAnsi="Times New Roman" w:eastAsia="宋体" w:cs="Times New Roman"/>
                      <w:color w:val="auto"/>
                      <w:highlight w:val="none"/>
                      <w:lang w:eastAsia="zh-CN"/>
                    </w:rPr>
                    <w:t>730</w:t>
                  </w:r>
                </w:p>
              </w:tc>
              <w:tc>
                <w:tcPr>
                  <w:tcW w:w="564" w:type="pct"/>
                  <w:vAlign w:val="center"/>
                </w:tcPr>
                <w:p w14:paraId="374F969D">
                  <w:pPr>
                    <w:kinsoku/>
                    <w:spacing w:line="240" w:lineRule="atLeast"/>
                    <w:jc w:val="center"/>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1.</w:t>
                  </w:r>
                  <w:r>
                    <w:rPr>
                      <w:rFonts w:ascii="Times New Roman" w:hAnsi="Times New Roman" w:eastAsia="宋体" w:cs="Times New Roman"/>
                      <w:color w:val="auto"/>
                      <w:highlight w:val="none"/>
                      <w:lang w:eastAsia="zh-CN"/>
                    </w:rPr>
                    <w:t>25</w:t>
                  </w:r>
                  <w:r>
                    <w:rPr>
                      <w:rFonts w:ascii="Times New Roman" w:hAnsi="Times New Roman" w:cs="Times New Roman"/>
                      <w:color w:val="auto"/>
                      <w:highlight w:val="none"/>
                      <w:lang w:eastAsia="zh-CN"/>
                    </w:rPr>
                    <w:t>-1.</w:t>
                  </w:r>
                  <w:r>
                    <w:rPr>
                      <w:rFonts w:ascii="Times New Roman" w:hAnsi="Times New Roman" w:eastAsia="宋体" w:cs="Times New Roman"/>
                      <w:color w:val="auto"/>
                      <w:highlight w:val="none"/>
                      <w:lang w:eastAsia="zh-CN"/>
                    </w:rPr>
                    <w:t>45</w:t>
                  </w:r>
                </w:p>
              </w:tc>
              <w:tc>
                <w:tcPr>
                  <w:tcW w:w="506" w:type="pct"/>
                  <w:vAlign w:val="center"/>
                </w:tcPr>
                <w:p w14:paraId="0351DD9B">
                  <w:pPr>
                    <w:kinsoku/>
                    <w:spacing w:line="240" w:lineRule="atLeast"/>
                    <w:jc w:val="center"/>
                    <w:rPr>
                      <w:rFonts w:ascii="Times New Roman" w:hAnsi="Times New Roman" w:cs="Times New Roman"/>
                      <w:color w:val="auto"/>
                      <w:kern w:val="11"/>
                      <w:highlight w:val="none"/>
                      <w:lang w:eastAsia="zh-CN"/>
                    </w:rPr>
                  </w:pPr>
                  <w:r>
                    <w:rPr>
                      <w:rFonts w:hint="eastAsia" w:ascii="宋体" w:hAnsi="宋体" w:eastAsia="宋体" w:cs="宋体"/>
                      <w:color w:val="auto"/>
                      <w:kern w:val="11"/>
                      <w:highlight w:val="none"/>
                      <w:lang w:eastAsia="zh-CN"/>
                    </w:rPr>
                    <w:t>复合盐钻井液</w:t>
                  </w:r>
                </w:p>
              </w:tc>
              <w:tc>
                <w:tcPr>
                  <w:tcW w:w="2852" w:type="pct"/>
                  <w:vAlign w:val="center"/>
                </w:tcPr>
                <w:p w14:paraId="76AF2B3E">
                  <w:pPr>
                    <w:kinsoku/>
                    <w:spacing w:line="240" w:lineRule="atLeast"/>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rPr>
                    <w:t>井浆+(0.3-0.5)%NaOH+(0.5-1)%NH</w:t>
                  </w:r>
                  <w:r>
                    <w:rPr>
                      <w:rFonts w:ascii="Times New Roman" w:hAnsi="Times New Roman" w:cs="Times New Roman" w:eastAsiaTheme="minorEastAsia"/>
                      <w:color w:val="auto"/>
                      <w:highlight w:val="none"/>
                      <w:vertAlign w:val="subscript"/>
                    </w:rPr>
                    <w:t>4</w:t>
                  </w:r>
                  <w:r>
                    <w:rPr>
                      <w:rFonts w:ascii="Times New Roman" w:hAnsi="Times New Roman" w:cs="Times New Roman" w:eastAsiaTheme="minorEastAsia"/>
                      <w:color w:val="auto"/>
                      <w:highlight w:val="none"/>
                    </w:rPr>
                    <w:t>HPAN/KFT/XY-27+(0.8-1)%SP-8/REDU1/DRGJ-1+(0.5-1.2)%FA-367/IND-10/ZNP-1+(5-7)%KCl+(10-20)%NaCl+(2-5)%YN-YL/KR-n/FT-401/TC-6/DRGF-1/DPFT-1</w:t>
                  </w:r>
                  <w:r>
                    <w:rPr>
                      <w:rFonts w:ascii="Times New Roman" w:hAnsi="Times New Roman" w:cs="Times New Roman" w:eastAsiaTheme="minorEastAsia"/>
                      <w:color w:val="auto"/>
                      <w:highlight w:val="none"/>
                      <w:lang w:eastAsia="zh-CN"/>
                    </w:rPr>
                    <w:t>+(3-5)%超细碳酸钙+(0.2-0.5)%CaO+(1-3)%801+重晶石粉</w:t>
                  </w:r>
                </w:p>
              </w:tc>
            </w:tr>
            <w:tr w14:paraId="3152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52" w:hRule="atLeast"/>
                <w:jc w:val="center"/>
              </w:trPr>
              <w:tc>
                <w:tcPr>
                  <w:tcW w:w="387" w:type="pct"/>
                  <w:vAlign w:val="center"/>
                </w:tcPr>
                <w:p w14:paraId="5774599B">
                  <w:pPr>
                    <w:kinsoku/>
                    <w:spacing w:line="240" w:lineRule="atLeast"/>
                    <w:jc w:val="center"/>
                    <w:rPr>
                      <w:rFonts w:ascii="Times New Roman" w:hAnsi="Times New Roman" w:cs="Times New Roman"/>
                      <w:color w:val="auto"/>
                      <w:highlight w:val="none"/>
                      <w:lang w:eastAsia="zh-CN"/>
                    </w:rPr>
                  </w:pPr>
                  <w:r>
                    <w:rPr>
                      <w:rFonts w:hint="eastAsia" w:ascii="宋体" w:hAnsi="宋体" w:eastAsia="宋体" w:cs="宋体"/>
                      <w:color w:val="auto"/>
                      <w:highlight w:val="none"/>
                      <w:lang w:eastAsia="zh-CN"/>
                    </w:rPr>
                    <w:t>三开</w:t>
                  </w:r>
                </w:p>
              </w:tc>
              <w:tc>
                <w:tcPr>
                  <w:tcW w:w="689" w:type="pct"/>
                  <w:vAlign w:val="center"/>
                </w:tcPr>
                <w:p w14:paraId="259E6E78">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3730-6992</w:t>
                  </w:r>
                </w:p>
              </w:tc>
              <w:tc>
                <w:tcPr>
                  <w:tcW w:w="564" w:type="pct"/>
                  <w:vAlign w:val="center"/>
                </w:tcPr>
                <w:p w14:paraId="4A00BF4B">
                  <w:pPr>
                    <w:kinsoku/>
                    <w:spacing w:line="240" w:lineRule="atLeast"/>
                    <w:jc w:val="center"/>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1.</w:t>
                  </w:r>
                  <w:r>
                    <w:rPr>
                      <w:rFonts w:ascii="Times New Roman" w:hAnsi="Times New Roman" w:eastAsia="宋体" w:cs="Times New Roman"/>
                      <w:color w:val="auto"/>
                      <w:highlight w:val="none"/>
                      <w:lang w:eastAsia="zh-CN"/>
                    </w:rPr>
                    <w:t>45</w:t>
                  </w:r>
                  <w:r>
                    <w:rPr>
                      <w:rFonts w:ascii="Times New Roman" w:hAnsi="Times New Roman" w:cs="Times New Roman"/>
                      <w:color w:val="auto"/>
                      <w:highlight w:val="none"/>
                      <w:lang w:eastAsia="zh-CN"/>
                    </w:rPr>
                    <w:t>-1.</w:t>
                  </w:r>
                  <w:r>
                    <w:rPr>
                      <w:rFonts w:ascii="Times New Roman" w:hAnsi="Times New Roman" w:eastAsia="宋体" w:cs="Times New Roman"/>
                      <w:color w:val="auto"/>
                      <w:highlight w:val="none"/>
                      <w:lang w:eastAsia="zh-CN"/>
                    </w:rPr>
                    <w:t>75</w:t>
                  </w:r>
                </w:p>
              </w:tc>
              <w:tc>
                <w:tcPr>
                  <w:tcW w:w="506" w:type="pct"/>
                  <w:vAlign w:val="center"/>
                </w:tcPr>
                <w:p w14:paraId="08E9CC4B">
                  <w:pPr>
                    <w:spacing w:line="340" w:lineRule="exact"/>
                    <w:jc w:val="center"/>
                    <w:rPr>
                      <w:rFonts w:ascii="Times New Roman" w:hAnsi="Times New Roman" w:cs="Times New Roman"/>
                      <w:color w:val="auto"/>
                      <w:highlight w:val="none"/>
                    </w:rPr>
                  </w:pPr>
                  <w:r>
                    <w:rPr>
                      <w:rFonts w:hint="eastAsia" w:ascii="宋体" w:hAnsi="宋体" w:eastAsia="宋体" w:cs="宋体"/>
                      <w:color w:val="auto"/>
                      <w:highlight w:val="none"/>
                    </w:rPr>
                    <w:t>油基</w:t>
                  </w:r>
                </w:p>
                <w:p w14:paraId="19B787F3">
                  <w:pPr>
                    <w:kinsoku/>
                    <w:spacing w:line="240" w:lineRule="atLeast"/>
                    <w:jc w:val="center"/>
                    <w:rPr>
                      <w:rFonts w:ascii="Times New Roman" w:hAnsi="Times New Roman" w:cs="Times New Roman"/>
                      <w:color w:val="auto"/>
                      <w:kern w:val="11"/>
                      <w:highlight w:val="none"/>
                      <w:lang w:eastAsia="zh-CN"/>
                    </w:rPr>
                  </w:pPr>
                  <w:r>
                    <w:rPr>
                      <w:rFonts w:hint="eastAsia" w:ascii="宋体" w:hAnsi="宋体" w:eastAsia="宋体" w:cs="宋体"/>
                      <w:color w:val="auto"/>
                      <w:highlight w:val="none"/>
                    </w:rPr>
                    <w:t>钻井液</w:t>
                  </w:r>
                </w:p>
              </w:tc>
              <w:tc>
                <w:tcPr>
                  <w:tcW w:w="2852" w:type="pct"/>
                  <w:vAlign w:val="center"/>
                </w:tcPr>
                <w:p w14:paraId="30E737BD">
                  <w:pPr>
                    <w:kinsoku/>
                    <w:spacing w:line="240" w:lineRule="atLeast"/>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白油/柴油:30%CaCl</w:t>
                  </w:r>
                  <w:r>
                    <w:rPr>
                      <w:rFonts w:ascii="Times New Roman" w:hAnsi="Times New Roman" w:cs="Times New Roman" w:eastAsiaTheme="minorEastAsia"/>
                      <w:color w:val="auto"/>
                      <w:highlight w:val="none"/>
                      <w:vertAlign w:val="subscript"/>
                      <w:lang w:eastAsia="zh-CN"/>
                    </w:rPr>
                    <w:t>2</w:t>
                  </w:r>
                  <w:r>
                    <w:rPr>
                      <w:rFonts w:ascii="Times New Roman" w:hAnsi="Times New Roman" w:cs="Times New Roman" w:eastAsiaTheme="minorEastAsia"/>
                      <w:color w:val="auto"/>
                      <w:highlight w:val="none"/>
                      <w:lang w:eastAsia="zh-CN"/>
                    </w:rPr>
                    <w:t>水溶液(80:20)+(2-3)%TYODF-301/XZ-OZR/JHEMUL/LFRH-1+(2-3)%TYODF-401/XZ-OFR/JHCOAT/LFRH-2+(1-2)%TYODF-501/XZ-ORS/TC-WET+(2-3)%TYODF-601/LH-OC+(2-3)%XZ-OJL/TC-7/TC-OL+(0.5-2)%CaO+(3-5)%超细碳酸钙/ZS-3/ZS-5+(2-4)%FT-401/LH-LQ/ZK601/ALS-3/LH-OFL/DRGF-1+(1-3)%YL-XD/XZ-DL8+重晶石粉</w:t>
                  </w:r>
                </w:p>
              </w:tc>
            </w:tr>
          </w:tbl>
          <w:p w14:paraId="65141C52">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6.2钻井液材料用量测算</w:t>
            </w:r>
          </w:p>
          <w:p w14:paraId="4F8F6056">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单井使用各类钻井液材料的用量具体见表2-11。</w:t>
            </w:r>
          </w:p>
          <w:p w14:paraId="4A6FA852">
            <w:pPr>
              <w:widowControl w:val="0"/>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表2-11 单井钻井液材料用量</w:t>
            </w:r>
          </w:p>
          <w:tbl>
            <w:tblPr>
              <w:tblStyle w:val="15"/>
              <w:tblW w:w="47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8"/>
              <w:gridCol w:w="795"/>
              <w:gridCol w:w="913"/>
              <w:gridCol w:w="963"/>
              <w:gridCol w:w="1348"/>
              <w:gridCol w:w="691"/>
              <w:gridCol w:w="779"/>
            </w:tblGrid>
            <w:tr w14:paraId="567D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68" w:type="pct"/>
                  <w:vAlign w:val="center"/>
                </w:tcPr>
                <w:p w14:paraId="494506A9">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开钻次序</w:t>
                  </w:r>
                </w:p>
              </w:tc>
              <w:tc>
                <w:tcPr>
                  <w:tcW w:w="497" w:type="pct"/>
                  <w:vAlign w:val="center"/>
                </w:tcPr>
                <w:p w14:paraId="781D5E87">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导眼</w:t>
                  </w:r>
                </w:p>
              </w:tc>
              <w:tc>
                <w:tcPr>
                  <w:tcW w:w="571" w:type="pct"/>
                  <w:vAlign w:val="center"/>
                </w:tcPr>
                <w:p w14:paraId="19C058C8">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一开</w:t>
                  </w:r>
                </w:p>
              </w:tc>
              <w:tc>
                <w:tcPr>
                  <w:tcW w:w="602" w:type="pct"/>
                  <w:vAlign w:val="center"/>
                </w:tcPr>
                <w:p w14:paraId="031AAE54">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二开</w:t>
                  </w:r>
                </w:p>
              </w:tc>
              <w:tc>
                <w:tcPr>
                  <w:tcW w:w="842" w:type="pct"/>
                  <w:vAlign w:val="center"/>
                </w:tcPr>
                <w:p w14:paraId="319E6C70">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三开</w:t>
                  </w:r>
                </w:p>
              </w:tc>
              <w:tc>
                <w:tcPr>
                  <w:tcW w:w="918" w:type="pct"/>
                  <w:gridSpan w:val="2"/>
                  <w:vAlign w:val="center"/>
                </w:tcPr>
                <w:p w14:paraId="25B2C6B4">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合计</w:t>
                  </w:r>
                </w:p>
              </w:tc>
            </w:tr>
            <w:tr w14:paraId="6CEA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568" w:type="pct"/>
                  <w:vAlign w:val="center"/>
                </w:tcPr>
                <w:p w14:paraId="39872EEF">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材料名称(代号)</w:t>
                  </w:r>
                </w:p>
              </w:tc>
              <w:tc>
                <w:tcPr>
                  <w:tcW w:w="2513" w:type="pct"/>
                  <w:gridSpan w:val="4"/>
                  <w:vAlign w:val="center"/>
                </w:tcPr>
                <w:p w14:paraId="12206490">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用量t</w:t>
                  </w:r>
                  <w:r>
                    <w:rPr>
                      <w:rFonts w:ascii="Times New Roman" w:hAnsi="Times New Roman" w:cs="Times New Roman" w:eastAsiaTheme="minorEastAsia"/>
                      <w:b/>
                      <w:bCs/>
                      <w:color w:val="auto"/>
                      <w:highlight w:val="none"/>
                      <w:lang w:eastAsia="zh-CN"/>
                    </w:rPr>
                    <w:t xml:space="preserve"> </w:t>
                  </w:r>
                  <w:r>
                    <w:rPr>
                      <w:rFonts w:ascii="Times New Roman" w:hAnsi="Times New Roman" w:cs="Times New Roman" w:eastAsiaTheme="minorEastAsia"/>
                      <w:b/>
                      <w:bCs/>
                      <w:color w:val="auto"/>
                      <w:highlight w:val="none"/>
                    </w:rPr>
                    <w:t>(m</w:t>
                  </w:r>
                  <w:r>
                    <w:rPr>
                      <w:rFonts w:ascii="Times New Roman" w:hAnsi="Times New Roman" w:cs="Times New Roman" w:eastAsiaTheme="minorEastAsia"/>
                      <w:b/>
                      <w:bCs/>
                      <w:color w:val="auto"/>
                      <w:highlight w:val="none"/>
                      <w:vertAlign w:val="superscript"/>
                    </w:rPr>
                    <w:t>3</w:t>
                  </w:r>
                  <w:r>
                    <w:rPr>
                      <w:rFonts w:ascii="Times New Roman" w:hAnsi="Times New Roman" w:cs="Times New Roman" w:eastAsiaTheme="minorEastAsia"/>
                      <w:b/>
                      <w:bCs/>
                      <w:color w:val="auto"/>
                      <w:highlight w:val="none"/>
                    </w:rPr>
                    <w:t>)</w:t>
                  </w:r>
                </w:p>
              </w:tc>
              <w:tc>
                <w:tcPr>
                  <w:tcW w:w="432" w:type="pct"/>
                  <w:vAlign w:val="center"/>
                </w:tcPr>
                <w:p w14:paraId="4FC176AA">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储备t (m</w:t>
                  </w:r>
                  <w:r>
                    <w:rPr>
                      <w:rFonts w:ascii="Times New Roman" w:hAnsi="Times New Roman" w:cs="Times New Roman" w:eastAsiaTheme="minorEastAsia"/>
                      <w:b/>
                      <w:bCs/>
                      <w:color w:val="auto"/>
                      <w:highlight w:val="none"/>
                      <w:vertAlign w:val="superscript"/>
                    </w:rPr>
                    <w:t>3</w:t>
                  </w:r>
                  <w:r>
                    <w:rPr>
                      <w:rFonts w:ascii="Times New Roman" w:hAnsi="Times New Roman" w:cs="Times New Roman" w:eastAsiaTheme="minorEastAsia"/>
                      <w:b/>
                      <w:bCs/>
                      <w:color w:val="auto"/>
                      <w:highlight w:val="none"/>
                    </w:rPr>
                    <w:t>)</w:t>
                  </w:r>
                </w:p>
              </w:tc>
              <w:tc>
                <w:tcPr>
                  <w:tcW w:w="485" w:type="pct"/>
                  <w:vAlign w:val="center"/>
                </w:tcPr>
                <w:p w14:paraId="26963E8C">
                  <w:pPr>
                    <w:jc w:val="center"/>
                    <w:rPr>
                      <w:rFonts w:ascii="Times New Roman" w:hAnsi="Times New Roman" w:cs="Times New Roman" w:eastAsiaTheme="minorEastAsia"/>
                      <w:b/>
                      <w:bCs/>
                      <w:color w:val="auto"/>
                      <w:highlight w:val="none"/>
                    </w:rPr>
                  </w:pPr>
                  <w:r>
                    <w:rPr>
                      <w:rFonts w:ascii="Times New Roman" w:hAnsi="Times New Roman" w:cs="Times New Roman" w:eastAsiaTheme="minorEastAsia"/>
                      <w:b/>
                      <w:bCs/>
                      <w:color w:val="auto"/>
                      <w:highlight w:val="none"/>
                    </w:rPr>
                    <w:t>合计t (m</w:t>
                  </w:r>
                  <w:r>
                    <w:rPr>
                      <w:rFonts w:ascii="Times New Roman" w:hAnsi="Times New Roman" w:cs="Times New Roman" w:eastAsiaTheme="minorEastAsia"/>
                      <w:b/>
                      <w:bCs/>
                      <w:color w:val="auto"/>
                      <w:highlight w:val="none"/>
                      <w:vertAlign w:val="superscript"/>
                    </w:rPr>
                    <w:t>3</w:t>
                  </w:r>
                  <w:r>
                    <w:rPr>
                      <w:rFonts w:ascii="Times New Roman" w:hAnsi="Times New Roman" w:cs="Times New Roman" w:eastAsiaTheme="minorEastAsia"/>
                      <w:b/>
                      <w:bCs/>
                      <w:color w:val="auto"/>
                      <w:highlight w:val="none"/>
                    </w:rPr>
                    <w:t>)</w:t>
                  </w:r>
                </w:p>
              </w:tc>
            </w:tr>
            <w:tr w14:paraId="6696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735BF114">
                  <w:pPr>
                    <w:spacing w:line="300" w:lineRule="exac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lang w:bidi="ar"/>
                    </w:rPr>
                    <w:t>膨润土</w:t>
                  </w:r>
                </w:p>
              </w:tc>
              <w:tc>
                <w:tcPr>
                  <w:tcW w:w="1068" w:type="pct"/>
                  <w:gridSpan w:val="2"/>
                  <w:vAlign w:val="center"/>
                </w:tcPr>
                <w:p w14:paraId="293C88E0">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26</w:t>
                  </w:r>
                </w:p>
              </w:tc>
              <w:tc>
                <w:tcPr>
                  <w:tcW w:w="602" w:type="pct"/>
                  <w:tcBorders>
                    <w:top w:val="single" w:color="auto" w:sz="4" w:space="0"/>
                    <w:left w:val="single" w:color="auto" w:sz="4" w:space="0"/>
                    <w:bottom w:val="single" w:color="auto" w:sz="4" w:space="0"/>
                    <w:right w:val="single" w:color="auto" w:sz="4" w:space="0"/>
                  </w:tcBorders>
                  <w:vAlign w:val="center"/>
                </w:tcPr>
                <w:p w14:paraId="125BAF8D">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5</w:t>
                  </w:r>
                </w:p>
              </w:tc>
              <w:tc>
                <w:tcPr>
                  <w:tcW w:w="842" w:type="pct"/>
                  <w:tcBorders>
                    <w:top w:val="single" w:color="auto" w:sz="4" w:space="0"/>
                    <w:left w:val="single" w:color="auto" w:sz="4" w:space="0"/>
                    <w:bottom w:val="single" w:color="auto" w:sz="4" w:space="0"/>
                    <w:right w:val="single" w:color="auto" w:sz="4" w:space="0"/>
                  </w:tcBorders>
                  <w:vAlign w:val="center"/>
                </w:tcPr>
                <w:p w14:paraId="626A7436">
                  <w:pPr>
                    <w:jc w:val="center"/>
                    <w:rPr>
                      <w:rFonts w:ascii="Times New Roman" w:hAnsi="Times New Roman" w:cs="Times New Roman" w:eastAsiaTheme="minorEastAsia"/>
                      <w:color w:val="auto"/>
                      <w:highlight w:val="none"/>
                      <w:lang w:bidi="ar"/>
                    </w:rPr>
                  </w:pPr>
                </w:p>
              </w:tc>
              <w:tc>
                <w:tcPr>
                  <w:tcW w:w="432" w:type="pct"/>
                  <w:tcBorders>
                    <w:top w:val="single" w:color="auto" w:sz="4" w:space="0"/>
                    <w:left w:val="single" w:color="auto" w:sz="4" w:space="0"/>
                    <w:bottom w:val="single" w:color="auto" w:sz="4" w:space="0"/>
                    <w:right w:val="single" w:color="auto" w:sz="4" w:space="0"/>
                  </w:tcBorders>
                  <w:vAlign w:val="center"/>
                </w:tcPr>
                <w:p w14:paraId="28F91A1A">
                  <w:pPr>
                    <w:jc w:val="center"/>
                    <w:rPr>
                      <w:rFonts w:ascii="Times New Roman" w:hAnsi="Times New Roman" w:cs="Times New Roman" w:eastAsiaTheme="minorEastAsia"/>
                      <w:color w:val="auto"/>
                      <w:highlight w:val="none"/>
                      <w:lang w:bidi="ar"/>
                    </w:rPr>
                  </w:pPr>
                </w:p>
              </w:tc>
              <w:tc>
                <w:tcPr>
                  <w:tcW w:w="485" w:type="pct"/>
                  <w:tcBorders>
                    <w:top w:val="single" w:color="auto" w:sz="4" w:space="0"/>
                    <w:left w:val="single" w:color="auto" w:sz="4" w:space="0"/>
                    <w:bottom w:val="single" w:color="auto" w:sz="4" w:space="0"/>
                    <w:right w:val="single" w:color="auto" w:sz="4" w:space="0"/>
                  </w:tcBorders>
                  <w:vAlign w:val="bottom"/>
                </w:tcPr>
                <w:p w14:paraId="776B3328">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31</w:t>
                  </w:r>
                </w:p>
              </w:tc>
            </w:tr>
            <w:tr w14:paraId="4F92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33B87B88">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重晶石粉</w:t>
                  </w:r>
                </w:p>
              </w:tc>
              <w:tc>
                <w:tcPr>
                  <w:tcW w:w="1068" w:type="pct"/>
                  <w:gridSpan w:val="2"/>
                  <w:vAlign w:val="center"/>
                </w:tcPr>
                <w:p w14:paraId="4767EEF7">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65</w:t>
                  </w:r>
                </w:p>
              </w:tc>
              <w:tc>
                <w:tcPr>
                  <w:tcW w:w="602" w:type="pct"/>
                  <w:tcBorders>
                    <w:top w:val="single" w:color="auto" w:sz="4" w:space="0"/>
                    <w:left w:val="single" w:color="auto" w:sz="4" w:space="0"/>
                    <w:bottom w:val="single" w:color="auto" w:sz="4" w:space="0"/>
                    <w:right w:val="single" w:color="auto" w:sz="4" w:space="0"/>
                  </w:tcBorders>
                  <w:vAlign w:val="center"/>
                </w:tcPr>
                <w:p w14:paraId="79475C68">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325</w:t>
                  </w:r>
                </w:p>
              </w:tc>
              <w:tc>
                <w:tcPr>
                  <w:tcW w:w="842" w:type="pct"/>
                  <w:tcBorders>
                    <w:top w:val="single" w:color="auto" w:sz="4" w:space="0"/>
                    <w:left w:val="single" w:color="auto" w:sz="4" w:space="0"/>
                    <w:bottom w:val="single" w:color="auto" w:sz="4" w:space="0"/>
                    <w:right w:val="single" w:color="auto" w:sz="4" w:space="0"/>
                  </w:tcBorders>
                  <w:vAlign w:val="center"/>
                </w:tcPr>
                <w:p w14:paraId="41B10A73">
                  <w:pPr>
                    <w:jc w:val="center"/>
                    <w:rPr>
                      <w:rFonts w:ascii="Times New Roman" w:hAnsi="Times New Roman" w:cs="Times New Roman" w:eastAsiaTheme="minorEastAsia"/>
                      <w:color w:val="auto"/>
                      <w:highlight w:val="none"/>
                      <w:lang w:bidi="ar"/>
                    </w:rPr>
                  </w:pPr>
                </w:p>
              </w:tc>
              <w:tc>
                <w:tcPr>
                  <w:tcW w:w="432" w:type="pct"/>
                  <w:tcBorders>
                    <w:top w:val="single" w:color="auto" w:sz="4" w:space="0"/>
                    <w:left w:val="single" w:color="auto" w:sz="4" w:space="0"/>
                    <w:bottom w:val="single" w:color="auto" w:sz="4" w:space="0"/>
                    <w:right w:val="single" w:color="auto" w:sz="4" w:space="0"/>
                  </w:tcBorders>
                  <w:vAlign w:val="center"/>
                </w:tcPr>
                <w:p w14:paraId="3FEAC39B">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50</w:t>
                  </w:r>
                </w:p>
              </w:tc>
              <w:tc>
                <w:tcPr>
                  <w:tcW w:w="485" w:type="pct"/>
                  <w:tcBorders>
                    <w:top w:val="single" w:color="auto" w:sz="4" w:space="0"/>
                    <w:left w:val="single" w:color="auto" w:sz="4" w:space="0"/>
                    <w:bottom w:val="single" w:color="auto" w:sz="4" w:space="0"/>
                    <w:right w:val="single" w:color="auto" w:sz="4" w:space="0"/>
                  </w:tcBorders>
                  <w:vAlign w:val="bottom"/>
                </w:tcPr>
                <w:p w14:paraId="2C5EE561">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440</w:t>
                  </w:r>
                </w:p>
              </w:tc>
            </w:tr>
            <w:tr w14:paraId="7902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44226221">
                  <w:pPr>
                    <w:pStyle w:val="25"/>
                    <w:spacing w:line="300" w:lineRule="exact"/>
                    <w:rPr>
                      <w:b w:val="0"/>
                      <w:bCs w:val="0"/>
                      <w:color w:val="auto"/>
                      <w:szCs w:val="21"/>
                      <w:highlight w:val="none"/>
                    </w:rPr>
                  </w:pPr>
                  <w:r>
                    <w:rPr>
                      <w:b w:val="0"/>
                      <w:bCs w:val="0"/>
                      <w:color w:val="auto"/>
                      <w:szCs w:val="21"/>
                      <w:highlight w:val="none"/>
                      <w:lang w:bidi="ar"/>
                    </w:rPr>
                    <w:t>Na</w:t>
                  </w:r>
                  <w:r>
                    <w:rPr>
                      <w:b w:val="0"/>
                      <w:bCs w:val="0"/>
                      <w:color w:val="auto"/>
                      <w:szCs w:val="21"/>
                      <w:highlight w:val="none"/>
                      <w:vertAlign w:val="subscript"/>
                      <w:lang w:bidi="ar"/>
                    </w:rPr>
                    <w:t>2</w:t>
                  </w:r>
                  <w:r>
                    <w:rPr>
                      <w:b w:val="0"/>
                      <w:bCs w:val="0"/>
                      <w:color w:val="auto"/>
                      <w:szCs w:val="21"/>
                      <w:highlight w:val="none"/>
                      <w:lang w:bidi="ar"/>
                    </w:rPr>
                    <w:t>CO</w:t>
                  </w:r>
                  <w:r>
                    <w:rPr>
                      <w:b w:val="0"/>
                      <w:bCs w:val="0"/>
                      <w:color w:val="auto"/>
                      <w:szCs w:val="21"/>
                      <w:highlight w:val="none"/>
                      <w:vertAlign w:val="subscript"/>
                      <w:lang w:bidi="ar"/>
                    </w:rPr>
                    <w:t>3</w:t>
                  </w:r>
                </w:p>
              </w:tc>
              <w:tc>
                <w:tcPr>
                  <w:tcW w:w="1068" w:type="pct"/>
                  <w:gridSpan w:val="2"/>
                  <w:vAlign w:val="center"/>
                </w:tcPr>
                <w:p w14:paraId="761B63BA">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1</w:t>
                  </w:r>
                </w:p>
              </w:tc>
              <w:tc>
                <w:tcPr>
                  <w:tcW w:w="602" w:type="pct"/>
                  <w:tcBorders>
                    <w:top w:val="nil"/>
                    <w:left w:val="single" w:color="auto" w:sz="4" w:space="0"/>
                    <w:bottom w:val="single" w:color="auto" w:sz="4" w:space="0"/>
                    <w:right w:val="single" w:color="auto" w:sz="4" w:space="0"/>
                  </w:tcBorders>
                  <w:vAlign w:val="center"/>
                </w:tcPr>
                <w:p w14:paraId="13CDCB50">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58FD6F89">
                  <w:pPr>
                    <w:jc w:val="center"/>
                    <w:rPr>
                      <w:rFonts w:ascii="Times New Roman" w:hAnsi="Times New Roman" w:cs="Times New Roman" w:eastAsiaTheme="minorEastAsia"/>
                      <w:color w:val="auto"/>
                      <w:highlight w:val="none"/>
                      <w:lang w:bidi="ar"/>
                    </w:rPr>
                  </w:pPr>
                </w:p>
              </w:tc>
              <w:tc>
                <w:tcPr>
                  <w:tcW w:w="432" w:type="pct"/>
                  <w:tcBorders>
                    <w:top w:val="nil"/>
                    <w:left w:val="single" w:color="auto" w:sz="4" w:space="0"/>
                    <w:bottom w:val="single" w:color="auto" w:sz="4" w:space="0"/>
                    <w:right w:val="single" w:color="auto" w:sz="4" w:space="0"/>
                  </w:tcBorders>
                  <w:vAlign w:val="center"/>
                </w:tcPr>
                <w:p w14:paraId="0DACD2CF">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3A20023A">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w:t>
                  </w:r>
                </w:p>
              </w:tc>
            </w:tr>
            <w:tr w14:paraId="15CC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655CE45C">
                  <w:pPr>
                    <w:pStyle w:val="25"/>
                    <w:spacing w:line="300" w:lineRule="exact"/>
                    <w:rPr>
                      <w:b w:val="0"/>
                      <w:bCs w:val="0"/>
                      <w:color w:val="auto"/>
                      <w:szCs w:val="21"/>
                      <w:highlight w:val="none"/>
                    </w:rPr>
                  </w:pPr>
                  <w:r>
                    <w:rPr>
                      <w:b w:val="0"/>
                      <w:bCs w:val="0"/>
                      <w:color w:val="auto"/>
                      <w:szCs w:val="21"/>
                      <w:highlight w:val="none"/>
                    </w:rPr>
                    <w:t>NaOH</w:t>
                  </w:r>
                </w:p>
              </w:tc>
              <w:tc>
                <w:tcPr>
                  <w:tcW w:w="1068" w:type="pct"/>
                  <w:gridSpan w:val="2"/>
                  <w:vAlign w:val="center"/>
                </w:tcPr>
                <w:p w14:paraId="37B18FD7">
                  <w:pPr>
                    <w:spacing w:line="300" w:lineRule="exac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w:t>
                  </w:r>
                </w:p>
              </w:tc>
              <w:tc>
                <w:tcPr>
                  <w:tcW w:w="602" w:type="pct"/>
                  <w:tcBorders>
                    <w:top w:val="nil"/>
                    <w:left w:val="single" w:color="auto" w:sz="4" w:space="0"/>
                    <w:bottom w:val="single" w:color="auto" w:sz="4" w:space="0"/>
                    <w:right w:val="single" w:color="auto" w:sz="4" w:space="0"/>
                  </w:tcBorders>
                  <w:vAlign w:val="center"/>
                </w:tcPr>
                <w:p w14:paraId="31E7EC98">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3</w:t>
                  </w:r>
                </w:p>
              </w:tc>
              <w:tc>
                <w:tcPr>
                  <w:tcW w:w="842" w:type="pct"/>
                  <w:tcBorders>
                    <w:top w:val="nil"/>
                    <w:left w:val="single" w:color="auto" w:sz="4" w:space="0"/>
                    <w:bottom w:val="single" w:color="auto" w:sz="4" w:space="0"/>
                    <w:right w:val="single" w:color="auto" w:sz="4" w:space="0"/>
                  </w:tcBorders>
                  <w:vAlign w:val="center"/>
                </w:tcPr>
                <w:p w14:paraId="296C539E">
                  <w:pPr>
                    <w:jc w:val="center"/>
                    <w:rPr>
                      <w:rFonts w:ascii="Times New Roman" w:hAnsi="Times New Roman" w:cs="Times New Roman" w:eastAsiaTheme="minorEastAsia"/>
                      <w:color w:val="auto"/>
                      <w:highlight w:val="none"/>
                    </w:rPr>
                  </w:pPr>
                </w:p>
              </w:tc>
              <w:tc>
                <w:tcPr>
                  <w:tcW w:w="432" w:type="pct"/>
                  <w:tcBorders>
                    <w:top w:val="nil"/>
                    <w:left w:val="single" w:color="auto" w:sz="4" w:space="0"/>
                    <w:bottom w:val="single" w:color="auto" w:sz="4" w:space="0"/>
                    <w:right w:val="single" w:color="auto" w:sz="4" w:space="0"/>
                  </w:tcBorders>
                  <w:vAlign w:val="center"/>
                </w:tcPr>
                <w:p w14:paraId="3BD0AA6B">
                  <w:pPr>
                    <w:jc w:val="center"/>
                    <w:rPr>
                      <w:rFonts w:ascii="Times New Roman" w:hAnsi="Times New Roman" w:cs="Times New Roman" w:eastAsiaTheme="minorEastAsia"/>
                      <w:color w:val="auto"/>
                      <w:highlight w:val="none"/>
                    </w:rPr>
                  </w:pPr>
                </w:p>
              </w:tc>
              <w:tc>
                <w:tcPr>
                  <w:tcW w:w="485" w:type="pct"/>
                  <w:tcBorders>
                    <w:top w:val="nil"/>
                    <w:left w:val="single" w:color="auto" w:sz="4" w:space="0"/>
                    <w:bottom w:val="single" w:color="auto" w:sz="4" w:space="0"/>
                    <w:right w:val="single" w:color="auto" w:sz="4" w:space="0"/>
                  </w:tcBorders>
                  <w:vAlign w:val="bottom"/>
                </w:tcPr>
                <w:p w14:paraId="4F26926D">
                  <w:pPr>
                    <w:jc w:val="center"/>
                    <w:textAlignment w:val="bottom"/>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lang w:bidi="ar"/>
                    </w:rPr>
                    <w:t>4</w:t>
                  </w:r>
                </w:p>
              </w:tc>
            </w:tr>
            <w:tr w14:paraId="4199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59735073">
                  <w:pPr>
                    <w:pStyle w:val="25"/>
                    <w:spacing w:line="300" w:lineRule="exact"/>
                    <w:rPr>
                      <w:b w:val="0"/>
                      <w:bCs w:val="0"/>
                      <w:color w:val="auto"/>
                      <w:szCs w:val="21"/>
                      <w:highlight w:val="none"/>
                    </w:rPr>
                  </w:pPr>
                  <w:r>
                    <w:rPr>
                      <w:b w:val="0"/>
                      <w:bCs w:val="0"/>
                      <w:color w:val="auto"/>
                      <w:szCs w:val="21"/>
                      <w:highlight w:val="none"/>
                    </w:rPr>
                    <w:t>ZNP-1/CFB</w:t>
                  </w:r>
                </w:p>
              </w:tc>
              <w:tc>
                <w:tcPr>
                  <w:tcW w:w="1068" w:type="pct"/>
                  <w:gridSpan w:val="2"/>
                  <w:vAlign w:val="center"/>
                </w:tcPr>
                <w:p w14:paraId="37E231AE">
                  <w:pPr>
                    <w:spacing w:line="300" w:lineRule="exac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1.5</w:t>
                  </w:r>
                </w:p>
              </w:tc>
              <w:tc>
                <w:tcPr>
                  <w:tcW w:w="602" w:type="pct"/>
                  <w:tcBorders>
                    <w:top w:val="nil"/>
                    <w:left w:val="single" w:color="auto" w:sz="4" w:space="0"/>
                    <w:bottom w:val="single" w:color="auto" w:sz="4" w:space="0"/>
                    <w:right w:val="single" w:color="auto" w:sz="4" w:space="0"/>
                  </w:tcBorders>
                  <w:vAlign w:val="center"/>
                </w:tcPr>
                <w:p w14:paraId="7B98BB3F">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6.5</w:t>
                  </w:r>
                </w:p>
              </w:tc>
              <w:tc>
                <w:tcPr>
                  <w:tcW w:w="842" w:type="pct"/>
                  <w:tcBorders>
                    <w:top w:val="nil"/>
                    <w:left w:val="single" w:color="auto" w:sz="4" w:space="0"/>
                    <w:bottom w:val="single" w:color="auto" w:sz="4" w:space="0"/>
                    <w:right w:val="single" w:color="auto" w:sz="4" w:space="0"/>
                  </w:tcBorders>
                  <w:vAlign w:val="center"/>
                </w:tcPr>
                <w:p w14:paraId="2D545454">
                  <w:pPr>
                    <w:jc w:val="center"/>
                    <w:rPr>
                      <w:rFonts w:ascii="Times New Roman" w:hAnsi="Times New Roman" w:cs="Times New Roman" w:eastAsiaTheme="minorEastAsia"/>
                      <w:color w:val="auto"/>
                      <w:highlight w:val="none"/>
                    </w:rPr>
                  </w:pPr>
                </w:p>
              </w:tc>
              <w:tc>
                <w:tcPr>
                  <w:tcW w:w="432" w:type="pct"/>
                  <w:tcBorders>
                    <w:top w:val="nil"/>
                    <w:left w:val="single" w:color="auto" w:sz="4" w:space="0"/>
                    <w:bottom w:val="single" w:color="auto" w:sz="4" w:space="0"/>
                    <w:right w:val="single" w:color="auto" w:sz="4" w:space="0"/>
                  </w:tcBorders>
                  <w:vAlign w:val="center"/>
                </w:tcPr>
                <w:p w14:paraId="1733D87C">
                  <w:pPr>
                    <w:jc w:val="center"/>
                    <w:rPr>
                      <w:rFonts w:ascii="Times New Roman" w:hAnsi="Times New Roman" w:cs="Times New Roman" w:eastAsiaTheme="minorEastAsia"/>
                      <w:color w:val="auto"/>
                      <w:highlight w:val="none"/>
                    </w:rPr>
                  </w:pPr>
                </w:p>
              </w:tc>
              <w:tc>
                <w:tcPr>
                  <w:tcW w:w="485" w:type="pct"/>
                  <w:tcBorders>
                    <w:top w:val="nil"/>
                    <w:left w:val="single" w:color="auto" w:sz="4" w:space="0"/>
                    <w:bottom w:val="single" w:color="auto" w:sz="4" w:space="0"/>
                    <w:right w:val="single" w:color="auto" w:sz="4" w:space="0"/>
                  </w:tcBorders>
                  <w:vAlign w:val="bottom"/>
                </w:tcPr>
                <w:p w14:paraId="3B04C8D7">
                  <w:pPr>
                    <w:jc w:val="center"/>
                    <w:textAlignment w:val="bottom"/>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lang w:bidi="ar"/>
                    </w:rPr>
                    <w:t>8</w:t>
                  </w:r>
                </w:p>
              </w:tc>
            </w:tr>
            <w:tr w14:paraId="359C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68" w:type="pct"/>
                  <w:vAlign w:val="center"/>
                </w:tcPr>
                <w:p w14:paraId="41348DF3">
                  <w:pPr>
                    <w:jc w:val="center"/>
                    <w:rPr>
                      <w:rFonts w:ascii="Times New Roman" w:hAnsi="Times New Roman" w:cs="Times New Roman" w:eastAsiaTheme="minorEastAsia"/>
                      <w:color w:val="auto"/>
                      <w:spacing w:val="-4"/>
                      <w:highlight w:val="none"/>
                    </w:rPr>
                  </w:pPr>
                  <w:r>
                    <w:rPr>
                      <w:rFonts w:ascii="Times New Roman" w:hAnsi="Times New Roman" w:cs="Times New Roman" w:eastAsiaTheme="minorEastAsia"/>
                      <w:color w:val="auto"/>
                      <w:highlight w:val="none"/>
                    </w:rPr>
                    <w:t>CMC-LV/CMC-HV/PAC-LV</w:t>
                  </w:r>
                </w:p>
              </w:tc>
              <w:tc>
                <w:tcPr>
                  <w:tcW w:w="1068" w:type="pct"/>
                  <w:gridSpan w:val="2"/>
                  <w:vAlign w:val="center"/>
                </w:tcPr>
                <w:p w14:paraId="183674BA">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1</w:t>
                  </w:r>
                </w:p>
              </w:tc>
              <w:tc>
                <w:tcPr>
                  <w:tcW w:w="602" w:type="pct"/>
                  <w:tcBorders>
                    <w:top w:val="nil"/>
                    <w:left w:val="single" w:color="auto" w:sz="4" w:space="0"/>
                    <w:bottom w:val="single" w:color="auto" w:sz="4" w:space="0"/>
                    <w:right w:val="single" w:color="auto" w:sz="4" w:space="0"/>
                  </w:tcBorders>
                  <w:vAlign w:val="center"/>
                </w:tcPr>
                <w:p w14:paraId="7C28C80D">
                  <w:pPr>
                    <w:jc w:val="center"/>
                    <w:rPr>
                      <w:rFonts w:ascii="Times New Roman" w:hAnsi="Times New Roman" w:cs="Times New Roman" w:eastAsiaTheme="minorEastAsia"/>
                      <w:color w:val="auto"/>
                      <w:highlight w:val="none"/>
                    </w:rPr>
                  </w:pPr>
                </w:p>
              </w:tc>
              <w:tc>
                <w:tcPr>
                  <w:tcW w:w="842" w:type="pct"/>
                  <w:tcBorders>
                    <w:top w:val="nil"/>
                    <w:left w:val="single" w:color="auto" w:sz="4" w:space="0"/>
                    <w:bottom w:val="single" w:color="auto" w:sz="4" w:space="0"/>
                    <w:right w:val="single" w:color="auto" w:sz="4" w:space="0"/>
                  </w:tcBorders>
                  <w:vAlign w:val="center"/>
                </w:tcPr>
                <w:p w14:paraId="438F9BAD">
                  <w:pPr>
                    <w:jc w:val="center"/>
                    <w:rPr>
                      <w:rFonts w:ascii="Times New Roman" w:hAnsi="Times New Roman" w:cs="Times New Roman" w:eastAsiaTheme="minorEastAsia"/>
                      <w:color w:val="auto"/>
                      <w:highlight w:val="none"/>
                    </w:rPr>
                  </w:pPr>
                </w:p>
              </w:tc>
              <w:tc>
                <w:tcPr>
                  <w:tcW w:w="432" w:type="pct"/>
                  <w:tcBorders>
                    <w:top w:val="nil"/>
                    <w:left w:val="single" w:color="auto" w:sz="4" w:space="0"/>
                    <w:bottom w:val="single" w:color="auto" w:sz="4" w:space="0"/>
                    <w:right w:val="single" w:color="auto" w:sz="4" w:space="0"/>
                  </w:tcBorders>
                  <w:vAlign w:val="center"/>
                </w:tcPr>
                <w:p w14:paraId="7754068C">
                  <w:pPr>
                    <w:jc w:val="center"/>
                    <w:rPr>
                      <w:rFonts w:ascii="Times New Roman" w:hAnsi="Times New Roman" w:cs="Times New Roman" w:eastAsiaTheme="minorEastAsia"/>
                      <w:color w:val="auto"/>
                      <w:highlight w:val="none"/>
                    </w:rPr>
                  </w:pPr>
                </w:p>
              </w:tc>
              <w:tc>
                <w:tcPr>
                  <w:tcW w:w="485" w:type="pct"/>
                  <w:tcBorders>
                    <w:top w:val="nil"/>
                    <w:left w:val="single" w:color="auto" w:sz="4" w:space="0"/>
                    <w:bottom w:val="single" w:color="auto" w:sz="4" w:space="0"/>
                    <w:right w:val="single" w:color="auto" w:sz="4" w:space="0"/>
                  </w:tcBorders>
                  <w:vAlign w:val="bottom"/>
                </w:tcPr>
                <w:p w14:paraId="6D8C2CBB">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w:t>
                  </w:r>
                </w:p>
              </w:tc>
            </w:tr>
            <w:tr w14:paraId="7142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68" w:type="pct"/>
                  <w:vAlign w:val="center"/>
                </w:tcPr>
                <w:p w14:paraId="619BDF27">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NaHPAN/NH</w:t>
                  </w:r>
                  <w:r>
                    <w:rPr>
                      <w:rFonts w:ascii="Times New Roman" w:hAnsi="Times New Roman" w:cs="Times New Roman" w:eastAsiaTheme="minorEastAsia"/>
                      <w:color w:val="auto"/>
                      <w:highlight w:val="none"/>
                      <w:vertAlign w:val="subscript"/>
                    </w:rPr>
                    <w:t>4</w:t>
                  </w:r>
                  <w:r>
                    <w:rPr>
                      <w:rFonts w:ascii="Times New Roman" w:hAnsi="Times New Roman" w:cs="Times New Roman" w:eastAsiaTheme="minorEastAsia"/>
                      <w:color w:val="auto"/>
                      <w:highlight w:val="none"/>
                    </w:rPr>
                    <w:t>HPAN/XY-27</w:t>
                  </w:r>
                </w:p>
              </w:tc>
              <w:tc>
                <w:tcPr>
                  <w:tcW w:w="1068" w:type="pct"/>
                  <w:gridSpan w:val="2"/>
                  <w:vAlign w:val="center"/>
                </w:tcPr>
                <w:p w14:paraId="33CCC2B8">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1.5</w:t>
                  </w:r>
                </w:p>
              </w:tc>
              <w:tc>
                <w:tcPr>
                  <w:tcW w:w="602" w:type="pct"/>
                  <w:tcBorders>
                    <w:top w:val="nil"/>
                    <w:left w:val="single" w:color="auto" w:sz="4" w:space="0"/>
                    <w:bottom w:val="single" w:color="auto" w:sz="4" w:space="0"/>
                    <w:right w:val="single" w:color="auto" w:sz="4" w:space="0"/>
                  </w:tcBorders>
                  <w:vAlign w:val="center"/>
                </w:tcPr>
                <w:p w14:paraId="5156E7BB">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6</w:t>
                  </w:r>
                </w:p>
              </w:tc>
              <w:tc>
                <w:tcPr>
                  <w:tcW w:w="842" w:type="pct"/>
                  <w:tcBorders>
                    <w:top w:val="nil"/>
                    <w:left w:val="single" w:color="auto" w:sz="4" w:space="0"/>
                    <w:bottom w:val="single" w:color="auto" w:sz="4" w:space="0"/>
                    <w:right w:val="single" w:color="auto" w:sz="4" w:space="0"/>
                  </w:tcBorders>
                  <w:vAlign w:val="center"/>
                </w:tcPr>
                <w:p w14:paraId="0E04D770">
                  <w:pPr>
                    <w:jc w:val="center"/>
                    <w:rPr>
                      <w:rFonts w:ascii="Times New Roman" w:hAnsi="Times New Roman" w:cs="Times New Roman" w:eastAsiaTheme="minorEastAsia"/>
                      <w:color w:val="auto"/>
                      <w:highlight w:val="none"/>
                      <w:lang w:bidi="ar"/>
                    </w:rPr>
                  </w:pPr>
                </w:p>
              </w:tc>
              <w:tc>
                <w:tcPr>
                  <w:tcW w:w="432" w:type="pct"/>
                  <w:tcBorders>
                    <w:top w:val="nil"/>
                    <w:left w:val="single" w:color="auto" w:sz="4" w:space="0"/>
                    <w:bottom w:val="single" w:color="auto" w:sz="4" w:space="0"/>
                    <w:right w:val="single" w:color="auto" w:sz="4" w:space="0"/>
                  </w:tcBorders>
                  <w:vAlign w:val="center"/>
                </w:tcPr>
                <w:p w14:paraId="6AC9A9BE">
                  <w:pPr>
                    <w:jc w:val="center"/>
                    <w:rPr>
                      <w:rFonts w:ascii="Times New Roman" w:hAnsi="Times New Roman" w:cs="Times New Roman" w:eastAsiaTheme="minorEastAsia"/>
                      <w:color w:val="auto"/>
                      <w:highlight w:val="none"/>
                    </w:rPr>
                  </w:pPr>
                </w:p>
              </w:tc>
              <w:tc>
                <w:tcPr>
                  <w:tcW w:w="485" w:type="pct"/>
                  <w:tcBorders>
                    <w:top w:val="nil"/>
                    <w:left w:val="single" w:color="auto" w:sz="4" w:space="0"/>
                    <w:bottom w:val="single" w:color="auto" w:sz="4" w:space="0"/>
                    <w:right w:val="single" w:color="auto" w:sz="4" w:space="0"/>
                  </w:tcBorders>
                  <w:vAlign w:val="bottom"/>
                </w:tcPr>
                <w:p w14:paraId="5581D7DB">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7.5</w:t>
                  </w:r>
                </w:p>
              </w:tc>
            </w:tr>
            <w:tr w14:paraId="2076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2BC77173">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白油/柴油</w:t>
                  </w:r>
                </w:p>
              </w:tc>
              <w:tc>
                <w:tcPr>
                  <w:tcW w:w="1068" w:type="pct"/>
                  <w:gridSpan w:val="2"/>
                  <w:vAlign w:val="center"/>
                </w:tcPr>
                <w:p w14:paraId="1D58156E">
                  <w:pPr>
                    <w:jc w:val="center"/>
                    <w:rPr>
                      <w:rFonts w:ascii="Times New Roman" w:hAnsi="Times New Roman" w:cs="Times New Roman" w:eastAsiaTheme="minorEastAsia"/>
                      <w:color w:val="auto"/>
                      <w:highlight w:val="none"/>
                    </w:rPr>
                  </w:pPr>
                </w:p>
              </w:tc>
              <w:tc>
                <w:tcPr>
                  <w:tcW w:w="602" w:type="pct"/>
                  <w:tcBorders>
                    <w:top w:val="nil"/>
                    <w:left w:val="single" w:color="auto" w:sz="4" w:space="0"/>
                    <w:bottom w:val="single" w:color="auto" w:sz="4" w:space="0"/>
                    <w:right w:val="single" w:color="auto" w:sz="4" w:space="0"/>
                  </w:tcBorders>
                  <w:vAlign w:val="center"/>
                </w:tcPr>
                <w:p w14:paraId="573AEFD5">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0B0F942D">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400</w:t>
                  </w:r>
                </w:p>
              </w:tc>
              <w:tc>
                <w:tcPr>
                  <w:tcW w:w="432" w:type="pct"/>
                  <w:tcBorders>
                    <w:top w:val="nil"/>
                    <w:left w:val="single" w:color="auto" w:sz="4" w:space="0"/>
                    <w:bottom w:val="single" w:color="auto" w:sz="4" w:space="0"/>
                    <w:right w:val="single" w:color="auto" w:sz="4" w:space="0"/>
                  </w:tcBorders>
                  <w:vAlign w:val="center"/>
                </w:tcPr>
                <w:p w14:paraId="6FB434FF">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6F6212BF">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400</w:t>
                  </w:r>
                </w:p>
              </w:tc>
            </w:tr>
            <w:tr w14:paraId="2B57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6B638E6F">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CaCl</w:t>
                  </w:r>
                  <w:r>
                    <w:rPr>
                      <w:rFonts w:ascii="Times New Roman" w:hAnsi="Times New Roman" w:cs="Times New Roman" w:eastAsiaTheme="minorEastAsia"/>
                      <w:color w:val="auto"/>
                      <w:highlight w:val="none"/>
                      <w:vertAlign w:val="subscript"/>
                    </w:rPr>
                    <w:t>2</w:t>
                  </w:r>
                </w:p>
              </w:tc>
              <w:tc>
                <w:tcPr>
                  <w:tcW w:w="1068" w:type="pct"/>
                  <w:gridSpan w:val="2"/>
                  <w:vAlign w:val="center"/>
                </w:tcPr>
                <w:p w14:paraId="655C2DA9">
                  <w:pPr>
                    <w:jc w:val="center"/>
                    <w:rPr>
                      <w:rFonts w:ascii="Times New Roman" w:hAnsi="Times New Roman" w:cs="Times New Roman" w:eastAsiaTheme="minorEastAsia"/>
                      <w:color w:val="auto"/>
                      <w:highlight w:val="none"/>
                    </w:rPr>
                  </w:pPr>
                </w:p>
              </w:tc>
              <w:tc>
                <w:tcPr>
                  <w:tcW w:w="602" w:type="pct"/>
                  <w:tcBorders>
                    <w:top w:val="nil"/>
                    <w:left w:val="single" w:color="auto" w:sz="4" w:space="0"/>
                    <w:bottom w:val="single" w:color="auto" w:sz="4" w:space="0"/>
                    <w:right w:val="single" w:color="auto" w:sz="4" w:space="0"/>
                  </w:tcBorders>
                  <w:vAlign w:val="center"/>
                </w:tcPr>
                <w:p w14:paraId="1C50979F">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5AD55F77">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30</w:t>
                  </w:r>
                </w:p>
              </w:tc>
              <w:tc>
                <w:tcPr>
                  <w:tcW w:w="432" w:type="pct"/>
                  <w:tcBorders>
                    <w:top w:val="nil"/>
                    <w:left w:val="single" w:color="auto" w:sz="4" w:space="0"/>
                    <w:bottom w:val="single" w:color="auto" w:sz="4" w:space="0"/>
                    <w:right w:val="single" w:color="auto" w:sz="4" w:space="0"/>
                  </w:tcBorders>
                  <w:vAlign w:val="center"/>
                </w:tcPr>
                <w:p w14:paraId="46BC349E">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3D3B69D0">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30</w:t>
                  </w:r>
                </w:p>
              </w:tc>
            </w:tr>
            <w:tr w14:paraId="6F34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4BF0ECD8">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TYODF-301/XZ-OZR</w:t>
                  </w:r>
                </w:p>
              </w:tc>
              <w:tc>
                <w:tcPr>
                  <w:tcW w:w="1068" w:type="pct"/>
                  <w:gridSpan w:val="2"/>
                  <w:vAlign w:val="center"/>
                </w:tcPr>
                <w:p w14:paraId="74BB07F0">
                  <w:pPr>
                    <w:jc w:val="center"/>
                    <w:rPr>
                      <w:rFonts w:ascii="Times New Roman" w:hAnsi="Times New Roman" w:cs="Times New Roman" w:eastAsiaTheme="minorEastAsia"/>
                      <w:color w:val="auto"/>
                      <w:highlight w:val="none"/>
                    </w:rPr>
                  </w:pPr>
                </w:p>
              </w:tc>
              <w:tc>
                <w:tcPr>
                  <w:tcW w:w="602" w:type="pct"/>
                  <w:tcBorders>
                    <w:top w:val="nil"/>
                    <w:left w:val="single" w:color="auto" w:sz="4" w:space="0"/>
                    <w:bottom w:val="single" w:color="auto" w:sz="4" w:space="0"/>
                    <w:right w:val="single" w:color="auto" w:sz="4" w:space="0"/>
                  </w:tcBorders>
                  <w:vAlign w:val="center"/>
                </w:tcPr>
                <w:p w14:paraId="462C6A7D">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30FE1142">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c>
                <w:tcPr>
                  <w:tcW w:w="432" w:type="pct"/>
                  <w:tcBorders>
                    <w:top w:val="nil"/>
                    <w:left w:val="single" w:color="auto" w:sz="4" w:space="0"/>
                    <w:bottom w:val="single" w:color="auto" w:sz="4" w:space="0"/>
                    <w:right w:val="single" w:color="auto" w:sz="4" w:space="0"/>
                  </w:tcBorders>
                  <w:vAlign w:val="center"/>
                </w:tcPr>
                <w:p w14:paraId="1DE8CE45">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073DF6E0">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r>
            <w:tr w14:paraId="3B47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50DCBC6D">
                  <w:pPr>
                    <w:spacing w:line="300" w:lineRule="exact"/>
                    <w:jc w:val="center"/>
                    <w:rPr>
                      <w:rFonts w:ascii="Times New Roman" w:hAnsi="Times New Roman" w:cs="Times New Roman" w:eastAsiaTheme="minorEastAsia"/>
                      <w:strike/>
                      <w:color w:val="auto"/>
                      <w:highlight w:val="none"/>
                      <w:lang w:bidi="ar"/>
                    </w:rPr>
                  </w:pPr>
                  <w:r>
                    <w:rPr>
                      <w:rFonts w:ascii="Times New Roman" w:hAnsi="Times New Roman" w:cs="Times New Roman" w:eastAsiaTheme="minorEastAsia"/>
                      <w:color w:val="auto"/>
                      <w:highlight w:val="none"/>
                    </w:rPr>
                    <w:t>TYODF-401/XZ-OFR</w:t>
                  </w:r>
                </w:p>
              </w:tc>
              <w:tc>
                <w:tcPr>
                  <w:tcW w:w="1068" w:type="pct"/>
                  <w:gridSpan w:val="2"/>
                  <w:vAlign w:val="center"/>
                </w:tcPr>
                <w:p w14:paraId="3F3592D1">
                  <w:pPr>
                    <w:jc w:val="center"/>
                    <w:rPr>
                      <w:rFonts w:ascii="Times New Roman" w:hAnsi="Times New Roman" w:cs="Times New Roman" w:eastAsiaTheme="minorEastAsia"/>
                      <w:color w:val="auto"/>
                      <w:highlight w:val="none"/>
                    </w:rPr>
                  </w:pPr>
                </w:p>
              </w:tc>
              <w:tc>
                <w:tcPr>
                  <w:tcW w:w="602" w:type="pct"/>
                  <w:tcBorders>
                    <w:top w:val="nil"/>
                    <w:left w:val="single" w:color="auto" w:sz="4" w:space="0"/>
                    <w:bottom w:val="single" w:color="auto" w:sz="4" w:space="0"/>
                    <w:right w:val="single" w:color="auto" w:sz="4" w:space="0"/>
                  </w:tcBorders>
                  <w:vAlign w:val="center"/>
                </w:tcPr>
                <w:p w14:paraId="054E2103">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215535B3">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c>
                <w:tcPr>
                  <w:tcW w:w="432" w:type="pct"/>
                  <w:tcBorders>
                    <w:top w:val="nil"/>
                    <w:left w:val="single" w:color="auto" w:sz="4" w:space="0"/>
                    <w:bottom w:val="single" w:color="auto" w:sz="4" w:space="0"/>
                    <w:right w:val="single" w:color="auto" w:sz="4" w:space="0"/>
                  </w:tcBorders>
                  <w:vAlign w:val="center"/>
                </w:tcPr>
                <w:p w14:paraId="5CF9E40D">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79AEA042">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r>
            <w:tr w14:paraId="231D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2ED14686">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TYODF-501/XZ-ORS</w:t>
                  </w:r>
                </w:p>
              </w:tc>
              <w:tc>
                <w:tcPr>
                  <w:tcW w:w="1068" w:type="pct"/>
                  <w:gridSpan w:val="2"/>
                  <w:vAlign w:val="center"/>
                </w:tcPr>
                <w:p w14:paraId="2D8B5D58">
                  <w:pPr>
                    <w:jc w:val="center"/>
                    <w:rPr>
                      <w:rFonts w:ascii="Times New Roman" w:hAnsi="Times New Roman" w:cs="Times New Roman" w:eastAsiaTheme="minorEastAsia"/>
                      <w:color w:val="auto"/>
                      <w:highlight w:val="none"/>
                    </w:rPr>
                  </w:pPr>
                </w:p>
              </w:tc>
              <w:tc>
                <w:tcPr>
                  <w:tcW w:w="602" w:type="pct"/>
                  <w:tcBorders>
                    <w:top w:val="nil"/>
                    <w:left w:val="single" w:color="auto" w:sz="4" w:space="0"/>
                    <w:bottom w:val="single" w:color="auto" w:sz="4" w:space="0"/>
                    <w:right w:val="single" w:color="auto" w:sz="4" w:space="0"/>
                  </w:tcBorders>
                  <w:vAlign w:val="center"/>
                </w:tcPr>
                <w:p w14:paraId="5688CA91">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58CFEF19">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10</w:t>
                  </w:r>
                </w:p>
              </w:tc>
              <w:tc>
                <w:tcPr>
                  <w:tcW w:w="432" w:type="pct"/>
                  <w:tcBorders>
                    <w:top w:val="nil"/>
                    <w:left w:val="single" w:color="auto" w:sz="4" w:space="0"/>
                    <w:bottom w:val="single" w:color="auto" w:sz="4" w:space="0"/>
                    <w:right w:val="single" w:color="auto" w:sz="4" w:space="0"/>
                  </w:tcBorders>
                  <w:vAlign w:val="center"/>
                </w:tcPr>
                <w:p w14:paraId="3C14646E">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755D9B56">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10</w:t>
                  </w:r>
                </w:p>
              </w:tc>
            </w:tr>
            <w:tr w14:paraId="3D88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30986302">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TYODF-601/LH-OC</w:t>
                  </w:r>
                </w:p>
              </w:tc>
              <w:tc>
                <w:tcPr>
                  <w:tcW w:w="1068" w:type="pct"/>
                  <w:gridSpan w:val="2"/>
                  <w:vAlign w:val="center"/>
                </w:tcPr>
                <w:p w14:paraId="611B1D57">
                  <w:pPr>
                    <w:jc w:val="center"/>
                    <w:rPr>
                      <w:rFonts w:ascii="Times New Roman" w:hAnsi="Times New Roman" w:cs="Times New Roman" w:eastAsiaTheme="minorEastAsia"/>
                      <w:color w:val="auto"/>
                      <w:highlight w:val="none"/>
                    </w:rPr>
                  </w:pPr>
                </w:p>
              </w:tc>
              <w:tc>
                <w:tcPr>
                  <w:tcW w:w="602" w:type="pct"/>
                  <w:tcBorders>
                    <w:top w:val="nil"/>
                    <w:left w:val="single" w:color="auto" w:sz="4" w:space="0"/>
                    <w:bottom w:val="single" w:color="auto" w:sz="4" w:space="0"/>
                    <w:right w:val="single" w:color="auto" w:sz="4" w:space="0"/>
                  </w:tcBorders>
                  <w:vAlign w:val="center"/>
                </w:tcPr>
                <w:p w14:paraId="684175BC">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324E930D">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c>
                <w:tcPr>
                  <w:tcW w:w="432" w:type="pct"/>
                  <w:tcBorders>
                    <w:top w:val="nil"/>
                    <w:left w:val="single" w:color="auto" w:sz="4" w:space="0"/>
                    <w:bottom w:val="single" w:color="auto" w:sz="4" w:space="0"/>
                    <w:right w:val="single" w:color="auto" w:sz="4" w:space="0"/>
                  </w:tcBorders>
                  <w:vAlign w:val="center"/>
                </w:tcPr>
                <w:p w14:paraId="0B6C26D4">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4F1A42F8">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r>
            <w:tr w14:paraId="1211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26957AF2">
                  <w:pPr>
                    <w:spacing w:line="300" w:lineRule="exac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XZ-OJL</w:t>
                  </w:r>
                </w:p>
              </w:tc>
              <w:tc>
                <w:tcPr>
                  <w:tcW w:w="1068" w:type="pct"/>
                  <w:gridSpan w:val="2"/>
                  <w:vAlign w:val="center"/>
                </w:tcPr>
                <w:p w14:paraId="4F9A5288">
                  <w:pPr>
                    <w:jc w:val="center"/>
                    <w:rPr>
                      <w:rFonts w:ascii="Times New Roman" w:hAnsi="Times New Roman" w:cs="Times New Roman" w:eastAsiaTheme="minorEastAsia"/>
                      <w:color w:val="auto"/>
                      <w:highlight w:val="none"/>
                    </w:rPr>
                  </w:pPr>
                </w:p>
              </w:tc>
              <w:tc>
                <w:tcPr>
                  <w:tcW w:w="602" w:type="pct"/>
                  <w:tcBorders>
                    <w:top w:val="nil"/>
                    <w:left w:val="single" w:color="auto" w:sz="4" w:space="0"/>
                    <w:bottom w:val="single" w:color="auto" w:sz="4" w:space="0"/>
                    <w:right w:val="single" w:color="auto" w:sz="4" w:space="0"/>
                  </w:tcBorders>
                  <w:vAlign w:val="center"/>
                </w:tcPr>
                <w:p w14:paraId="6E5D0338">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0151770E">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c>
                <w:tcPr>
                  <w:tcW w:w="432" w:type="pct"/>
                  <w:tcBorders>
                    <w:top w:val="nil"/>
                    <w:left w:val="single" w:color="auto" w:sz="4" w:space="0"/>
                    <w:bottom w:val="single" w:color="auto" w:sz="4" w:space="0"/>
                    <w:right w:val="single" w:color="auto" w:sz="4" w:space="0"/>
                  </w:tcBorders>
                  <w:vAlign w:val="center"/>
                </w:tcPr>
                <w:p w14:paraId="2D51035E">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17FAF83B">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r>
            <w:tr w14:paraId="677E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4B629235">
                  <w:pPr>
                    <w:spacing w:line="300" w:lineRule="exac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FT-401/LH-LQ/ZK601</w:t>
                  </w:r>
                </w:p>
              </w:tc>
              <w:tc>
                <w:tcPr>
                  <w:tcW w:w="1068" w:type="pct"/>
                  <w:gridSpan w:val="2"/>
                  <w:vAlign w:val="center"/>
                </w:tcPr>
                <w:p w14:paraId="1F8FCCD1">
                  <w:pPr>
                    <w:jc w:val="center"/>
                    <w:rPr>
                      <w:rFonts w:ascii="Times New Roman" w:hAnsi="Times New Roman" w:cs="Times New Roman" w:eastAsiaTheme="minorEastAsia"/>
                      <w:color w:val="auto"/>
                      <w:highlight w:val="none"/>
                    </w:rPr>
                  </w:pPr>
                </w:p>
              </w:tc>
              <w:tc>
                <w:tcPr>
                  <w:tcW w:w="602" w:type="pct"/>
                  <w:tcBorders>
                    <w:top w:val="nil"/>
                    <w:left w:val="single" w:color="auto" w:sz="4" w:space="0"/>
                    <w:bottom w:val="single" w:color="auto" w:sz="4" w:space="0"/>
                    <w:right w:val="single" w:color="auto" w:sz="4" w:space="0"/>
                  </w:tcBorders>
                  <w:vAlign w:val="center"/>
                </w:tcPr>
                <w:p w14:paraId="6AB129B7">
                  <w:pPr>
                    <w:jc w:val="center"/>
                    <w:rPr>
                      <w:rFonts w:ascii="Times New Roman" w:hAnsi="Times New Roman" w:cs="Times New Roman" w:eastAsiaTheme="minorEastAsia"/>
                      <w:color w:val="auto"/>
                      <w:highlight w:val="none"/>
                      <w:lang w:bidi="ar"/>
                    </w:rPr>
                  </w:pPr>
                </w:p>
              </w:tc>
              <w:tc>
                <w:tcPr>
                  <w:tcW w:w="842" w:type="pct"/>
                  <w:tcBorders>
                    <w:top w:val="nil"/>
                    <w:left w:val="single" w:color="auto" w:sz="4" w:space="0"/>
                    <w:bottom w:val="single" w:color="auto" w:sz="4" w:space="0"/>
                    <w:right w:val="single" w:color="auto" w:sz="4" w:space="0"/>
                  </w:tcBorders>
                  <w:vAlign w:val="center"/>
                </w:tcPr>
                <w:p w14:paraId="299A4FBD">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20</w:t>
                  </w:r>
                </w:p>
              </w:tc>
              <w:tc>
                <w:tcPr>
                  <w:tcW w:w="432" w:type="pct"/>
                  <w:tcBorders>
                    <w:top w:val="nil"/>
                    <w:left w:val="single" w:color="auto" w:sz="4" w:space="0"/>
                    <w:bottom w:val="single" w:color="auto" w:sz="4" w:space="0"/>
                    <w:right w:val="single" w:color="auto" w:sz="4" w:space="0"/>
                  </w:tcBorders>
                  <w:vAlign w:val="center"/>
                </w:tcPr>
                <w:p w14:paraId="1FF1BB9C">
                  <w:pPr>
                    <w:jc w:val="center"/>
                    <w:rPr>
                      <w:rFonts w:ascii="Times New Roman" w:hAnsi="Times New Roman" w:cs="Times New Roman" w:eastAsiaTheme="minorEastAsia"/>
                      <w:color w:val="auto"/>
                      <w:highlight w:val="none"/>
                      <w:lang w:bidi="ar"/>
                    </w:rPr>
                  </w:pPr>
                </w:p>
              </w:tc>
              <w:tc>
                <w:tcPr>
                  <w:tcW w:w="485" w:type="pct"/>
                  <w:tcBorders>
                    <w:top w:val="nil"/>
                    <w:left w:val="single" w:color="auto" w:sz="4" w:space="0"/>
                    <w:bottom w:val="single" w:color="auto" w:sz="4" w:space="0"/>
                    <w:right w:val="single" w:color="auto" w:sz="4" w:space="0"/>
                  </w:tcBorders>
                  <w:vAlign w:val="bottom"/>
                </w:tcPr>
                <w:p w14:paraId="17B7211F">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20</w:t>
                  </w:r>
                </w:p>
              </w:tc>
            </w:tr>
            <w:tr w14:paraId="099B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773887F9">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YL-XD/XZ-DL8</w:t>
                  </w:r>
                </w:p>
              </w:tc>
              <w:tc>
                <w:tcPr>
                  <w:tcW w:w="1068" w:type="pct"/>
                  <w:gridSpan w:val="2"/>
                  <w:vAlign w:val="center"/>
                </w:tcPr>
                <w:p w14:paraId="4EC54C73">
                  <w:pPr>
                    <w:jc w:val="center"/>
                    <w:rPr>
                      <w:rFonts w:ascii="Times New Roman" w:hAnsi="Times New Roman" w:cs="Times New Roman" w:eastAsiaTheme="minorEastAsia"/>
                      <w:color w:val="auto"/>
                      <w:highlight w:val="none"/>
                    </w:rPr>
                  </w:pPr>
                </w:p>
              </w:tc>
              <w:tc>
                <w:tcPr>
                  <w:tcW w:w="602" w:type="pct"/>
                  <w:vAlign w:val="center"/>
                </w:tcPr>
                <w:p w14:paraId="0212AE53">
                  <w:pPr>
                    <w:jc w:val="center"/>
                    <w:rPr>
                      <w:rFonts w:ascii="Times New Roman" w:hAnsi="Times New Roman" w:cs="Times New Roman" w:eastAsiaTheme="minorEastAsia"/>
                      <w:color w:val="auto"/>
                      <w:highlight w:val="none"/>
                      <w:lang w:bidi="ar"/>
                    </w:rPr>
                  </w:pPr>
                </w:p>
              </w:tc>
              <w:tc>
                <w:tcPr>
                  <w:tcW w:w="842" w:type="pct"/>
                  <w:vAlign w:val="center"/>
                </w:tcPr>
                <w:p w14:paraId="21B651C3">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c>
                <w:tcPr>
                  <w:tcW w:w="432" w:type="pct"/>
                  <w:vAlign w:val="center"/>
                </w:tcPr>
                <w:p w14:paraId="6A6B74BD">
                  <w:pPr>
                    <w:jc w:val="center"/>
                    <w:rPr>
                      <w:rFonts w:ascii="Times New Roman" w:hAnsi="Times New Roman" w:cs="Times New Roman" w:eastAsiaTheme="minorEastAsia"/>
                      <w:color w:val="auto"/>
                      <w:highlight w:val="none"/>
                      <w:lang w:bidi="ar"/>
                    </w:rPr>
                  </w:pPr>
                </w:p>
              </w:tc>
              <w:tc>
                <w:tcPr>
                  <w:tcW w:w="485" w:type="pct"/>
                  <w:vAlign w:val="bottom"/>
                </w:tcPr>
                <w:p w14:paraId="376A71C5">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15</w:t>
                  </w:r>
                </w:p>
              </w:tc>
            </w:tr>
            <w:tr w14:paraId="15FE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275BE8D5">
                  <w:pPr>
                    <w:spacing w:line="300" w:lineRule="exact"/>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超细碳酸钙/ZS-3/ZS-5</w:t>
                  </w:r>
                </w:p>
              </w:tc>
              <w:tc>
                <w:tcPr>
                  <w:tcW w:w="1068" w:type="pct"/>
                  <w:gridSpan w:val="2"/>
                  <w:vAlign w:val="center"/>
                </w:tcPr>
                <w:p w14:paraId="0BFFE822">
                  <w:pPr>
                    <w:jc w:val="center"/>
                    <w:rPr>
                      <w:rFonts w:ascii="Times New Roman" w:hAnsi="Times New Roman" w:cs="Times New Roman" w:eastAsiaTheme="minorEastAsia"/>
                      <w:color w:val="auto"/>
                      <w:highlight w:val="none"/>
                    </w:rPr>
                  </w:pPr>
                </w:p>
              </w:tc>
              <w:tc>
                <w:tcPr>
                  <w:tcW w:w="602" w:type="pct"/>
                  <w:vAlign w:val="center"/>
                </w:tcPr>
                <w:p w14:paraId="73790F07">
                  <w:pPr>
                    <w:jc w:val="center"/>
                    <w:rPr>
                      <w:rFonts w:ascii="Times New Roman" w:hAnsi="Times New Roman" w:cs="Times New Roman" w:eastAsiaTheme="minorEastAsia"/>
                      <w:color w:val="auto"/>
                      <w:highlight w:val="none"/>
                      <w:lang w:bidi="ar"/>
                    </w:rPr>
                  </w:pPr>
                </w:p>
              </w:tc>
              <w:tc>
                <w:tcPr>
                  <w:tcW w:w="842" w:type="pct"/>
                  <w:vAlign w:val="center"/>
                </w:tcPr>
                <w:p w14:paraId="064285F8">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25</w:t>
                  </w:r>
                </w:p>
              </w:tc>
              <w:tc>
                <w:tcPr>
                  <w:tcW w:w="432" w:type="pct"/>
                  <w:vAlign w:val="center"/>
                </w:tcPr>
                <w:p w14:paraId="411A297A">
                  <w:pPr>
                    <w:jc w:val="center"/>
                    <w:rPr>
                      <w:rFonts w:ascii="Times New Roman" w:hAnsi="Times New Roman" w:cs="Times New Roman" w:eastAsiaTheme="minorEastAsia"/>
                      <w:color w:val="auto"/>
                      <w:highlight w:val="none"/>
                      <w:lang w:bidi="ar"/>
                    </w:rPr>
                  </w:pPr>
                </w:p>
              </w:tc>
              <w:tc>
                <w:tcPr>
                  <w:tcW w:w="485" w:type="pct"/>
                  <w:vAlign w:val="bottom"/>
                </w:tcPr>
                <w:p w14:paraId="23B5F182">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25</w:t>
                  </w:r>
                </w:p>
              </w:tc>
            </w:tr>
            <w:tr w14:paraId="6CF1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68" w:type="pct"/>
                  <w:vAlign w:val="center"/>
                </w:tcPr>
                <w:p w14:paraId="6A22E6A9">
                  <w:pPr>
                    <w:spacing w:line="300" w:lineRule="exact"/>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CaO</w:t>
                  </w:r>
                </w:p>
              </w:tc>
              <w:tc>
                <w:tcPr>
                  <w:tcW w:w="1068" w:type="pct"/>
                  <w:gridSpan w:val="2"/>
                  <w:vAlign w:val="center"/>
                </w:tcPr>
                <w:p w14:paraId="57F7DCCD">
                  <w:pPr>
                    <w:jc w:val="center"/>
                    <w:rPr>
                      <w:rFonts w:ascii="Times New Roman" w:hAnsi="Times New Roman" w:cs="Times New Roman" w:eastAsiaTheme="minorEastAsia"/>
                      <w:color w:val="auto"/>
                      <w:highlight w:val="none"/>
                    </w:rPr>
                  </w:pPr>
                </w:p>
              </w:tc>
              <w:tc>
                <w:tcPr>
                  <w:tcW w:w="602" w:type="pct"/>
                  <w:vAlign w:val="center"/>
                </w:tcPr>
                <w:p w14:paraId="5ADE8488">
                  <w:pPr>
                    <w:jc w:val="center"/>
                    <w:rPr>
                      <w:rFonts w:ascii="Times New Roman" w:hAnsi="Times New Roman" w:cs="Times New Roman" w:eastAsiaTheme="minorEastAsia"/>
                      <w:color w:val="auto"/>
                      <w:highlight w:val="none"/>
                    </w:rPr>
                  </w:pPr>
                </w:p>
              </w:tc>
              <w:tc>
                <w:tcPr>
                  <w:tcW w:w="842" w:type="pct"/>
                  <w:vAlign w:val="center"/>
                </w:tcPr>
                <w:p w14:paraId="258F2A01">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lang w:bidi="ar"/>
                    </w:rPr>
                    <w:t>10</w:t>
                  </w:r>
                </w:p>
              </w:tc>
              <w:tc>
                <w:tcPr>
                  <w:tcW w:w="432" w:type="pct"/>
                  <w:vAlign w:val="center"/>
                </w:tcPr>
                <w:p w14:paraId="004B1E9E">
                  <w:pPr>
                    <w:jc w:val="center"/>
                    <w:rPr>
                      <w:rFonts w:ascii="Times New Roman" w:hAnsi="Times New Roman" w:cs="Times New Roman" w:eastAsiaTheme="minorEastAsia"/>
                      <w:color w:val="auto"/>
                      <w:highlight w:val="none"/>
                    </w:rPr>
                  </w:pPr>
                </w:p>
              </w:tc>
              <w:tc>
                <w:tcPr>
                  <w:tcW w:w="485" w:type="pct"/>
                  <w:vAlign w:val="bottom"/>
                </w:tcPr>
                <w:p w14:paraId="5CE233FE">
                  <w:pPr>
                    <w:jc w:val="center"/>
                    <w:textAlignment w:val="bottom"/>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lang w:bidi="ar"/>
                    </w:rPr>
                    <w:t>10</w:t>
                  </w:r>
                </w:p>
              </w:tc>
            </w:tr>
            <w:tr w14:paraId="12D0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68" w:type="pct"/>
                  <w:vAlign w:val="center"/>
                </w:tcPr>
                <w:p w14:paraId="05A164B1">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801</w:t>
                  </w:r>
                </w:p>
              </w:tc>
              <w:tc>
                <w:tcPr>
                  <w:tcW w:w="1068" w:type="pct"/>
                  <w:gridSpan w:val="2"/>
                  <w:vAlign w:val="center"/>
                </w:tcPr>
                <w:p w14:paraId="1BA09220">
                  <w:pPr>
                    <w:jc w:val="center"/>
                    <w:rPr>
                      <w:rFonts w:ascii="Times New Roman" w:hAnsi="Times New Roman" w:cs="Times New Roman" w:eastAsiaTheme="minorEastAsia"/>
                      <w:color w:val="auto"/>
                      <w:highlight w:val="none"/>
                    </w:rPr>
                  </w:pPr>
                </w:p>
              </w:tc>
              <w:tc>
                <w:tcPr>
                  <w:tcW w:w="602" w:type="pct"/>
                  <w:vAlign w:val="center"/>
                </w:tcPr>
                <w:p w14:paraId="7A129576">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16</w:t>
                  </w:r>
                </w:p>
              </w:tc>
              <w:tc>
                <w:tcPr>
                  <w:tcW w:w="842" w:type="pct"/>
                  <w:vAlign w:val="center"/>
                </w:tcPr>
                <w:p w14:paraId="35FCC6C8">
                  <w:pPr>
                    <w:jc w:val="center"/>
                    <w:rPr>
                      <w:rFonts w:ascii="Times New Roman" w:hAnsi="Times New Roman" w:cs="Times New Roman" w:eastAsiaTheme="minorEastAsia"/>
                      <w:color w:val="auto"/>
                      <w:highlight w:val="none"/>
                    </w:rPr>
                  </w:pPr>
                </w:p>
              </w:tc>
              <w:tc>
                <w:tcPr>
                  <w:tcW w:w="432" w:type="pct"/>
                  <w:vAlign w:val="center"/>
                </w:tcPr>
                <w:p w14:paraId="3D62A453">
                  <w:pPr>
                    <w:jc w:val="center"/>
                    <w:rPr>
                      <w:rFonts w:ascii="Times New Roman" w:hAnsi="Times New Roman" w:cs="Times New Roman" w:eastAsiaTheme="minorEastAsia"/>
                      <w:color w:val="auto"/>
                      <w:highlight w:val="none"/>
                      <w:lang w:bidi="ar"/>
                    </w:rPr>
                  </w:pPr>
                </w:p>
              </w:tc>
              <w:tc>
                <w:tcPr>
                  <w:tcW w:w="485" w:type="pct"/>
                  <w:vAlign w:val="bottom"/>
                </w:tcPr>
                <w:p w14:paraId="0C46CA70">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16</w:t>
                  </w:r>
                </w:p>
              </w:tc>
            </w:tr>
            <w:tr w14:paraId="02B5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68" w:type="pct"/>
                  <w:vAlign w:val="center"/>
                </w:tcPr>
                <w:p w14:paraId="741569D6">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SP-8/REDU1</w:t>
                  </w:r>
                </w:p>
              </w:tc>
              <w:tc>
                <w:tcPr>
                  <w:tcW w:w="1068" w:type="pct"/>
                  <w:gridSpan w:val="2"/>
                  <w:vAlign w:val="center"/>
                </w:tcPr>
                <w:p w14:paraId="748A3CA3">
                  <w:pPr>
                    <w:jc w:val="center"/>
                    <w:rPr>
                      <w:rFonts w:ascii="Times New Roman" w:hAnsi="Times New Roman" w:cs="Times New Roman" w:eastAsiaTheme="minorEastAsia"/>
                      <w:color w:val="auto"/>
                      <w:highlight w:val="none"/>
                    </w:rPr>
                  </w:pPr>
                </w:p>
              </w:tc>
              <w:tc>
                <w:tcPr>
                  <w:tcW w:w="602" w:type="pct"/>
                  <w:vAlign w:val="center"/>
                </w:tcPr>
                <w:p w14:paraId="764529D4">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5.5</w:t>
                  </w:r>
                </w:p>
              </w:tc>
              <w:tc>
                <w:tcPr>
                  <w:tcW w:w="842" w:type="pct"/>
                  <w:vAlign w:val="center"/>
                </w:tcPr>
                <w:p w14:paraId="5662AA84">
                  <w:pPr>
                    <w:jc w:val="center"/>
                    <w:rPr>
                      <w:rFonts w:ascii="Times New Roman" w:hAnsi="Times New Roman" w:cs="Times New Roman" w:eastAsiaTheme="minorEastAsia"/>
                      <w:color w:val="auto"/>
                      <w:highlight w:val="none"/>
                    </w:rPr>
                  </w:pPr>
                </w:p>
              </w:tc>
              <w:tc>
                <w:tcPr>
                  <w:tcW w:w="432" w:type="pct"/>
                  <w:vAlign w:val="center"/>
                </w:tcPr>
                <w:p w14:paraId="22347793">
                  <w:pPr>
                    <w:jc w:val="center"/>
                    <w:rPr>
                      <w:rFonts w:ascii="Times New Roman" w:hAnsi="Times New Roman" w:cs="Times New Roman" w:eastAsiaTheme="minorEastAsia"/>
                      <w:color w:val="auto"/>
                      <w:highlight w:val="none"/>
                      <w:lang w:bidi="ar"/>
                    </w:rPr>
                  </w:pPr>
                </w:p>
              </w:tc>
              <w:tc>
                <w:tcPr>
                  <w:tcW w:w="485" w:type="pct"/>
                  <w:vAlign w:val="bottom"/>
                </w:tcPr>
                <w:p w14:paraId="51DC1246">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5.5</w:t>
                  </w:r>
                </w:p>
              </w:tc>
            </w:tr>
            <w:tr w14:paraId="3F79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68" w:type="pct"/>
                  <w:vAlign w:val="center"/>
                </w:tcPr>
                <w:p w14:paraId="1A2D7C19">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超细碳酸钙/ZS-3/ZS-5</w:t>
                  </w:r>
                </w:p>
              </w:tc>
              <w:tc>
                <w:tcPr>
                  <w:tcW w:w="1068" w:type="pct"/>
                  <w:gridSpan w:val="2"/>
                  <w:vAlign w:val="center"/>
                </w:tcPr>
                <w:p w14:paraId="5DFE8DD8">
                  <w:pPr>
                    <w:jc w:val="center"/>
                    <w:rPr>
                      <w:rFonts w:ascii="Times New Roman" w:hAnsi="Times New Roman" w:cs="Times New Roman" w:eastAsiaTheme="minorEastAsia"/>
                      <w:color w:val="auto"/>
                      <w:highlight w:val="none"/>
                    </w:rPr>
                  </w:pPr>
                </w:p>
              </w:tc>
              <w:tc>
                <w:tcPr>
                  <w:tcW w:w="602" w:type="pct"/>
                  <w:vAlign w:val="center"/>
                </w:tcPr>
                <w:p w14:paraId="0994823F">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27</w:t>
                  </w:r>
                </w:p>
              </w:tc>
              <w:tc>
                <w:tcPr>
                  <w:tcW w:w="842" w:type="pct"/>
                  <w:vAlign w:val="center"/>
                </w:tcPr>
                <w:p w14:paraId="21555825">
                  <w:pPr>
                    <w:jc w:val="center"/>
                    <w:rPr>
                      <w:rFonts w:ascii="Times New Roman" w:hAnsi="Times New Roman" w:cs="Times New Roman" w:eastAsiaTheme="minorEastAsia"/>
                      <w:color w:val="auto"/>
                      <w:highlight w:val="none"/>
                    </w:rPr>
                  </w:pPr>
                </w:p>
              </w:tc>
              <w:tc>
                <w:tcPr>
                  <w:tcW w:w="432" w:type="pct"/>
                  <w:vAlign w:val="center"/>
                </w:tcPr>
                <w:p w14:paraId="62235230">
                  <w:pPr>
                    <w:jc w:val="center"/>
                    <w:rPr>
                      <w:rFonts w:ascii="Times New Roman" w:hAnsi="Times New Roman" w:cs="Times New Roman" w:eastAsiaTheme="minorEastAsia"/>
                      <w:color w:val="auto"/>
                      <w:highlight w:val="none"/>
                      <w:lang w:bidi="ar"/>
                    </w:rPr>
                  </w:pPr>
                </w:p>
              </w:tc>
              <w:tc>
                <w:tcPr>
                  <w:tcW w:w="485" w:type="pct"/>
                  <w:vAlign w:val="bottom"/>
                </w:tcPr>
                <w:p w14:paraId="0014F7F9">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27</w:t>
                  </w:r>
                </w:p>
              </w:tc>
            </w:tr>
            <w:tr w14:paraId="567E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68" w:type="pct"/>
                  <w:vAlign w:val="center"/>
                </w:tcPr>
                <w:p w14:paraId="3BF7F000">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KCl</w:t>
                  </w:r>
                </w:p>
              </w:tc>
              <w:tc>
                <w:tcPr>
                  <w:tcW w:w="1068" w:type="pct"/>
                  <w:gridSpan w:val="2"/>
                  <w:vAlign w:val="center"/>
                </w:tcPr>
                <w:p w14:paraId="31BEF981">
                  <w:pPr>
                    <w:jc w:val="center"/>
                    <w:rPr>
                      <w:rFonts w:ascii="Times New Roman" w:hAnsi="Times New Roman" w:cs="Times New Roman" w:eastAsiaTheme="minorEastAsia"/>
                      <w:color w:val="auto"/>
                      <w:highlight w:val="none"/>
                    </w:rPr>
                  </w:pPr>
                </w:p>
              </w:tc>
              <w:tc>
                <w:tcPr>
                  <w:tcW w:w="602" w:type="pct"/>
                  <w:vAlign w:val="center"/>
                </w:tcPr>
                <w:p w14:paraId="0676AAF9">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37</w:t>
                  </w:r>
                </w:p>
              </w:tc>
              <w:tc>
                <w:tcPr>
                  <w:tcW w:w="842" w:type="pct"/>
                  <w:vAlign w:val="center"/>
                </w:tcPr>
                <w:p w14:paraId="1189D585">
                  <w:pPr>
                    <w:jc w:val="center"/>
                    <w:rPr>
                      <w:rFonts w:ascii="Times New Roman" w:hAnsi="Times New Roman" w:cs="Times New Roman" w:eastAsiaTheme="minorEastAsia"/>
                      <w:color w:val="auto"/>
                      <w:highlight w:val="none"/>
                    </w:rPr>
                  </w:pPr>
                </w:p>
              </w:tc>
              <w:tc>
                <w:tcPr>
                  <w:tcW w:w="432" w:type="pct"/>
                  <w:vAlign w:val="center"/>
                </w:tcPr>
                <w:p w14:paraId="6FD11898">
                  <w:pPr>
                    <w:jc w:val="center"/>
                    <w:rPr>
                      <w:rFonts w:ascii="Times New Roman" w:hAnsi="Times New Roman" w:cs="Times New Roman" w:eastAsiaTheme="minorEastAsia"/>
                      <w:color w:val="auto"/>
                      <w:highlight w:val="none"/>
                      <w:lang w:bidi="ar"/>
                    </w:rPr>
                  </w:pPr>
                </w:p>
              </w:tc>
              <w:tc>
                <w:tcPr>
                  <w:tcW w:w="485" w:type="pct"/>
                  <w:vAlign w:val="bottom"/>
                </w:tcPr>
                <w:p w14:paraId="43A971C9">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37</w:t>
                  </w:r>
                </w:p>
              </w:tc>
            </w:tr>
            <w:tr w14:paraId="58B7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68" w:type="pct"/>
                  <w:vAlign w:val="center"/>
                </w:tcPr>
                <w:p w14:paraId="6083EC70">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NaCl</w:t>
                  </w:r>
                </w:p>
              </w:tc>
              <w:tc>
                <w:tcPr>
                  <w:tcW w:w="1068" w:type="pct"/>
                  <w:gridSpan w:val="2"/>
                  <w:vAlign w:val="center"/>
                </w:tcPr>
                <w:p w14:paraId="40127DB2">
                  <w:pPr>
                    <w:jc w:val="center"/>
                    <w:rPr>
                      <w:rFonts w:ascii="Times New Roman" w:hAnsi="Times New Roman" w:cs="Times New Roman" w:eastAsiaTheme="minorEastAsia"/>
                      <w:color w:val="auto"/>
                      <w:highlight w:val="none"/>
                    </w:rPr>
                  </w:pPr>
                </w:p>
              </w:tc>
              <w:tc>
                <w:tcPr>
                  <w:tcW w:w="602" w:type="pct"/>
                  <w:vAlign w:val="center"/>
                </w:tcPr>
                <w:p w14:paraId="206CFCEB">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106</w:t>
                  </w:r>
                </w:p>
              </w:tc>
              <w:tc>
                <w:tcPr>
                  <w:tcW w:w="842" w:type="pct"/>
                  <w:vAlign w:val="center"/>
                </w:tcPr>
                <w:p w14:paraId="102F8264">
                  <w:pPr>
                    <w:jc w:val="center"/>
                    <w:rPr>
                      <w:rFonts w:ascii="Times New Roman" w:hAnsi="Times New Roman" w:cs="Times New Roman" w:eastAsiaTheme="minorEastAsia"/>
                      <w:color w:val="auto"/>
                      <w:highlight w:val="none"/>
                    </w:rPr>
                  </w:pPr>
                </w:p>
              </w:tc>
              <w:tc>
                <w:tcPr>
                  <w:tcW w:w="432" w:type="pct"/>
                  <w:vAlign w:val="center"/>
                </w:tcPr>
                <w:p w14:paraId="09A9E097">
                  <w:pPr>
                    <w:jc w:val="center"/>
                    <w:rPr>
                      <w:rFonts w:ascii="Times New Roman" w:hAnsi="Times New Roman" w:cs="Times New Roman" w:eastAsiaTheme="minorEastAsia"/>
                      <w:color w:val="auto"/>
                      <w:highlight w:val="none"/>
                      <w:lang w:bidi="ar"/>
                    </w:rPr>
                  </w:pPr>
                </w:p>
              </w:tc>
              <w:tc>
                <w:tcPr>
                  <w:tcW w:w="485" w:type="pct"/>
                  <w:vAlign w:val="bottom"/>
                </w:tcPr>
                <w:p w14:paraId="5519C56A">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106</w:t>
                  </w:r>
                </w:p>
              </w:tc>
            </w:tr>
            <w:tr w14:paraId="52A6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568" w:type="pct"/>
                  <w:vAlign w:val="center"/>
                </w:tcPr>
                <w:p w14:paraId="0C4733B0">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YN-YL/KR-n/FT-401</w:t>
                  </w:r>
                </w:p>
              </w:tc>
              <w:tc>
                <w:tcPr>
                  <w:tcW w:w="1068" w:type="pct"/>
                  <w:gridSpan w:val="2"/>
                  <w:vAlign w:val="center"/>
                </w:tcPr>
                <w:p w14:paraId="2296977E">
                  <w:pPr>
                    <w:jc w:val="center"/>
                    <w:rPr>
                      <w:rFonts w:ascii="Times New Roman" w:hAnsi="Times New Roman" w:cs="Times New Roman" w:eastAsiaTheme="minorEastAsia"/>
                      <w:color w:val="auto"/>
                      <w:highlight w:val="none"/>
                    </w:rPr>
                  </w:pPr>
                </w:p>
              </w:tc>
              <w:tc>
                <w:tcPr>
                  <w:tcW w:w="602" w:type="pct"/>
                  <w:vAlign w:val="center"/>
                </w:tcPr>
                <w:p w14:paraId="063E8B3A">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27</w:t>
                  </w:r>
                </w:p>
              </w:tc>
              <w:tc>
                <w:tcPr>
                  <w:tcW w:w="842" w:type="pct"/>
                  <w:vAlign w:val="center"/>
                </w:tcPr>
                <w:p w14:paraId="286FEA5E">
                  <w:pPr>
                    <w:jc w:val="center"/>
                    <w:rPr>
                      <w:rFonts w:ascii="Times New Roman" w:hAnsi="Times New Roman" w:cs="Times New Roman" w:eastAsiaTheme="minorEastAsia"/>
                      <w:color w:val="auto"/>
                      <w:highlight w:val="none"/>
                    </w:rPr>
                  </w:pPr>
                </w:p>
              </w:tc>
              <w:tc>
                <w:tcPr>
                  <w:tcW w:w="432" w:type="pct"/>
                  <w:vAlign w:val="center"/>
                </w:tcPr>
                <w:p w14:paraId="687ED7C3">
                  <w:pPr>
                    <w:jc w:val="center"/>
                    <w:rPr>
                      <w:rFonts w:ascii="Times New Roman" w:hAnsi="Times New Roman" w:cs="Times New Roman" w:eastAsiaTheme="minorEastAsia"/>
                      <w:color w:val="auto"/>
                      <w:highlight w:val="none"/>
                      <w:lang w:bidi="ar"/>
                    </w:rPr>
                  </w:pPr>
                </w:p>
              </w:tc>
              <w:tc>
                <w:tcPr>
                  <w:tcW w:w="485" w:type="pct"/>
                  <w:vAlign w:val="bottom"/>
                </w:tcPr>
                <w:p w14:paraId="652835D8">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27</w:t>
                  </w:r>
                </w:p>
              </w:tc>
            </w:tr>
            <w:tr w14:paraId="45E6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68" w:type="pct"/>
                  <w:vAlign w:val="center"/>
                </w:tcPr>
                <w:p w14:paraId="5AE6F692">
                  <w:pPr>
                    <w:jc w:val="center"/>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rPr>
                    <w:t>堵漏剂</w:t>
                  </w:r>
                </w:p>
              </w:tc>
              <w:tc>
                <w:tcPr>
                  <w:tcW w:w="1068" w:type="pct"/>
                  <w:gridSpan w:val="2"/>
                  <w:vAlign w:val="center"/>
                </w:tcPr>
                <w:p w14:paraId="698E3619">
                  <w:pPr>
                    <w:jc w:val="center"/>
                    <w:rPr>
                      <w:rFonts w:ascii="Times New Roman" w:hAnsi="Times New Roman" w:cs="Times New Roman" w:eastAsiaTheme="minorEastAsia"/>
                      <w:color w:val="auto"/>
                      <w:highlight w:val="none"/>
                    </w:rPr>
                  </w:pPr>
                </w:p>
              </w:tc>
              <w:tc>
                <w:tcPr>
                  <w:tcW w:w="602" w:type="pct"/>
                  <w:vAlign w:val="center"/>
                </w:tcPr>
                <w:p w14:paraId="0FBE4EFA">
                  <w:pPr>
                    <w:jc w:val="center"/>
                    <w:rPr>
                      <w:rFonts w:ascii="Times New Roman" w:hAnsi="Times New Roman" w:cs="Times New Roman" w:eastAsiaTheme="minorEastAsia"/>
                      <w:color w:val="auto"/>
                      <w:highlight w:val="none"/>
                    </w:rPr>
                  </w:pPr>
                </w:p>
              </w:tc>
              <w:tc>
                <w:tcPr>
                  <w:tcW w:w="842" w:type="pct"/>
                  <w:vAlign w:val="center"/>
                </w:tcPr>
                <w:p w14:paraId="12E883E5">
                  <w:pPr>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5</w:t>
                  </w:r>
                </w:p>
              </w:tc>
              <w:tc>
                <w:tcPr>
                  <w:tcW w:w="432" w:type="pct"/>
                  <w:vAlign w:val="center"/>
                </w:tcPr>
                <w:p w14:paraId="7D18AF12">
                  <w:pPr>
                    <w:jc w:val="center"/>
                    <w:rPr>
                      <w:rFonts w:ascii="Times New Roman" w:hAnsi="Times New Roman" w:cs="Times New Roman" w:eastAsiaTheme="minorEastAsia"/>
                      <w:color w:val="auto"/>
                      <w:highlight w:val="none"/>
                      <w:lang w:bidi="ar"/>
                    </w:rPr>
                  </w:pPr>
                </w:p>
              </w:tc>
              <w:tc>
                <w:tcPr>
                  <w:tcW w:w="485" w:type="pct"/>
                  <w:vAlign w:val="bottom"/>
                </w:tcPr>
                <w:p w14:paraId="37013F4C">
                  <w:pPr>
                    <w:jc w:val="center"/>
                    <w:textAlignment w:val="bottom"/>
                    <w:rPr>
                      <w:rFonts w:ascii="Times New Roman" w:hAnsi="Times New Roman" w:cs="Times New Roman" w:eastAsiaTheme="minorEastAsia"/>
                      <w:color w:val="auto"/>
                      <w:highlight w:val="none"/>
                      <w:lang w:bidi="ar"/>
                    </w:rPr>
                  </w:pPr>
                  <w:r>
                    <w:rPr>
                      <w:rFonts w:ascii="Times New Roman" w:hAnsi="Times New Roman" w:cs="Times New Roman" w:eastAsiaTheme="minorEastAsia"/>
                      <w:color w:val="auto"/>
                      <w:highlight w:val="none"/>
                      <w:lang w:bidi="ar"/>
                    </w:rPr>
                    <w:t>5</w:t>
                  </w:r>
                </w:p>
              </w:tc>
            </w:tr>
            <w:tr w14:paraId="26C0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000" w:type="pct"/>
                  <w:gridSpan w:val="7"/>
                  <w:vAlign w:val="center"/>
                </w:tcPr>
                <w:p w14:paraId="122B6B52">
                  <w:pPr>
                    <w:pStyle w:val="37"/>
                    <w:ind w:firstLine="420"/>
                    <w:jc w:val="center"/>
                    <w:rPr>
                      <w:rFonts w:ascii="Times New Roman" w:hAnsi="Times New Roman" w:cs="Times New Roman" w:eastAsiaTheme="minorEastAsia"/>
                      <w:b w:val="0"/>
                      <w:color w:val="auto"/>
                      <w:highlight w:val="none"/>
                      <w:lang w:bidi="ar"/>
                    </w:rPr>
                  </w:pPr>
                  <w:r>
                    <w:rPr>
                      <w:rFonts w:ascii="Times New Roman" w:hAnsi="Times New Roman" w:cs="Times New Roman" w:eastAsiaTheme="minorEastAsia"/>
                      <w:b w:val="0"/>
                      <w:color w:val="auto"/>
                      <w:highlight w:val="none"/>
                    </w:rPr>
                    <w:t>钻井液材料具体用量根据实际情况决定。</w:t>
                  </w:r>
                </w:p>
              </w:tc>
            </w:tr>
          </w:tbl>
          <w:p w14:paraId="38992CE7">
            <w:pPr>
              <w:pStyle w:val="8"/>
              <w:widowControl w:val="0"/>
              <w:kinsoku/>
              <w:jc w:val="both"/>
              <w:rPr>
                <w:rFonts w:ascii="Times New Roman" w:hAnsi="Times New Roman" w:cs="Times New Roman"/>
                <w:color w:val="auto"/>
                <w:highlight w:val="none"/>
                <w:lang w:eastAsia="zh-CN"/>
              </w:rPr>
            </w:pPr>
          </w:p>
          <w:p w14:paraId="675C6EF6">
            <w:pPr>
              <w:pStyle w:val="8"/>
              <w:widowControl w:val="0"/>
              <w:kinsoku/>
              <w:spacing w:line="281" w:lineRule="auto"/>
              <w:jc w:val="both"/>
              <w:rPr>
                <w:rFonts w:ascii="Times New Roman" w:hAnsi="Times New Roman" w:cs="Times New Roman"/>
                <w:color w:val="auto"/>
                <w:highlight w:val="none"/>
                <w:lang w:eastAsia="zh-CN"/>
              </w:rPr>
            </w:pPr>
          </w:p>
          <w:p w14:paraId="3B0CFDF5">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7.压裂液成分</w:t>
            </w:r>
          </w:p>
          <w:p w14:paraId="7C7779EA">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根据建设单位提供的资料，压裂液主要成分为胍胶、复合添加剂及交联剂等，压裂液成分见表2-12。</w:t>
            </w:r>
          </w:p>
          <w:p w14:paraId="0E8D0504">
            <w:pPr>
              <w:widowControl w:val="0"/>
              <w:kinsoku/>
              <w:spacing w:line="5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表2-12 压裂液成分表</w:t>
            </w:r>
          </w:p>
          <w:tbl>
            <w:tblPr>
              <w:tblStyle w:val="16"/>
              <w:tblW w:w="82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3035"/>
              <w:gridCol w:w="4211"/>
            </w:tblGrid>
            <w:tr w14:paraId="49F4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top w:val="single" w:color="auto" w:sz="4" w:space="0"/>
                    <w:left w:val="single" w:color="auto" w:sz="0" w:space="0"/>
                    <w:tl2br w:val="nil"/>
                  </w:tcBorders>
                  <w:shd w:val="clear" w:color="auto" w:fill="FFFFFF"/>
                  <w:vAlign w:val="center"/>
                </w:tcPr>
                <w:p w14:paraId="5306196F">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c>
                <w:tcPr>
                  <w:tcW w:w="3035" w:type="dxa"/>
                  <w:tcBorders>
                    <w:top w:val="single" w:color="auto" w:sz="4" w:space="0"/>
                  </w:tcBorders>
                  <w:shd w:val="clear" w:color="auto" w:fill="FFFFFF"/>
                  <w:vAlign w:val="center"/>
                </w:tcPr>
                <w:p w14:paraId="2C0A8CE5">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压裂基液配方</w:t>
                  </w:r>
                </w:p>
              </w:tc>
              <w:tc>
                <w:tcPr>
                  <w:tcW w:w="4211" w:type="dxa"/>
                  <w:tcBorders>
                    <w:top w:val="single" w:color="auto" w:sz="4" w:space="0"/>
                    <w:right w:val="single" w:color="auto" w:sz="4" w:space="0"/>
                  </w:tcBorders>
                  <w:shd w:val="clear" w:color="auto" w:fill="FFFFFF"/>
                  <w:vAlign w:val="center"/>
                </w:tcPr>
                <w:p w14:paraId="2BCBF14E">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0.4%胍胶+0.2%复合添加剂+0.3%交联剂</w:t>
                  </w:r>
                </w:p>
              </w:tc>
            </w:tr>
            <w:tr w14:paraId="0A00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556B05DD">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w:t>
                  </w:r>
                </w:p>
              </w:tc>
              <w:tc>
                <w:tcPr>
                  <w:tcW w:w="3035" w:type="dxa"/>
                  <w:shd w:val="clear" w:color="auto" w:fill="FFFFFF"/>
                  <w:vAlign w:val="center"/>
                </w:tcPr>
                <w:p w14:paraId="05CCC3F5">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交联比</w:t>
                  </w:r>
                </w:p>
              </w:tc>
              <w:tc>
                <w:tcPr>
                  <w:tcW w:w="4211" w:type="dxa"/>
                  <w:tcBorders>
                    <w:right w:val="single" w:color="auto" w:sz="4" w:space="0"/>
                  </w:tcBorders>
                  <w:shd w:val="clear" w:color="auto" w:fill="FFFFFF"/>
                  <w:vAlign w:val="center"/>
                </w:tcPr>
                <w:p w14:paraId="1B864B39">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0.3%交联剂</w:t>
                  </w:r>
                </w:p>
              </w:tc>
            </w:tr>
            <w:tr w14:paraId="7144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521C8B3C">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w:t>
                  </w:r>
                </w:p>
              </w:tc>
              <w:tc>
                <w:tcPr>
                  <w:tcW w:w="3035" w:type="dxa"/>
                  <w:shd w:val="clear" w:color="auto" w:fill="FFFFFF"/>
                  <w:vAlign w:val="center"/>
                </w:tcPr>
                <w:p w14:paraId="2C16555D">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基液粘度</w:t>
                  </w:r>
                </w:p>
              </w:tc>
              <w:tc>
                <w:tcPr>
                  <w:tcW w:w="4211" w:type="dxa"/>
                  <w:tcBorders>
                    <w:right w:val="single" w:color="auto" w:sz="4" w:space="0"/>
                  </w:tcBorders>
                  <w:shd w:val="clear" w:color="auto" w:fill="FFFFFF"/>
                  <w:vAlign w:val="center"/>
                </w:tcPr>
                <w:p w14:paraId="6FD59F15">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30~40mPa·s</w:t>
                  </w:r>
                </w:p>
              </w:tc>
            </w:tr>
            <w:tr w14:paraId="48FD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7A93F155">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4</w:t>
                  </w:r>
                </w:p>
              </w:tc>
              <w:tc>
                <w:tcPr>
                  <w:tcW w:w="3035" w:type="dxa"/>
                  <w:shd w:val="clear" w:color="auto" w:fill="FFFFFF"/>
                  <w:vAlign w:val="center"/>
                </w:tcPr>
                <w:p w14:paraId="189E5194">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冻胶粘度</w:t>
                  </w:r>
                </w:p>
              </w:tc>
              <w:tc>
                <w:tcPr>
                  <w:tcW w:w="4211" w:type="dxa"/>
                  <w:tcBorders>
                    <w:right w:val="single" w:color="auto" w:sz="4" w:space="0"/>
                  </w:tcBorders>
                  <w:shd w:val="clear" w:color="auto" w:fill="FFFFFF"/>
                  <w:vAlign w:val="center"/>
                </w:tcPr>
                <w:p w14:paraId="0CAC4C72">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220mPa·s</w:t>
                  </w:r>
                </w:p>
              </w:tc>
            </w:tr>
            <w:tr w14:paraId="44E3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3E89D42E">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5</w:t>
                  </w:r>
                </w:p>
              </w:tc>
              <w:tc>
                <w:tcPr>
                  <w:tcW w:w="3035" w:type="dxa"/>
                  <w:shd w:val="clear" w:color="auto" w:fill="FFFFFF"/>
                  <w:vAlign w:val="center"/>
                </w:tcPr>
                <w:p w14:paraId="489DADF2">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pH值</w:t>
                  </w:r>
                </w:p>
              </w:tc>
              <w:tc>
                <w:tcPr>
                  <w:tcW w:w="4211" w:type="dxa"/>
                  <w:tcBorders>
                    <w:right w:val="single" w:color="auto" w:sz="4" w:space="0"/>
                  </w:tcBorders>
                  <w:shd w:val="clear" w:color="auto" w:fill="FFFFFF"/>
                  <w:vAlign w:val="center"/>
                </w:tcPr>
                <w:p w14:paraId="6426F075">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9~10</w:t>
                  </w:r>
                </w:p>
              </w:tc>
            </w:tr>
            <w:tr w14:paraId="2944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bottom w:val="single" w:color="auto" w:sz="4" w:space="0"/>
                  </w:tcBorders>
                  <w:shd w:val="clear" w:color="auto" w:fill="FFFFFF"/>
                  <w:vAlign w:val="center"/>
                </w:tcPr>
                <w:p w14:paraId="6C7D0897">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6</w:t>
                  </w:r>
                </w:p>
              </w:tc>
              <w:tc>
                <w:tcPr>
                  <w:tcW w:w="3035" w:type="dxa"/>
                  <w:tcBorders>
                    <w:bottom w:val="single" w:color="auto" w:sz="4" w:space="0"/>
                  </w:tcBorders>
                  <w:shd w:val="clear" w:color="auto" w:fill="FFFFFF"/>
                  <w:vAlign w:val="center"/>
                </w:tcPr>
                <w:p w14:paraId="13BF8457">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滑溜水配方</w:t>
                  </w:r>
                </w:p>
              </w:tc>
              <w:tc>
                <w:tcPr>
                  <w:tcW w:w="4211" w:type="dxa"/>
                  <w:tcBorders>
                    <w:bottom w:val="single" w:color="auto" w:sz="4" w:space="0"/>
                    <w:right w:val="single" w:color="auto" w:sz="4" w:space="0"/>
                  </w:tcBorders>
                  <w:shd w:val="clear" w:color="auto" w:fill="FFFFFF"/>
                  <w:vAlign w:val="center"/>
                </w:tcPr>
                <w:p w14:paraId="3544BE45">
                  <w:pPr>
                    <w:widowControl w:val="0"/>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0.05%～0.2%环保型减阻剂</w:t>
                  </w:r>
                </w:p>
              </w:tc>
            </w:tr>
            <w:bookmarkEnd w:id="15"/>
          </w:tbl>
          <w:p w14:paraId="3793E41F">
            <w:pPr>
              <w:pStyle w:val="22"/>
              <w:widowControl w:val="0"/>
              <w:kinsoku/>
              <w:spacing w:before="283" w:line="228"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3"/>
                <w:sz w:val="24"/>
                <w:szCs w:val="24"/>
                <w:highlight w:val="none"/>
                <w:lang w:eastAsia="zh-CN"/>
              </w:rPr>
              <w:t>8.一般工业固体废物类别</w:t>
            </w:r>
          </w:p>
          <w:p w14:paraId="3FA33CB3">
            <w:pPr>
              <w:widowControl w:val="0"/>
              <w:kinsoku/>
              <w:spacing w:line="500" w:lineRule="exact"/>
              <w:ind w:firstLine="480" w:firstLineChars="200"/>
              <w:jc w:val="both"/>
              <w:rPr>
                <w:rFonts w:ascii="Times New Roman" w:hAnsi="Times New Roman" w:eastAsia="宋体" w:cs="Times New Roman"/>
                <w:color w:val="auto"/>
                <w:spacing w:val="7"/>
                <w:sz w:val="24"/>
                <w:szCs w:val="24"/>
                <w:highlight w:val="none"/>
                <w:lang w:eastAsia="zh-CN"/>
              </w:rPr>
            </w:pPr>
            <w:r>
              <w:rPr>
                <w:rFonts w:ascii="Times New Roman" w:hAnsi="Times New Roman" w:eastAsia="宋体" w:cs="Times New Roman"/>
                <w:color w:val="auto"/>
                <w:sz w:val="24"/>
                <w:szCs w:val="24"/>
                <w:highlight w:val="none"/>
                <w:lang w:eastAsia="zh-CN" w:bidi="ar"/>
              </w:rPr>
              <w:t>根据《一般工业固体废物管理台账制定指南（试行）》要求，一般固体废物类别和代码见表2-13。</w:t>
            </w:r>
          </w:p>
          <w:p w14:paraId="745C64C8">
            <w:pPr>
              <w:widowControl w:val="0"/>
              <w:kinsoku/>
              <w:spacing w:line="5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表2-13 一般固体废物类别和代码</w:t>
            </w:r>
          </w:p>
          <w:tbl>
            <w:tblPr>
              <w:tblStyle w:val="16"/>
              <w:tblW w:w="8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245"/>
              <w:gridCol w:w="1320"/>
              <w:gridCol w:w="4829"/>
            </w:tblGrid>
            <w:tr w14:paraId="402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179350FB">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5"/>
                      <w:sz w:val="21"/>
                      <w:szCs w:val="21"/>
                      <w:highlight w:val="none"/>
                    </w:rPr>
                    <w:t>序号</w:t>
                  </w:r>
                </w:p>
              </w:tc>
              <w:tc>
                <w:tcPr>
                  <w:tcW w:w="1245" w:type="dxa"/>
                  <w:vAlign w:val="center"/>
                </w:tcPr>
                <w:p w14:paraId="09967EA2">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7"/>
                      <w:sz w:val="21"/>
                      <w:szCs w:val="21"/>
                      <w:highlight w:val="none"/>
                    </w:rPr>
                    <w:t>废物代码</w:t>
                  </w:r>
                </w:p>
              </w:tc>
              <w:tc>
                <w:tcPr>
                  <w:tcW w:w="1320" w:type="dxa"/>
                  <w:vAlign w:val="center"/>
                </w:tcPr>
                <w:p w14:paraId="6D84D155">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7"/>
                      <w:sz w:val="21"/>
                      <w:szCs w:val="21"/>
                      <w:highlight w:val="none"/>
                    </w:rPr>
                    <w:t>废物种类</w:t>
                  </w:r>
                </w:p>
              </w:tc>
              <w:tc>
                <w:tcPr>
                  <w:tcW w:w="4829" w:type="dxa"/>
                  <w:vAlign w:val="center"/>
                </w:tcPr>
                <w:p w14:paraId="1B5FAAD5">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7"/>
                      <w:sz w:val="21"/>
                      <w:szCs w:val="21"/>
                      <w:highlight w:val="none"/>
                    </w:rPr>
                    <w:t>废物种类</w:t>
                  </w:r>
                </w:p>
              </w:tc>
            </w:tr>
            <w:tr w14:paraId="427A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11F09B24">
                  <w:pPr>
                    <w:widowControl/>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Times New Roman" w:cs="Times New Roman"/>
                      <w:color w:val="auto"/>
                      <w:highlight w:val="none"/>
                    </w:rPr>
                    <w:t>1</w:t>
                  </w:r>
                </w:p>
              </w:tc>
              <w:tc>
                <w:tcPr>
                  <w:tcW w:w="1245" w:type="dxa"/>
                  <w:vAlign w:val="center"/>
                </w:tcPr>
                <w:p w14:paraId="567C81ED">
                  <w:pPr>
                    <w:widowControl/>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Times New Roman" w:cs="Times New Roman"/>
                      <w:color w:val="auto"/>
                      <w:highlight w:val="none"/>
                    </w:rPr>
                    <w:t>SW</w:t>
                  </w:r>
                  <w:r>
                    <w:rPr>
                      <w:rFonts w:ascii="Times New Roman" w:hAnsi="Times New Roman" w:eastAsia="Times New Roman" w:cs="Times New Roman"/>
                      <w:color w:val="auto"/>
                      <w:spacing w:val="4"/>
                      <w:highlight w:val="none"/>
                    </w:rPr>
                    <w:t>07</w:t>
                  </w:r>
                </w:p>
              </w:tc>
              <w:tc>
                <w:tcPr>
                  <w:tcW w:w="1320" w:type="dxa"/>
                  <w:vAlign w:val="center"/>
                </w:tcPr>
                <w:p w14:paraId="019156BD">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color w:val="auto"/>
                      <w:spacing w:val="3"/>
                      <w:sz w:val="21"/>
                      <w:szCs w:val="21"/>
                      <w:highlight w:val="none"/>
                      <w:lang w:eastAsia="zh-CN"/>
                    </w:rPr>
                    <w:t>不含油</w:t>
                  </w:r>
                  <w:r>
                    <w:rPr>
                      <w:rFonts w:ascii="Times New Roman" w:hAnsi="Times New Roman" w:cs="Times New Roman"/>
                      <w:color w:val="auto"/>
                      <w:spacing w:val="3"/>
                      <w:sz w:val="21"/>
                      <w:szCs w:val="21"/>
                      <w:highlight w:val="none"/>
                    </w:rPr>
                    <w:t>污泥</w:t>
                  </w:r>
                </w:p>
              </w:tc>
              <w:tc>
                <w:tcPr>
                  <w:tcW w:w="4829" w:type="dxa"/>
                  <w:vAlign w:val="center"/>
                </w:tcPr>
                <w:p w14:paraId="3FB94AE1">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color w:val="auto"/>
                      <w:spacing w:val="8"/>
                      <w:sz w:val="21"/>
                      <w:szCs w:val="21"/>
                      <w:highlight w:val="none"/>
                      <w:lang w:eastAsia="zh-CN"/>
                    </w:rPr>
                    <w:t>各类污水处理产生的固体沉淀物。</w:t>
                  </w:r>
                </w:p>
              </w:tc>
            </w:tr>
            <w:tr w14:paraId="6028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6F7728FA">
                  <w:pPr>
                    <w:widowControl/>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Times New Roman" w:cs="Times New Roman"/>
                      <w:color w:val="auto"/>
                      <w:highlight w:val="none"/>
                    </w:rPr>
                    <w:t>2</w:t>
                  </w:r>
                </w:p>
              </w:tc>
              <w:tc>
                <w:tcPr>
                  <w:tcW w:w="1245" w:type="dxa"/>
                  <w:vAlign w:val="center"/>
                </w:tcPr>
                <w:p w14:paraId="496BE6BF">
                  <w:pPr>
                    <w:widowControl/>
                    <w:kinsoku/>
                    <w:spacing w:line="240" w:lineRule="atLeast"/>
                    <w:jc w:val="center"/>
                    <w:rPr>
                      <w:rFonts w:ascii="Times New Roman" w:hAnsi="Times New Roman" w:eastAsia="宋体" w:cs="Times New Roman"/>
                      <w:b/>
                      <w:bCs/>
                      <w:color w:val="auto"/>
                      <w:highlight w:val="none"/>
                      <w:lang w:eastAsia="zh-CN"/>
                    </w:rPr>
                  </w:pPr>
                  <w:r>
                    <w:rPr>
                      <w:rFonts w:ascii="Times New Roman" w:hAnsi="Times New Roman" w:eastAsia="Times New Roman" w:cs="Times New Roman"/>
                      <w:color w:val="auto"/>
                      <w:highlight w:val="none"/>
                    </w:rPr>
                    <w:t>SW</w:t>
                  </w:r>
                  <w:r>
                    <w:rPr>
                      <w:rFonts w:ascii="Times New Roman" w:hAnsi="Times New Roman" w:eastAsia="Times New Roman" w:cs="Times New Roman"/>
                      <w:color w:val="auto"/>
                      <w:spacing w:val="4"/>
                      <w:highlight w:val="none"/>
                    </w:rPr>
                    <w:t>12</w:t>
                  </w:r>
                </w:p>
              </w:tc>
              <w:tc>
                <w:tcPr>
                  <w:tcW w:w="1320" w:type="dxa"/>
                  <w:vAlign w:val="center"/>
                </w:tcPr>
                <w:p w14:paraId="4B8004D4">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color w:val="auto"/>
                      <w:spacing w:val="7"/>
                      <w:sz w:val="21"/>
                      <w:szCs w:val="21"/>
                      <w:highlight w:val="none"/>
                      <w:lang w:eastAsia="zh-CN"/>
                    </w:rPr>
                    <w:t>水基</w:t>
                  </w:r>
                  <w:r>
                    <w:rPr>
                      <w:rFonts w:ascii="Times New Roman" w:hAnsi="Times New Roman" w:cs="Times New Roman"/>
                      <w:color w:val="auto"/>
                      <w:spacing w:val="7"/>
                      <w:sz w:val="21"/>
                      <w:szCs w:val="21"/>
                      <w:highlight w:val="none"/>
                    </w:rPr>
                    <w:t>钻井岩屑</w:t>
                  </w:r>
                </w:p>
              </w:tc>
              <w:tc>
                <w:tcPr>
                  <w:tcW w:w="4829" w:type="dxa"/>
                  <w:vAlign w:val="center"/>
                </w:tcPr>
                <w:p w14:paraId="094611E2">
                  <w:pPr>
                    <w:pStyle w:val="22"/>
                    <w:widowControl/>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color w:val="auto"/>
                      <w:spacing w:val="8"/>
                      <w:sz w:val="21"/>
                      <w:szCs w:val="21"/>
                      <w:highlight w:val="none"/>
                      <w:lang w:eastAsia="zh-CN"/>
                    </w:rPr>
                    <w:t>石油、天然气开采活动以及其他采矿业产生的钻井岩屑等矿业固体废物，不包括煤矸石、尾矿。</w:t>
                  </w:r>
                </w:p>
              </w:tc>
            </w:tr>
          </w:tbl>
          <w:p w14:paraId="1896A93F">
            <w:pPr>
              <w:pStyle w:val="22"/>
              <w:widowControl w:val="0"/>
              <w:kinsoku/>
              <w:spacing w:before="65" w:line="228"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2"/>
                <w:sz w:val="24"/>
                <w:szCs w:val="24"/>
                <w:highlight w:val="none"/>
                <w:lang w:eastAsia="zh-CN"/>
              </w:rPr>
              <w:t>9.公用工程</w:t>
            </w:r>
          </w:p>
          <w:p w14:paraId="66E79F3D">
            <w:pPr>
              <w:pStyle w:val="22"/>
              <w:widowControl w:val="0"/>
              <w:kinsoku/>
              <w:spacing w:before="160" w:line="360"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4"/>
                <w:sz w:val="24"/>
                <w:szCs w:val="24"/>
                <w:highlight w:val="none"/>
                <w:lang w:eastAsia="zh-CN"/>
              </w:rPr>
              <w:t>9.1给水</w:t>
            </w:r>
          </w:p>
          <w:p w14:paraId="5ED4E0B1">
            <w:pPr>
              <w:pStyle w:val="22"/>
              <w:widowControl w:val="0"/>
              <w:kinsoku/>
              <w:spacing w:line="360" w:lineRule="auto"/>
              <w:ind w:firstLine="496" w:firstLineChars="200"/>
              <w:jc w:val="both"/>
              <w:rPr>
                <w:rFonts w:ascii="Times New Roman" w:hAnsi="Times New Roman" w:cs="Times New Roman"/>
                <w:color w:val="auto"/>
                <w:spacing w:val="4"/>
                <w:sz w:val="24"/>
                <w:szCs w:val="24"/>
                <w:highlight w:val="none"/>
                <w:lang w:eastAsia="zh-CN"/>
              </w:rPr>
            </w:pPr>
            <w:r>
              <w:rPr>
                <w:rFonts w:ascii="Times New Roman" w:hAnsi="Times New Roman" w:cs="Times New Roman"/>
                <w:color w:val="auto"/>
                <w:spacing w:val="4"/>
                <w:sz w:val="24"/>
                <w:szCs w:val="24"/>
                <w:highlight w:val="none"/>
                <w:lang w:eastAsia="zh-CN"/>
              </w:rPr>
              <w:t>本工程在钻井过程中用水主要为钻井液配比用水。根据建设单位提供的资料，钻井期单井泥浆配比用水500m</w:t>
            </w:r>
            <w:r>
              <w:rPr>
                <w:rFonts w:ascii="Times New Roman" w:hAnsi="Times New Roman" w:cs="Times New Roman"/>
                <w:color w:val="auto"/>
                <w:spacing w:val="4"/>
                <w:sz w:val="24"/>
                <w:szCs w:val="24"/>
                <w:highlight w:val="none"/>
                <w:vertAlign w:val="superscript"/>
                <w:lang w:eastAsia="zh-CN"/>
              </w:rPr>
              <w:t>3</w:t>
            </w:r>
            <w:r>
              <w:rPr>
                <w:rFonts w:ascii="Times New Roman" w:hAnsi="Times New Roman" w:cs="Times New Roman"/>
                <w:color w:val="auto"/>
                <w:spacing w:val="4"/>
                <w:sz w:val="24"/>
                <w:szCs w:val="24"/>
                <w:highlight w:val="none"/>
                <w:lang w:eastAsia="zh-CN"/>
              </w:rPr>
              <w:t>/井，本工程2口井，钻井液配比用水1000m</w:t>
            </w:r>
            <w:r>
              <w:rPr>
                <w:rFonts w:ascii="Times New Roman" w:hAnsi="Times New Roman" w:cs="Times New Roman"/>
                <w:color w:val="auto"/>
                <w:spacing w:val="4"/>
                <w:sz w:val="24"/>
                <w:szCs w:val="24"/>
                <w:highlight w:val="none"/>
                <w:vertAlign w:val="superscript"/>
                <w:lang w:eastAsia="zh-CN"/>
              </w:rPr>
              <w:t>3</w:t>
            </w:r>
            <w:r>
              <w:rPr>
                <w:rFonts w:ascii="Times New Roman" w:hAnsi="Times New Roman" w:cs="Times New Roman"/>
                <w:color w:val="auto"/>
                <w:spacing w:val="4"/>
                <w:sz w:val="24"/>
                <w:szCs w:val="24"/>
                <w:highlight w:val="none"/>
                <w:lang w:eastAsia="zh-CN"/>
              </w:rPr>
              <w:t>。</w:t>
            </w:r>
          </w:p>
          <w:p w14:paraId="27BCD7F8">
            <w:pPr>
              <w:pStyle w:val="22"/>
              <w:widowControl w:val="0"/>
              <w:kinsoku/>
              <w:spacing w:line="360" w:lineRule="auto"/>
              <w:ind w:firstLine="496" w:firstLineChars="200"/>
              <w:jc w:val="both"/>
              <w:rPr>
                <w:rFonts w:ascii="Times New Roman" w:hAnsi="Times New Roman" w:cs="Times New Roman"/>
                <w:color w:val="auto"/>
                <w:spacing w:val="4"/>
                <w:sz w:val="24"/>
                <w:szCs w:val="24"/>
                <w:highlight w:val="none"/>
                <w:lang w:eastAsia="zh-CN"/>
              </w:rPr>
            </w:pPr>
            <w:r>
              <w:rPr>
                <w:rFonts w:ascii="Times New Roman" w:hAnsi="Times New Roman" w:cs="Times New Roman"/>
                <w:color w:val="auto"/>
                <w:spacing w:val="4"/>
                <w:sz w:val="24"/>
                <w:szCs w:val="24"/>
                <w:highlight w:val="none"/>
                <w:lang w:eastAsia="zh-CN"/>
              </w:rPr>
              <w:t>钻井期钻井人数30人，单井钻井天数90天，本工程设置2口评价井，按每人每天用水80L计算，钻井期生活用水432m</w:t>
            </w:r>
            <w:r>
              <w:rPr>
                <w:rFonts w:ascii="Times New Roman" w:hAnsi="Times New Roman" w:cs="Times New Roman"/>
                <w:color w:val="auto"/>
                <w:spacing w:val="4"/>
                <w:sz w:val="24"/>
                <w:szCs w:val="24"/>
                <w:highlight w:val="none"/>
                <w:vertAlign w:val="superscript"/>
                <w:lang w:eastAsia="zh-CN"/>
              </w:rPr>
              <w:t>3</w:t>
            </w:r>
            <w:r>
              <w:rPr>
                <w:rFonts w:ascii="Times New Roman" w:hAnsi="Times New Roman" w:cs="Times New Roman"/>
                <w:color w:val="auto"/>
                <w:spacing w:val="4"/>
                <w:sz w:val="24"/>
                <w:szCs w:val="24"/>
                <w:highlight w:val="none"/>
                <w:lang w:eastAsia="zh-CN"/>
              </w:rPr>
              <w:t>。本工程用水由罐车就近拉运至钻井平台；因本工程钻井期用水量较小，供水可满足其需求量。试油期，设2人巡井，不在钻井平台食宿。</w:t>
            </w:r>
          </w:p>
          <w:p w14:paraId="12B60DA1">
            <w:pPr>
              <w:pStyle w:val="22"/>
              <w:widowControl w:val="0"/>
              <w:kinsoku/>
              <w:spacing w:line="360" w:lineRule="auto"/>
              <w:ind w:firstLine="480" w:firstLineChars="200"/>
              <w:jc w:val="both"/>
              <w:rPr>
                <w:rFonts w:ascii="Times New Roman" w:hAnsi="Times New Roman" w:cs="Times New Roman"/>
                <w:color w:val="auto"/>
                <w:spacing w:val="4"/>
                <w:sz w:val="24"/>
                <w:szCs w:val="24"/>
                <w:highlight w:val="none"/>
                <w:lang w:eastAsia="zh-CN"/>
              </w:rPr>
            </w:pPr>
            <w:r>
              <w:rPr>
                <w:rFonts w:ascii="Times New Roman" w:hAnsi="Times New Roman" w:cs="Times New Roman"/>
                <w:color w:val="auto"/>
                <w:sz w:val="24"/>
                <w:szCs w:val="24"/>
                <w:highlight w:val="none"/>
                <w:lang w:eastAsia="zh-CN" w:bidi="ar"/>
              </w:rPr>
              <w:t>根据建设单位提供的资料，</w:t>
            </w:r>
            <w:r>
              <w:rPr>
                <w:rFonts w:ascii="Times New Roman" w:hAnsi="Times New Roman" w:cs="Times New Roman"/>
                <w:color w:val="auto"/>
                <w:spacing w:val="4"/>
                <w:sz w:val="24"/>
                <w:szCs w:val="24"/>
                <w:highlight w:val="none"/>
                <w:lang w:eastAsia="zh-CN"/>
              </w:rPr>
              <w:t>本项目两口井共需洗井用水166.67m</w:t>
            </w:r>
            <w:r>
              <w:rPr>
                <w:rFonts w:ascii="Times New Roman" w:hAnsi="Times New Roman" w:cs="Times New Roman"/>
                <w:color w:val="auto"/>
                <w:spacing w:val="4"/>
                <w:sz w:val="24"/>
                <w:szCs w:val="24"/>
                <w:highlight w:val="none"/>
                <w:vertAlign w:val="superscript"/>
                <w:lang w:eastAsia="zh-CN"/>
              </w:rPr>
              <w:t>3</w:t>
            </w:r>
            <w:r>
              <w:rPr>
                <w:rFonts w:ascii="Times New Roman" w:hAnsi="Times New Roman" w:cs="Times New Roman"/>
                <w:color w:val="auto"/>
                <w:spacing w:val="4"/>
                <w:sz w:val="24"/>
                <w:szCs w:val="24"/>
                <w:highlight w:val="none"/>
                <w:lang w:eastAsia="zh-CN"/>
              </w:rPr>
              <w:t>。</w:t>
            </w:r>
          </w:p>
          <w:p w14:paraId="6D35865E">
            <w:pPr>
              <w:pStyle w:val="22"/>
              <w:widowControl w:val="0"/>
              <w:kinsoku/>
              <w:spacing w:line="360" w:lineRule="auto"/>
              <w:ind w:firstLine="480" w:firstLineChars="200"/>
              <w:jc w:val="both"/>
              <w:rPr>
                <w:rFonts w:ascii="Times New Roman" w:hAnsi="Times New Roman" w:cs="Times New Roman"/>
                <w:color w:val="auto"/>
                <w:spacing w:val="4"/>
                <w:sz w:val="24"/>
                <w:szCs w:val="24"/>
                <w:highlight w:val="none"/>
                <w:lang w:eastAsia="zh-CN"/>
              </w:rPr>
            </w:pPr>
            <w:r>
              <w:rPr>
                <w:rFonts w:ascii="Times New Roman" w:hAnsi="Times New Roman" w:cs="Times New Roman"/>
                <w:color w:val="auto"/>
                <w:sz w:val="24"/>
                <w:szCs w:val="24"/>
                <w:highlight w:val="none"/>
                <w:lang w:eastAsia="zh-CN" w:bidi="ar"/>
              </w:rPr>
              <w:t>根据建设单位提供资料，本项目每口井压裂用水为35000m</w:t>
            </w:r>
            <w:r>
              <w:rPr>
                <w:rFonts w:ascii="Times New Roman" w:hAnsi="Times New Roman" w:cs="Times New Roman"/>
                <w:color w:val="auto"/>
                <w:sz w:val="24"/>
                <w:szCs w:val="24"/>
                <w:highlight w:val="none"/>
                <w:vertAlign w:val="superscript"/>
                <w:lang w:eastAsia="zh-CN" w:bidi="ar"/>
              </w:rPr>
              <w:t>3</w:t>
            </w:r>
            <w:r>
              <w:rPr>
                <w:rFonts w:ascii="Times New Roman" w:hAnsi="Times New Roman" w:cs="Times New Roman"/>
                <w:color w:val="auto"/>
                <w:sz w:val="24"/>
                <w:szCs w:val="24"/>
                <w:highlight w:val="none"/>
                <w:lang w:eastAsia="zh-CN" w:bidi="ar"/>
              </w:rPr>
              <w:t>，</w:t>
            </w:r>
            <w:r>
              <w:rPr>
                <w:rFonts w:ascii="Times New Roman" w:hAnsi="Times New Roman" w:cs="Times New Roman"/>
                <w:color w:val="auto"/>
                <w:spacing w:val="4"/>
                <w:sz w:val="24"/>
                <w:szCs w:val="24"/>
                <w:highlight w:val="none"/>
                <w:lang w:eastAsia="zh-CN"/>
              </w:rPr>
              <w:t>两口井共需</w:t>
            </w:r>
            <w:r>
              <w:rPr>
                <w:rFonts w:ascii="Times New Roman" w:hAnsi="Times New Roman" w:cs="Times New Roman"/>
                <w:color w:val="auto"/>
                <w:sz w:val="24"/>
                <w:szCs w:val="24"/>
                <w:highlight w:val="none"/>
                <w:lang w:eastAsia="zh-CN" w:bidi="ar"/>
              </w:rPr>
              <w:t>压裂用水为70000m</w:t>
            </w:r>
            <w:r>
              <w:rPr>
                <w:rFonts w:ascii="Times New Roman" w:hAnsi="Times New Roman" w:cs="Times New Roman"/>
                <w:color w:val="auto"/>
                <w:sz w:val="24"/>
                <w:szCs w:val="24"/>
                <w:highlight w:val="none"/>
                <w:vertAlign w:val="superscript"/>
                <w:lang w:eastAsia="zh-CN" w:bidi="ar"/>
              </w:rPr>
              <w:t>3</w:t>
            </w:r>
            <w:r>
              <w:rPr>
                <w:rFonts w:ascii="Times New Roman" w:hAnsi="Times New Roman" w:cs="Times New Roman"/>
                <w:color w:val="auto"/>
                <w:sz w:val="24"/>
                <w:szCs w:val="24"/>
                <w:highlight w:val="none"/>
                <w:lang w:eastAsia="zh-CN" w:bidi="ar"/>
              </w:rPr>
              <w:t>。</w:t>
            </w:r>
          </w:p>
          <w:p w14:paraId="3970BCC9">
            <w:pPr>
              <w:pStyle w:val="22"/>
              <w:widowControl w:val="0"/>
              <w:kinsoku/>
              <w:spacing w:line="360"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4"/>
                <w:sz w:val="24"/>
                <w:szCs w:val="24"/>
                <w:highlight w:val="none"/>
                <w:lang w:eastAsia="zh-CN"/>
              </w:rPr>
              <w:t>9.2排水</w:t>
            </w:r>
          </w:p>
          <w:p w14:paraId="35072F94">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bidi="ar"/>
              </w:rPr>
            </w:pPr>
            <w:r>
              <w:rPr>
                <w:rFonts w:ascii="宋体" w:hAnsi="宋体" w:eastAsia="宋体" w:cs="宋体"/>
                <w:color w:val="auto"/>
                <w:sz w:val="24"/>
                <w:szCs w:val="24"/>
              </w:rPr>
              <w:t>本项目在钻井过程中，钻井液经固控系统（泥浆不落地设备）处理后循环利用，不直接外排；经固液分离后的钻井岩屑及完井后无法回用的废弃钻井液，采用专用车辆拉运至</w:t>
            </w:r>
            <w:r>
              <w:rPr>
                <w:rFonts w:hint="eastAsia" w:ascii="宋体" w:hAnsi="宋体" w:eastAsia="宋体" w:cs="宋体"/>
                <w:color w:val="auto"/>
                <w:sz w:val="24"/>
                <w:szCs w:val="24"/>
                <w:lang w:val="en-US" w:eastAsia="zh-CN"/>
              </w:rPr>
              <w:t>有资质的</w:t>
            </w:r>
            <w:r>
              <w:rPr>
                <w:rFonts w:ascii="宋体" w:hAnsi="宋体" w:eastAsia="宋体" w:cs="宋体"/>
                <w:color w:val="auto"/>
                <w:sz w:val="24"/>
                <w:szCs w:val="24"/>
              </w:rPr>
              <w:t>环保处置单位集中处理</w:t>
            </w:r>
            <w:r>
              <w:rPr>
                <w:rFonts w:ascii="Times New Roman" w:hAnsi="Times New Roman" w:eastAsia="宋体" w:cs="Times New Roman"/>
                <w:color w:val="auto"/>
                <w:sz w:val="24"/>
                <w:szCs w:val="24"/>
                <w:highlight w:val="none"/>
                <w:lang w:eastAsia="zh-CN" w:bidi="ar"/>
              </w:rPr>
              <w:t>。本项目废水主要为钻井期生活污水，试油期井下作业洗井废水、压裂返排液。</w:t>
            </w:r>
          </w:p>
          <w:p w14:paraId="6FB92252">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（1）生活污水：本项目施工期生活污水产生量为用水量的80%，预计生活污水产生量为345.6m</w:t>
            </w:r>
            <w:r>
              <w:rPr>
                <w:rFonts w:ascii="Times New Roman" w:hAnsi="Times New Roman" w:eastAsia="宋体" w:cs="Times New Roman"/>
                <w:color w:val="auto"/>
                <w:sz w:val="24"/>
                <w:szCs w:val="24"/>
                <w:highlight w:val="none"/>
                <w:vertAlign w:val="superscript"/>
                <w:lang w:eastAsia="zh-CN" w:bidi="ar"/>
              </w:rPr>
              <w:t>3</w:t>
            </w:r>
            <w:r>
              <w:rPr>
                <w:rFonts w:ascii="Times New Roman" w:hAnsi="Times New Roman" w:eastAsia="宋体" w:cs="Times New Roman"/>
                <w:color w:val="auto"/>
                <w:sz w:val="24"/>
                <w:szCs w:val="24"/>
                <w:highlight w:val="none"/>
                <w:lang w:eastAsia="zh-CN" w:bidi="ar"/>
              </w:rPr>
              <w:t>。施工期每个生活营地设置1个移动厕所，下垫防渗层，生活污水排入移动厕所，采取密闭式吸污罐车定期拉运至市政污水处理厂进行处理，确保生活污水不外排。</w:t>
            </w:r>
          </w:p>
          <w:p w14:paraId="2C6690A9">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（2）压裂返排液：根据建设单位提供资料，单井压裂反排液产生量约为60m</w:t>
            </w:r>
            <w:r>
              <w:rPr>
                <w:rFonts w:ascii="Times New Roman" w:hAnsi="Times New Roman" w:eastAsia="宋体" w:cs="Times New Roman"/>
                <w:color w:val="auto"/>
                <w:sz w:val="24"/>
                <w:szCs w:val="24"/>
                <w:highlight w:val="none"/>
                <w:vertAlign w:val="superscript"/>
                <w:lang w:eastAsia="zh-CN" w:bidi="ar"/>
              </w:rPr>
              <w:t>3</w:t>
            </w:r>
            <w:r>
              <w:rPr>
                <w:rFonts w:ascii="Times New Roman" w:hAnsi="Times New Roman" w:eastAsia="宋体" w:cs="Times New Roman"/>
                <w:color w:val="auto"/>
                <w:sz w:val="24"/>
                <w:szCs w:val="24"/>
                <w:highlight w:val="none"/>
                <w:lang w:eastAsia="zh-CN" w:bidi="ar"/>
              </w:rPr>
              <w:t>/d，本项目两口井试油期均为300天，压裂反排液产生量为36000m</w:t>
            </w:r>
            <w:r>
              <w:rPr>
                <w:rFonts w:ascii="Times New Roman" w:hAnsi="Times New Roman" w:eastAsia="宋体" w:cs="Times New Roman"/>
                <w:color w:val="auto"/>
                <w:sz w:val="24"/>
                <w:szCs w:val="24"/>
                <w:highlight w:val="none"/>
                <w:vertAlign w:val="superscript"/>
                <w:lang w:eastAsia="zh-CN" w:bidi="ar"/>
              </w:rPr>
              <w:t>3</w:t>
            </w:r>
            <w:r>
              <w:rPr>
                <w:rFonts w:ascii="Times New Roman" w:hAnsi="Times New Roman" w:eastAsia="宋体" w:cs="Times New Roman"/>
                <w:color w:val="auto"/>
                <w:sz w:val="24"/>
                <w:szCs w:val="24"/>
                <w:highlight w:val="none"/>
                <w:lang w:eastAsia="zh-CN" w:bidi="ar"/>
              </w:rPr>
              <w:t>，产生的废压裂液经过康探001临时拉油站中转运至吉28脱水站处理后全部回注，不外排。</w:t>
            </w:r>
          </w:p>
          <w:p w14:paraId="75C87A62">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（3）洗井废水：项目洗井废水按照用水量的90%计算，本项目产生洗井废水150m</w:t>
            </w:r>
            <w:r>
              <w:rPr>
                <w:rFonts w:ascii="Times New Roman" w:hAnsi="Times New Roman" w:eastAsia="宋体" w:cs="Times New Roman"/>
                <w:color w:val="auto"/>
                <w:sz w:val="24"/>
                <w:szCs w:val="24"/>
                <w:highlight w:val="none"/>
                <w:vertAlign w:val="superscript"/>
                <w:lang w:eastAsia="zh-CN" w:bidi="ar"/>
              </w:rPr>
              <w:t>3</w:t>
            </w:r>
            <w:r>
              <w:rPr>
                <w:rFonts w:ascii="Times New Roman" w:hAnsi="Times New Roman" w:eastAsia="宋体" w:cs="Times New Roman"/>
                <w:color w:val="auto"/>
                <w:sz w:val="24"/>
                <w:szCs w:val="24"/>
                <w:highlight w:val="none"/>
                <w:lang w:eastAsia="zh-CN" w:bidi="ar"/>
              </w:rPr>
              <w:t>。井下作业过程中，作业单位自带回收罐回收作业废水，运至吉28脱水站污水处理系统处理达标后全部回注，不外排。</w:t>
            </w:r>
          </w:p>
          <w:p w14:paraId="270BFD63">
            <w:pPr>
              <w:widowControl w:val="0"/>
              <w:kinsoku/>
              <w:spacing w:line="500" w:lineRule="exact"/>
              <w:jc w:val="both"/>
              <w:rPr>
                <w:rFonts w:ascii="Times New Roman" w:hAnsi="Times New Roman" w:eastAsia="宋体" w:cs="Times New Roman"/>
                <w:b/>
                <w:bCs/>
                <w:color w:val="auto"/>
                <w:sz w:val="24"/>
                <w:szCs w:val="24"/>
                <w:highlight w:val="none"/>
                <w:lang w:eastAsia="zh-CN" w:bidi="ar"/>
              </w:rPr>
            </w:pPr>
            <w:r>
              <w:rPr>
                <w:rFonts w:ascii="Times New Roman" w:hAnsi="Times New Roman" w:eastAsia="宋体" w:cs="Times New Roman"/>
                <w:b/>
                <w:bCs/>
                <w:color w:val="auto"/>
                <w:sz w:val="24"/>
                <w:szCs w:val="24"/>
                <w:highlight w:val="none"/>
                <w:lang w:eastAsia="zh-CN" w:bidi="ar"/>
              </w:rPr>
              <w:t>9.3供暖</w:t>
            </w:r>
          </w:p>
          <w:p w14:paraId="12047524">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本项目钻井期在冬季，需对井口、泥浆罐、水罐、钻井平台通过管线进行保温，各井场新建1台2.5t/h的生物质蒸汽锅炉，以生物质成型颗粒为燃料，锅炉用水为经软化水制备装置处理后的软化水，运行过程的锅炉水循环使用不外排，软化水制备产生的浓水属于清净下水，用于道路洒水。每台锅炉补水量为3m</w:t>
            </w:r>
            <w:r>
              <w:rPr>
                <w:rFonts w:ascii="Times New Roman" w:hAnsi="Times New Roman" w:eastAsia="宋体" w:cs="Times New Roman"/>
                <w:color w:val="auto"/>
                <w:sz w:val="24"/>
                <w:szCs w:val="24"/>
                <w:highlight w:val="none"/>
                <w:vertAlign w:val="superscript"/>
                <w:lang w:eastAsia="zh-CN" w:bidi="ar"/>
              </w:rPr>
              <w:t>3</w:t>
            </w:r>
            <w:r>
              <w:rPr>
                <w:rFonts w:ascii="Times New Roman" w:hAnsi="Times New Roman" w:eastAsia="宋体" w:cs="Times New Roman"/>
                <w:color w:val="auto"/>
                <w:sz w:val="24"/>
                <w:szCs w:val="24"/>
                <w:highlight w:val="none"/>
                <w:lang w:eastAsia="zh-CN" w:bidi="ar"/>
              </w:rPr>
              <w:t>/d，2台锅炉为6m</w:t>
            </w:r>
            <w:r>
              <w:rPr>
                <w:rFonts w:ascii="Times New Roman" w:hAnsi="Times New Roman" w:eastAsia="宋体" w:cs="Times New Roman"/>
                <w:color w:val="auto"/>
                <w:sz w:val="24"/>
                <w:szCs w:val="24"/>
                <w:highlight w:val="none"/>
                <w:vertAlign w:val="superscript"/>
                <w:lang w:eastAsia="zh-CN" w:bidi="ar"/>
              </w:rPr>
              <w:t>3</w:t>
            </w:r>
            <w:r>
              <w:rPr>
                <w:rFonts w:ascii="Times New Roman" w:hAnsi="Times New Roman" w:eastAsia="宋体" w:cs="Times New Roman"/>
                <w:color w:val="auto"/>
                <w:sz w:val="24"/>
                <w:szCs w:val="24"/>
                <w:highlight w:val="none"/>
                <w:lang w:eastAsia="zh-CN" w:bidi="ar"/>
              </w:rPr>
              <w:t>/d，按最不利影响下，本项目需供暖60d，共需软化水360m</w:t>
            </w:r>
            <w:r>
              <w:rPr>
                <w:rFonts w:ascii="Times New Roman" w:hAnsi="Times New Roman" w:eastAsia="宋体" w:cs="Times New Roman"/>
                <w:color w:val="auto"/>
                <w:sz w:val="24"/>
                <w:szCs w:val="24"/>
                <w:highlight w:val="none"/>
                <w:vertAlign w:val="superscript"/>
                <w:lang w:eastAsia="zh-CN" w:bidi="ar"/>
              </w:rPr>
              <w:t>3</w:t>
            </w:r>
            <w:r>
              <w:rPr>
                <w:rFonts w:ascii="Times New Roman" w:hAnsi="Times New Roman" w:eastAsia="宋体" w:cs="Times New Roman"/>
                <w:color w:val="auto"/>
                <w:sz w:val="24"/>
                <w:szCs w:val="24"/>
                <w:highlight w:val="none"/>
                <w:lang w:eastAsia="zh-CN" w:bidi="ar"/>
              </w:rPr>
              <w:t>，</w:t>
            </w:r>
            <w:r>
              <w:rPr>
                <w:rFonts w:ascii="Times New Roman" w:hAnsi="Times New Roman" w:eastAsia="宋体" w:cs="Times New Roman"/>
                <w:color w:val="auto"/>
                <w:spacing w:val="-1"/>
                <w:sz w:val="24"/>
                <w:szCs w:val="24"/>
                <w:highlight w:val="none"/>
                <w:lang w:eastAsia="zh-CN"/>
              </w:rPr>
              <w:t>软水制备效率按75%计算，共需新鲜水480</w:t>
            </w:r>
            <w:r>
              <w:rPr>
                <w:rFonts w:ascii="Times New Roman" w:hAnsi="Times New Roman" w:eastAsia="宋体" w:cs="Times New Roman"/>
                <w:color w:val="auto"/>
                <w:sz w:val="24"/>
                <w:szCs w:val="24"/>
                <w:highlight w:val="none"/>
                <w:lang w:eastAsia="zh-CN" w:bidi="ar"/>
              </w:rPr>
              <w:t>m</w:t>
            </w:r>
            <w:r>
              <w:rPr>
                <w:rFonts w:ascii="Times New Roman" w:hAnsi="Times New Roman" w:eastAsia="宋体" w:cs="Times New Roman"/>
                <w:color w:val="auto"/>
                <w:sz w:val="24"/>
                <w:szCs w:val="24"/>
                <w:highlight w:val="none"/>
                <w:vertAlign w:val="superscript"/>
                <w:lang w:eastAsia="zh-CN" w:bidi="ar"/>
              </w:rPr>
              <w:t>3</w:t>
            </w:r>
            <w:r>
              <w:rPr>
                <w:rFonts w:ascii="Times New Roman" w:hAnsi="Times New Roman" w:eastAsia="宋体" w:cs="Times New Roman"/>
                <w:color w:val="auto"/>
                <w:sz w:val="24"/>
                <w:szCs w:val="24"/>
                <w:highlight w:val="none"/>
                <w:lang w:eastAsia="zh-CN" w:bidi="ar"/>
              </w:rPr>
              <w:t>。</w:t>
            </w:r>
          </w:p>
          <w:p w14:paraId="500EA611">
            <w:pPr>
              <w:pStyle w:val="22"/>
              <w:widowControl w:val="0"/>
              <w:kinsoku/>
              <w:spacing w:before="179" w:line="219" w:lineRule="auto"/>
              <w:ind w:left="484"/>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综上所述，本项目水平衡见表2-14。</w:t>
            </w:r>
          </w:p>
          <w:p w14:paraId="5D05B8A9">
            <w:pPr>
              <w:widowControl w:val="0"/>
              <w:kinsoku/>
              <w:spacing w:line="5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表2-14 项目水平衡一览表 单位：m</w:t>
            </w:r>
            <w:r>
              <w:rPr>
                <w:rFonts w:ascii="Times New Roman" w:hAnsi="Times New Roman" w:eastAsia="宋体" w:cs="Times New Roman"/>
                <w:b/>
                <w:bCs/>
                <w:color w:val="auto"/>
                <w:highlight w:val="none"/>
                <w:vertAlign w:val="superscript"/>
                <w:lang w:eastAsia="zh-CN"/>
              </w:rPr>
              <w:t>3</w:t>
            </w:r>
          </w:p>
          <w:tbl>
            <w:tblPr>
              <w:tblStyle w:val="21"/>
              <w:tblW w:w="81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12"/>
              <w:gridCol w:w="1229"/>
              <w:gridCol w:w="1478"/>
              <w:gridCol w:w="1507"/>
              <w:gridCol w:w="2204"/>
            </w:tblGrid>
            <w:tr w14:paraId="68C24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2" w:type="dxa"/>
                  <w:tcBorders>
                    <w:left w:val="single" w:color="000000" w:sz="2" w:space="0"/>
                  </w:tcBorders>
                  <w:vAlign w:val="center"/>
                </w:tcPr>
                <w:p w14:paraId="3F8A071B">
                  <w:pPr>
                    <w:pStyle w:val="22"/>
                    <w:kinsoku/>
                    <w:spacing w:before="29" w:line="220" w:lineRule="auto"/>
                    <w:jc w:val="center"/>
                    <w:rPr>
                      <w:rFonts w:ascii="Times New Roman" w:hAnsi="Times New Roman" w:cs="Times New Roman"/>
                      <w:color w:val="auto"/>
                      <w:sz w:val="21"/>
                      <w:szCs w:val="21"/>
                      <w:highlight w:val="none"/>
                      <w:lang w:eastAsia="zh-CN"/>
                    </w:rPr>
                  </w:pPr>
                  <w:r>
                    <w:rPr>
                      <w:rFonts w:ascii="Times New Roman" w:hAnsi="Times New Roman" w:cs="Times New Roman"/>
                      <w:b/>
                      <w:bCs/>
                      <w:color w:val="auto"/>
                      <w:spacing w:val="2"/>
                      <w:sz w:val="21"/>
                      <w:szCs w:val="21"/>
                      <w:highlight w:val="none"/>
                      <w:lang w:eastAsia="zh-CN"/>
                    </w:rPr>
                    <w:t>项目</w:t>
                  </w:r>
                </w:p>
              </w:tc>
              <w:tc>
                <w:tcPr>
                  <w:tcW w:w="1229" w:type="dxa"/>
                  <w:vAlign w:val="center"/>
                </w:tcPr>
                <w:p w14:paraId="2D3F7D3D">
                  <w:pPr>
                    <w:pStyle w:val="22"/>
                    <w:kinsoku/>
                    <w:spacing w:before="29" w:line="220" w:lineRule="auto"/>
                    <w:jc w:val="center"/>
                    <w:rPr>
                      <w:rFonts w:ascii="Times New Roman" w:hAnsi="Times New Roman" w:cs="Times New Roman"/>
                      <w:color w:val="auto"/>
                      <w:sz w:val="21"/>
                      <w:szCs w:val="21"/>
                      <w:highlight w:val="none"/>
                      <w:lang w:eastAsia="zh-CN"/>
                    </w:rPr>
                  </w:pPr>
                  <w:r>
                    <w:rPr>
                      <w:rFonts w:ascii="Times New Roman" w:hAnsi="Times New Roman" w:cs="Times New Roman"/>
                      <w:b/>
                      <w:bCs/>
                      <w:color w:val="auto"/>
                      <w:spacing w:val="5"/>
                      <w:sz w:val="21"/>
                      <w:szCs w:val="21"/>
                      <w:highlight w:val="none"/>
                      <w:lang w:eastAsia="zh-CN"/>
                    </w:rPr>
                    <w:t>新鲜水</w:t>
                  </w:r>
                </w:p>
              </w:tc>
              <w:tc>
                <w:tcPr>
                  <w:tcW w:w="1478" w:type="dxa"/>
                  <w:vAlign w:val="center"/>
                </w:tcPr>
                <w:p w14:paraId="77B44C3F">
                  <w:pPr>
                    <w:pStyle w:val="22"/>
                    <w:kinsoku/>
                    <w:spacing w:before="29" w:line="220" w:lineRule="auto"/>
                    <w:jc w:val="center"/>
                    <w:rPr>
                      <w:rFonts w:ascii="Times New Roman" w:hAnsi="Times New Roman" w:cs="Times New Roman"/>
                      <w:color w:val="auto"/>
                      <w:sz w:val="21"/>
                      <w:szCs w:val="21"/>
                      <w:highlight w:val="none"/>
                      <w:lang w:eastAsia="zh-CN"/>
                    </w:rPr>
                  </w:pPr>
                  <w:r>
                    <w:rPr>
                      <w:rFonts w:ascii="Times New Roman" w:hAnsi="Times New Roman" w:cs="Times New Roman"/>
                      <w:b/>
                      <w:bCs/>
                      <w:color w:val="auto"/>
                      <w:spacing w:val="5"/>
                      <w:sz w:val="21"/>
                      <w:szCs w:val="21"/>
                      <w:highlight w:val="none"/>
                      <w:lang w:eastAsia="zh-CN"/>
                    </w:rPr>
                    <w:t>损失量</w:t>
                  </w:r>
                </w:p>
              </w:tc>
              <w:tc>
                <w:tcPr>
                  <w:tcW w:w="1507" w:type="dxa"/>
                  <w:vAlign w:val="center"/>
                </w:tcPr>
                <w:p w14:paraId="5ADE0AD7">
                  <w:pPr>
                    <w:pStyle w:val="22"/>
                    <w:kinsoku/>
                    <w:spacing w:before="29" w:line="220" w:lineRule="auto"/>
                    <w:jc w:val="center"/>
                    <w:rPr>
                      <w:rFonts w:ascii="Times New Roman" w:hAnsi="Times New Roman" w:cs="Times New Roman"/>
                      <w:color w:val="auto"/>
                      <w:sz w:val="21"/>
                      <w:szCs w:val="21"/>
                      <w:highlight w:val="none"/>
                      <w:lang w:eastAsia="zh-CN"/>
                    </w:rPr>
                  </w:pPr>
                  <w:r>
                    <w:rPr>
                      <w:rFonts w:ascii="Times New Roman" w:hAnsi="Times New Roman" w:cs="Times New Roman"/>
                      <w:b/>
                      <w:bCs/>
                      <w:color w:val="auto"/>
                      <w:spacing w:val="5"/>
                      <w:sz w:val="21"/>
                      <w:szCs w:val="21"/>
                      <w:highlight w:val="none"/>
                      <w:lang w:eastAsia="zh-CN"/>
                    </w:rPr>
                    <w:t>废水量</w:t>
                  </w:r>
                </w:p>
              </w:tc>
              <w:tc>
                <w:tcPr>
                  <w:tcW w:w="2204" w:type="dxa"/>
                  <w:vAlign w:val="center"/>
                </w:tcPr>
                <w:p w14:paraId="1352C0FC">
                  <w:pPr>
                    <w:pStyle w:val="22"/>
                    <w:kinsoku/>
                    <w:spacing w:before="29" w:line="220" w:lineRule="auto"/>
                    <w:jc w:val="center"/>
                    <w:rPr>
                      <w:rFonts w:ascii="Times New Roman" w:hAnsi="Times New Roman" w:cs="Times New Roman"/>
                      <w:b/>
                      <w:bCs/>
                      <w:color w:val="auto"/>
                      <w:spacing w:val="5"/>
                      <w:sz w:val="21"/>
                      <w:szCs w:val="21"/>
                      <w:highlight w:val="none"/>
                      <w:lang w:eastAsia="zh-CN"/>
                    </w:rPr>
                  </w:pPr>
                  <w:r>
                    <w:rPr>
                      <w:rFonts w:ascii="Times New Roman" w:hAnsi="Times New Roman" w:cs="Times New Roman"/>
                      <w:b/>
                      <w:bCs/>
                      <w:color w:val="auto"/>
                      <w:spacing w:val="5"/>
                      <w:sz w:val="21"/>
                      <w:szCs w:val="21"/>
                      <w:highlight w:val="none"/>
                      <w:lang w:eastAsia="zh-CN"/>
                    </w:rPr>
                    <w:t>备注</w:t>
                  </w:r>
                </w:p>
              </w:tc>
            </w:tr>
            <w:tr w14:paraId="1AF76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712" w:type="dxa"/>
                  <w:tcBorders>
                    <w:left w:val="single" w:color="000000" w:sz="2" w:space="0"/>
                  </w:tcBorders>
                  <w:vAlign w:val="center"/>
                </w:tcPr>
                <w:p w14:paraId="000778DC">
                  <w:pPr>
                    <w:pStyle w:val="22"/>
                    <w:kinsoku/>
                    <w:spacing w:before="29" w:line="219"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钻井液配比用水</w:t>
                  </w:r>
                </w:p>
              </w:tc>
              <w:tc>
                <w:tcPr>
                  <w:tcW w:w="1229" w:type="dxa"/>
                  <w:vAlign w:val="center"/>
                </w:tcPr>
                <w:p w14:paraId="39B4529C">
                  <w:pPr>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1000</w:t>
                  </w:r>
                </w:p>
              </w:tc>
              <w:tc>
                <w:tcPr>
                  <w:tcW w:w="1478" w:type="dxa"/>
                  <w:vAlign w:val="center"/>
                </w:tcPr>
                <w:p w14:paraId="55D1F779">
                  <w:pPr>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bidi="ar"/>
                    </w:rPr>
                    <w:t>50</w:t>
                  </w:r>
                </w:p>
              </w:tc>
              <w:tc>
                <w:tcPr>
                  <w:tcW w:w="1507" w:type="dxa"/>
                  <w:vAlign w:val="center"/>
                </w:tcPr>
                <w:p w14:paraId="730FCB66">
                  <w:pPr>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bidi="ar"/>
                    </w:rPr>
                    <w:t>950</w:t>
                  </w:r>
                </w:p>
              </w:tc>
              <w:tc>
                <w:tcPr>
                  <w:tcW w:w="2204" w:type="dxa"/>
                  <w:vAlign w:val="center"/>
                </w:tcPr>
                <w:p w14:paraId="3FFAFE38">
                  <w:pPr>
                    <w:kinsoku/>
                    <w:spacing w:before="65" w:line="195" w:lineRule="auto"/>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spacing w:val="7"/>
                      <w:sz w:val="21"/>
                      <w:szCs w:val="21"/>
                      <w:highlight w:val="none"/>
                      <w:lang w:val="en-US" w:eastAsia="zh-CN"/>
                    </w:rPr>
                    <w:t>循环利用，</w:t>
                  </w:r>
                  <w:r>
                    <w:rPr>
                      <w:rFonts w:ascii="Times New Roman" w:hAnsi="Times New Roman" w:eastAsia="宋体" w:cs="Times New Roman"/>
                      <w:color w:val="auto"/>
                      <w:spacing w:val="7"/>
                      <w:sz w:val="21"/>
                      <w:szCs w:val="21"/>
                      <w:highlight w:val="none"/>
                      <w:lang w:eastAsia="zh-CN"/>
                    </w:rPr>
                    <w:t>无法回用</w:t>
                  </w:r>
                  <w:r>
                    <w:rPr>
                      <w:rFonts w:hint="eastAsia" w:ascii="Times New Roman" w:hAnsi="Times New Roman" w:eastAsia="宋体" w:cs="Times New Roman"/>
                      <w:color w:val="auto"/>
                      <w:spacing w:val="7"/>
                      <w:sz w:val="21"/>
                      <w:szCs w:val="21"/>
                      <w:highlight w:val="none"/>
                      <w:lang w:val="en-US" w:eastAsia="zh-CN"/>
                    </w:rPr>
                    <w:t>的由第三方有资质单位处置</w:t>
                  </w:r>
                </w:p>
              </w:tc>
            </w:tr>
            <w:tr w14:paraId="74F47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712" w:type="dxa"/>
                  <w:tcBorders>
                    <w:left w:val="single" w:color="000000" w:sz="2" w:space="0"/>
                  </w:tcBorders>
                  <w:vAlign w:val="center"/>
                </w:tcPr>
                <w:p w14:paraId="216C3538">
                  <w:pPr>
                    <w:pStyle w:val="22"/>
                    <w:kinsoku/>
                    <w:spacing w:before="29" w:line="219" w:lineRule="auto"/>
                    <w:jc w:val="center"/>
                    <w:rPr>
                      <w:rFonts w:ascii="Times New Roman" w:hAnsi="Times New Roman" w:cs="Times New Roman"/>
                      <w:color w:val="auto"/>
                      <w:spacing w:val="7"/>
                      <w:sz w:val="21"/>
                      <w:szCs w:val="21"/>
                      <w:highlight w:val="none"/>
                      <w:lang w:eastAsia="zh-CN"/>
                    </w:rPr>
                  </w:pPr>
                  <w:r>
                    <w:rPr>
                      <w:rFonts w:ascii="Times New Roman" w:hAnsi="Times New Roman" w:cs="Times New Roman"/>
                      <w:color w:val="auto"/>
                      <w:spacing w:val="7"/>
                      <w:sz w:val="21"/>
                      <w:szCs w:val="21"/>
                      <w:highlight w:val="none"/>
                      <w:lang w:eastAsia="zh-CN"/>
                    </w:rPr>
                    <w:t>压裂液配比用水</w:t>
                  </w:r>
                </w:p>
              </w:tc>
              <w:tc>
                <w:tcPr>
                  <w:tcW w:w="1229" w:type="dxa"/>
                  <w:vAlign w:val="center"/>
                </w:tcPr>
                <w:p w14:paraId="4F42639C">
                  <w:pPr>
                    <w:jc w:val="center"/>
                    <w:textAlignment w:val="center"/>
                    <w:rPr>
                      <w:rFonts w:ascii="Times New Roman" w:hAnsi="Times New Roman" w:eastAsia="宋体" w:cs="Times New Roman"/>
                      <w:color w:val="auto"/>
                      <w:spacing w:val="-1"/>
                      <w:highlight w:val="none"/>
                      <w:lang w:eastAsia="zh-CN"/>
                    </w:rPr>
                  </w:pPr>
                  <w:r>
                    <w:rPr>
                      <w:rFonts w:ascii="Times New Roman" w:hAnsi="Times New Roman" w:eastAsia="宋体" w:cs="Times New Roman"/>
                      <w:color w:val="auto"/>
                      <w:highlight w:val="none"/>
                      <w:lang w:eastAsia="zh-CN" w:bidi="ar"/>
                    </w:rPr>
                    <w:t>70000</w:t>
                  </w:r>
                </w:p>
              </w:tc>
              <w:tc>
                <w:tcPr>
                  <w:tcW w:w="1478" w:type="dxa"/>
                  <w:vAlign w:val="center"/>
                </w:tcPr>
                <w:p w14:paraId="40F42F57">
                  <w:pPr>
                    <w:jc w:val="center"/>
                    <w:textAlignment w:val="center"/>
                    <w:rPr>
                      <w:rFonts w:ascii="Times New Roman" w:hAnsi="Times New Roman" w:eastAsia="宋体" w:cs="Times New Roman"/>
                      <w:color w:val="auto"/>
                      <w:spacing w:val="3"/>
                      <w:highlight w:val="none"/>
                      <w:lang w:eastAsia="zh-CN"/>
                    </w:rPr>
                  </w:pPr>
                  <w:r>
                    <w:rPr>
                      <w:rFonts w:ascii="Times New Roman" w:hAnsi="Times New Roman" w:eastAsia="宋体" w:cs="Times New Roman"/>
                      <w:color w:val="auto"/>
                      <w:highlight w:val="none"/>
                      <w:lang w:eastAsia="zh-CN" w:bidi="ar"/>
                    </w:rPr>
                    <w:t>34000</w:t>
                  </w:r>
                </w:p>
              </w:tc>
              <w:tc>
                <w:tcPr>
                  <w:tcW w:w="1507" w:type="dxa"/>
                  <w:vAlign w:val="center"/>
                </w:tcPr>
                <w:p w14:paraId="72C8E402">
                  <w:pPr>
                    <w:jc w:val="center"/>
                    <w:textAlignment w:val="center"/>
                    <w:rPr>
                      <w:rFonts w:ascii="Times New Roman" w:hAnsi="Times New Roman" w:eastAsia="宋体" w:cs="Times New Roman"/>
                      <w:color w:val="auto"/>
                      <w:spacing w:val="3"/>
                      <w:highlight w:val="none"/>
                      <w:lang w:eastAsia="zh-CN"/>
                    </w:rPr>
                  </w:pPr>
                  <w:r>
                    <w:rPr>
                      <w:rFonts w:ascii="Times New Roman" w:hAnsi="Times New Roman" w:eastAsia="宋体" w:cs="Times New Roman"/>
                      <w:color w:val="auto"/>
                      <w:highlight w:val="none"/>
                      <w:lang w:eastAsia="zh-CN" w:bidi="ar"/>
                    </w:rPr>
                    <w:t>36000</w:t>
                  </w:r>
                </w:p>
              </w:tc>
              <w:tc>
                <w:tcPr>
                  <w:tcW w:w="2204" w:type="dxa"/>
                  <w:vMerge w:val="restart"/>
                  <w:vAlign w:val="center"/>
                </w:tcPr>
                <w:p w14:paraId="1FE024E7">
                  <w:pPr>
                    <w:kinsoku/>
                    <w:spacing w:before="65" w:line="195" w:lineRule="auto"/>
                    <w:jc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吉28脱水站处理达标后回注</w:t>
                  </w:r>
                </w:p>
              </w:tc>
            </w:tr>
            <w:tr w14:paraId="4DFCC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2" w:type="dxa"/>
                  <w:tcBorders>
                    <w:left w:val="single" w:color="000000" w:sz="2" w:space="0"/>
                  </w:tcBorders>
                  <w:vAlign w:val="center"/>
                </w:tcPr>
                <w:p w14:paraId="614409F2">
                  <w:pPr>
                    <w:pStyle w:val="22"/>
                    <w:kinsoku/>
                    <w:spacing w:before="29" w:line="219" w:lineRule="auto"/>
                    <w:jc w:val="center"/>
                    <w:rPr>
                      <w:rFonts w:ascii="Times New Roman" w:hAnsi="Times New Roman" w:cs="Times New Roman"/>
                      <w:color w:val="auto"/>
                      <w:spacing w:val="7"/>
                      <w:sz w:val="21"/>
                      <w:szCs w:val="21"/>
                      <w:highlight w:val="none"/>
                      <w:lang w:eastAsia="zh-CN"/>
                    </w:rPr>
                  </w:pPr>
                  <w:r>
                    <w:rPr>
                      <w:rFonts w:ascii="Times New Roman" w:hAnsi="Times New Roman" w:cs="Times New Roman"/>
                      <w:color w:val="auto"/>
                      <w:spacing w:val="7"/>
                      <w:sz w:val="21"/>
                      <w:szCs w:val="21"/>
                      <w:highlight w:val="none"/>
                      <w:lang w:eastAsia="zh-CN"/>
                    </w:rPr>
                    <w:t>洗井用水</w:t>
                  </w:r>
                </w:p>
              </w:tc>
              <w:tc>
                <w:tcPr>
                  <w:tcW w:w="1229" w:type="dxa"/>
                  <w:vAlign w:val="center"/>
                </w:tcPr>
                <w:p w14:paraId="0A3E6B26">
                  <w:pPr>
                    <w:jc w:val="center"/>
                    <w:textAlignment w:val="center"/>
                    <w:rPr>
                      <w:rFonts w:ascii="Times New Roman" w:hAnsi="Times New Roman" w:eastAsia="宋体" w:cs="Times New Roman"/>
                      <w:color w:val="auto"/>
                      <w:spacing w:val="-1"/>
                      <w:highlight w:val="none"/>
                      <w:lang w:eastAsia="zh-CN"/>
                    </w:rPr>
                  </w:pPr>
                  <w:r>
                    <w:rPr>
                      <w:rFonts w:ascii="Times New Roman" w:hAnsi="Times New Roman" w:eastAsia="宋体" w:cs="Times New Roman"/>
                      <w:color w:val="auto"/>
                      <w:highlight w:val="none"/>
                      <w:lang w:eastAsia="zh-CN" w:bidi="ar"/>
                    </w:rPr>
                    <w:t>166.67</w:t>
                  </w:r>
                </w:p>
              </w:tc>
              <w:tc>
                <w:tcPr>
                  <w:tcW w:w="1478" w:type="dxa"/>
                  <w:vAlign w:val="center"/>
                </w:tcPr>
                <w:p w14:paraId="17A1494E">
                  <w:pPr>
                    <w:jc w:val="center"/>
                    <w:textAlignment w:val="center"/>
                    <w:rPr>
                      <w:rFonts w:ascii="Times New Roman" w:hAnsi="Times New Roman" w:eastAsia="宋体" w:cs="Times New Roman"/>
                      <w:color w:val="auto"/>
                      <w:spacing w:val="3"/>
                      <w:highlight w:val="none"/>
                      <w:lang w:eastAsia="zh-CN"/>
                    </w:rPr>
                  </w:pPr>
                  <w:r>
                    <w:rPr>
                      <w:rFonts w:ascii="Times New Roman" w:hAnsi="Times New Roman" w:eastAsia="宋体" w:cs="Times New Roman"/>
                      <w:color w:val="auto"/>
                      <w:highlight w:val="none"/>
                      <w:lang w:eastAsia="zh-CN" w:bidi="ar"/>
                    </w:rPr>
                    <w:t>16.67</w:t>
                  </w:r>
                </w:p>
              </w:tc>
              <w:tc>
                <w:tcPr>
                  <w:tcW w:w="1507" w:type="dxa"/>
                  <w:vAlign w:val="center"/>
                </w:tcPr>
                <w:p w14:paraId="2185E72A">
                  <w:pPr>
                    <w:jc w:val="center"/>
                    <w:textAlignment w:val="center"/>
                    <w:rPr>
                      <w:rFonts w:ascii="Times New Roman" w:hAnsi="Times New Roman" w:eastAsia="宋体" w:cs="Times New Roman"/>
                      <w:color w:val="auto"/>
                      <w:spacing w:val="3"/>
                      <w:highlight w:val="none"/>
                      <w:lang w:eastAsia="zh-CN"/>
                    </w:rPr>
                  </w:pPr>
                  <w:r>
                    <w:rPr>
                      <w:rFonts w:ascii="Times New Roman" w:hAnsi="Times New Roman" w:eastAsia="宋体" w:cs="Times New Roman"/>
                      <w:color w:val="auto"/>
                      <w:highlight w:val="none"/>
                      <w:lang w:eastAsia="zh-CN" w:bidi="ar"/>
                    </w:rPr>
                    <w:t>150</w:t>
                  </w:r>
                </w:p>
              </w:tc>
              <w:tc>
                <w:tcPr>
                  <w:tcW w:w="2204" w:type="dxa"/>
                  <w:vMerge w:val="continue"/>
                  <w:vAlign w:val="center"/>
                </w:tcPr>
                <w:p w14:paraId="29020815">
                  <w:pPr>
                    <w:kinsoku/>
                    <w:spacing w:before="65" w:line="195" w:lineRule="auto"/>
                    <w:jc w:val="center"/>
                    <w:rPr>
                      <w:rFonts w:ascii="Times New Roman" w:hAnsi="Times New Roman" w:eastAsia="宋体" w:cs="Times New Roman"/>
                      <w:color w:val="auto"/>
                      <w:highlight w:val="none"/>
                      <w:lang w:eastAsia="zh-CN" w:bidi="ar"/>
                    </w:rPr>
                  </w:pPr>
                </w:p>
              </w:tc>
            </w:tr>
            <w:tr w14:paraId="0B523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712" w:type="dxa"/>
                  <w:tcBorders>
                    <w:left w:val="single" w:color="000000" w:sz="2" w:space="0"/>
                  </w:tcBorders>
                  <w:vAlign w:val="center"/>
                </w:tcPr>
                <w:p w14:paraId="768E6333">
                  <w:pPr>
                    <w:pStyle w:val="22"/>
                    <w:kinsoku/>
                    <w:spacing w:before="28" w:line="220"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生活用水</w:t>
                  </w:r>
                </w:p>
              </w:tc>
              <w:tc>
                <w:tcPr>
                  <w:tcW w:w="1229" w:type="dxa"/>
                  <w:vAlign w:val="center"/>
                </w:tcPr>
                <w:p w14:paraId="4F808E64">
                  <w:pPr>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432</w:t>
                  </w:r>
                </w:p>
              </w:tc>
              <w:tc>
                <w:tcPr>
                  <w:tcW w:w="1478" w:type="dxa"/>
                  <w:vAlign w:val="center"/>
                </w:tcPr>
                <w:p w14:paraId="11E37DB4">
                  <w:pPr>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86.4</w:t>
                  </w:r>
                </w:p>
              </w:tc>
              <w:tc>
                <w:tcPr>
                  <w:tcW w:w="1507" w:type="dxa"/>
                  <w:vAlign w:val="center"/>
                </w:tcPr>
                <w:p w14:paraId="5F5A2107">
                  <w:pPr>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345.6</w:t>
                  </w:r>
                </w:p>
              </w:tc>
              <w:tc>
                <w:tcPr>
                  <w:tcW w:w="2204" w:type="dxa"/>
                  <w:vAlign w:val="center"/>
                </w:tcPr>
                <w:p w14:paraId="1FB2040E">
                  <w:pPr>
                    <w:kinsoku/>
                    <w:spacing w:before="64"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运至市政污水处理厂处理</w:t>
                  </w:r>
                </w:p>
              </w:tc>
            </w:tr>
            <w:tr w14:paraId="1265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712" w:type="dxa"/>
                  <w:tcBorders>
                    <w:left w:val="single" w:color="000000" w:sz="2" w:space="0"/>
                  </w:tcBorders>
                  <w:vAlign w:val="center"/>
                </w:tcPr>
                <w:p w14:paraId="6D69C725">
                  <w:pPr>
                    <w:pStyle w:val="22"/>
                    <w:kinsoku/>
                    <w:spacing w:before="28" w:line="220" w:lineRule="auto"/>
                    <w:jc w:val="center"/>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锅炉用水</w:t>
                  </w:r>
                </w:p>
              </w:tc>
              <w:tc>
                <w:tcPr>
                  <w:tcW w:w="1229" w:type="dxa"/>
                  <w:vAlign w:val="center"/>
                </w:tcPr>
                <w:p w14:paraId="0E09D4EC">
                  <w:pPr>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480</w:t>
                  </w:r>
                </w:p>
              </w:tc>
              <w:tc>
                <w:tcPr>
                  <w:tcW w:w="1478" w:type="dxa"/>
                  <w:vAlign w:val="center"/>
                </w:tcPr>
                <w:p w14:paraId="2A3A2C97">
                  <w:pPr>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360</w:t>
                  </w:r>
                </w:p>
              </w:tc>
              <w:tc>
                <w:tcPr>
                  <w:tcW w:w="1507" w:type="dxa"/>
                  <w:vAlign w:val="center"/>
                </w:tcPr>
                <w:p w14:paraId="14CD61F1">
                  <w:pPr>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120</w:t>
                  </w:r>
                </w:p>
              </w:tc>
              <w:tc>
                <w:tcPr>
                  <w:tcW w:w="2204" w:type="dxa"/>
                  <w:vAlign w:val="center"/>
                </w:tcPr>
                <w:p w14:paraId="26332029">
                  <w:pPr>
                    <w:kinsoku/>
                    <w:spacing w:before="64"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清净下水，用于道路洒水</w:t>
                  </w:r>
                </w:p>
              </w:tc>
            </w:tr>
            <w:tr w14:paraId="430C5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712" w:type="dxa"/>
                  <w:tcBorders>
                    <w:left w:val="single" w:color="000000" w:sz="2" w:space="0"/>
                  </w:tcBorders>
                  <w:vAlign w:val="center"/>
                </w:tcPr>
                <w:p w14:paraId="5E0ED4E9">
                  <w:pPr>
                    <w:pStyle w:val="22"/>
                    <w:kinsoku/>
                    <w:spacing w:before="29" w:line="220"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4"/>
                      <w:sz w:val="21"/>
                      <w:szCs w:val="21"/>
                      <w:highlight w:val="none"/>
                      <w:lang w:eastAsia="zh-CN"/>
                    </w:rPr>
                    <w:t>合计</w:t>
                  </w:r>
                </w:p>
              </w:tc>
              <w:tc>
                <w:tcPr>
                  <w:tcW w:w="1229" w:type="dxa"/>
                  <w:vAlign w:val="center"/>
                </w:tcPr>
                <w:p w14:paraId="7A0ACACE">
                  <w:pPr>
                    <w:jc w:val="center"/>
                    <w:textAlignment w:val="center"/>
                    <w:rPr>
                      <w:rFonts w:ascii="Times New Roman" w:hAnsi="Times New Roman" w:eastAsia="宋体" w:cs="Times New Roman"/>
                      <w:color w:val="auto"/>
                      <w:highlight w:val="none"/>
                      <w:lang w:eastAsia="zh-CN" w:bidi="ar"/>
                    </w:rPr>
                  </w:pPr>
                  <w:r>
                    <w:rPr>
                      <w:rFonts w:ascii="Times New Roman" w:hAnsi="Times New Roman" w:cs="Times New Roman"/>
                      <w:color w:val="auto"/>
                      <w:highlight w:val="none"/>
                    </w:rPr>
                    <w:t>72078.67</w:t>
                  </w:r>
                </w:p>
              </w:tc>
              <w:tc>
                <w:tcPr>
                  <w:tcW w:w="1478" w:type="dxa"/>
                  <w:shd w:val="clear" w:color="auto" w:fill="auto"/>
                  <w:vAlign w:val="center"/>
                </w:tcPr>
                <w:p w14:paraId="0B132AB7">
                  <w:pPr>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34513.07</w:t>
                  </w:r>
                </w:p>
              </w:tc>
              <w:tc>
                <w:tcPr>
                  <w:tcW w:w="1507" w:type="dxa"/>
                  <w:shd w:val="clear" w:color="auto" w:fill="auto"/>
                  <w:vAlign w:val="center"/>
                </w:tcPr>
                <w:p w14:paraId="795A54EA">
                  <w:pPr>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37565.6</w:t>
                  </w:r>
                </w:p>
              </w:tc>
              <w:tc>
                <w:tcPr>
                  <w:tcW w:w="2204" w:type="dxa"/>
                  <w:vAlign w:val="center"/>
                </w:tcPr>
                <w:p w14:paraId="19789C2E">
                  <w:pPr>
                    <w:kinsoku/>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highlight w:val="none"/>
                      <w:lang w:eastAsia="zh-CN" w:bidi="ar"/>
                    </w:rPr>
                    <w:t>/</w:t>
                  </w:r>
                </w:p>
              </w:tc>
            </w:tr>
          </w:tbl>
          <w:p w14:paraId="4C890A1A">
            <w:pPr>
              <w:pStyle w:val="22"/>
              <w:widowControl w:val="0"/>
              <w:kinsoku/>
              <w:spacing w:before="34" w:line="219" w:lineRule="auto"/>
              <w:ind w:left="519"/>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项目水平衡图见图2-3。</w:t>
            </w:r>
          </w:p>
          <w:p w14:paraId="40557883">
            <w:pPr>
              <w:pStyle w:val="22"/>
              <w:widowControl w:val="0"/>
              <w:kinsoku/>
              <w:spacing w:before="161"/>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z w:val="21"/>
                <w:szCs w:val="21"/>
                <w:lang w:eastAsia="zh-CN"/>
              </w:rPr>
              <w:drawing>
                <wp:inline distT="0" distB="0" distL="114300" distR="114300">
                  <wp:extent cx="5067935" cy="4465320"/>
                  <wp:effectExtent l="0" t="0" r="18415" b="11430"/>
                  <wp:docPr id="7" name="F360BE8B-6686-4F3D-AEAF-501FE73E4058-1" descr="C:/Users/2025.1/AppData/Local/Temp/绘图1(10).png绘图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60BE8B-6686-4F3D-AEAF-501FE73E4058-1" descr="C:/Users/2025.1/AppData/Local/Temp/绘图1(10).png绘图1(10)"/>
                          <pic:cNvPicPr>
                            <a:picLocks noChangeAspect="1"/>
                          </pic:cNvPicPr>
                        </pic:nvPicPr>
                        <pic:blipFill>
                          <a:blip r:embed="rId12"/>
                          <a:stretch>
                            <a:fillRect/>
                          </a:stretch>
                        </pic:blipFill>
                        <pic:spPr>
                          <a:xfrm>
                            <a:off x="0" y="0"/>
                            <a:ext cx="5067935" cy="4465320"/>
                          </a:xfrm>
                          <a:prstGeom prst="rect">
                            <a:avLst/>
                          </a:prstGeom>
                        </pic:spPr>
                      </pic:pic>
                    </a:graphicData>
                  </a:graphic>
                </wp:inline>
              </w:drawing>
            </w:r>
          </w:p>
          <w:p w14:paraId="29FD171A">
            <w:pPr>
              <w:pStyle w:val="22"/>
              <w:widowControl w:val="0"/>
              <w:kinsoku/>
              <w:spacing w:before="161"/>
              <w:jc w:val="center"/>
              <w:rPr>
                <w:rFonts w:ascii="Times New Roman" w:hAnsi="Times New Roman" w:cs="Times New Roman"/>
                <w:b/>
                <w:bCs/>
                <w:color w:val="auto"/>
                <w:sz w:val="24"/>
                <w:szCs w:val="24"/>
                <w:highlight w:val="none"/>
                <w:lang w:eastAsia="zh-CN" w:bidi="ar"/>
              </w:rPr>
            </w:pPr>
            <w:r>
              <w:rPr>
                <w:rFonts w:ascii="Times New Roman" w:hAnsi="Times New Roman" w:cs="Times New Roman"/>
                <w:b/>
                <w:bCs/>
                <w:color w:val="auto"/>
                <w:sz w:val="21"/>
                <w:szCs w:val="21"/>
                <w:highlight w:val="none"/>
                <w:lang w:eastAsia="zh-CN"/>
              </w:rPr>
              <w:t>图2-3 项目水平衡图（单位：m</w:t>
            </w:r>
            <w:r>
              <w:rPr>
                <w:rFonts w:ascii="Times New Roman" w:hAnsi="Times New Roman" w:cs="Times New Roman"/>
                <w:b/>
                <w:bCs/>
                <w:color w:val="auto"/>
                <w:sz w:val="21"/>
                <w:szCs w:val="21"/>
                <w:highlight w:val="none"/>
                <w:vertAlign w:val="superscript"/>
                <w:lang w:eastAsia="zh-CN"/>
              </w:rPr>
              <w:t>3</w:t>
            </w:r>
            <w:r>
              <w:rPr>
                <w:rFonts w:ascii="Times New Roman" w:hAnsi="Times New Roman" w:cs="Times New Roman"/>
                <w:b/>
                <w:bCs/>
                <w:color w:val="auto"/>
                <w:sz w:val="21"/>
                <w:szCs w:val="21"/>
                <w:highlight w:val="none"/>
                <w:lang w:eastAsia="zh-CN"/>
              </w:rPr>
              <w:t>）</w:t>
            </w:r>
          </w:p>
          <w:p w14:paraId="6D6C0E4B">
            <w:pPr>
              <w:pStyle w:val="22"/>
              <w:widowControl w:val="0"/>
              <w:kinsoku/>
              <w:spacing w:before="181" w:line="219"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3"/>
                <w:sz w:val="24"/>
                <w:szCs w:val="24"/>
                <w:highlight w:val="none"/>
                <w:lang w:eastAsia="zh-CN"/>
              </w:rPr>
              <w:t>9.4供电</w:t>
            </w:r>
          </w:p>
          <w:p w14:paraId="656D48E2">
            <w:pPr>
              <w:pStyle w:val="22"/>
              <w:widowControl w:val="0"/>
              <w:kinsoku/>
              <w:spacing w:before="184" w:line="359" w:lineRule="auto"/>
              <w:ind w:left="13" w:right="128" w:firstLine="46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钻井作业过程中需要使用柴油机和柴油发电机，要消耗一定量的柴油，均符合国家标准。</w:t>
            </w:r>
          </w:p>
          <w:p w14:paraId="2C91E6D6">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每井钻井队配备钻井柴油机3台（2用1备），柴油发电机2台（1用1备）；电力供应有充分保障。</w:t>
            </w:r>
          </w:p>
          <w:p w14:paraId="74516652">
            <w:pPr>
              <w:pStyle w:val="22"/>
              <w:widowControl w:val="0"/>
              <w:kinsoku/>
              <w:spacing w:before="65" w:line="360"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2"/>
                <w:sz w:val="24"/>
                <w:szCs w:val="24"/>
                <w:highlight w:val="none"/>
                <w:lang w:eastAsia="zh-CN"/>
              </w:rPr>
              <w:t>10.依托工程</w:t>
            </w:r>
          </w:p>
          <w:p w14:paraId="3B0AB60A">
            <w:pPr>
              <w:widowControl w:val="0"/>
              <w:kinsoku/>
              <w:spacing w:line="360" w:lineRule="auto"/>
              <w:ind w:firstLine="468" w:firstLineChars="200"/>
              <w:jc w:val="both"/>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pacing w:val="-3"/>
                <w:sz w:val="24"/>
                <w:szCs w:val="24"/>
                <w:highlight w:val="none"/>
                <w:lang w:eastAsia="zh-CN"/>
              </w:rPr>
              <w:t>（1）吉28脱水站基本情况</w:t>
            </w:r>
            <w:r>
              <w:rPr>
                <w:rFonts w:hint="eastAsia" w:ascii="Times New Roman" w:hAnsi="Times New Roman" w:eastAsia="宋体" w:cs="Times New Roman"/>
                <w:color w:val="auto"/>
                <w:spacing w:val="-3"/>
                <w:sz w:val="24"/>
                <w:szCs w:val="24"/>
                <w:highlight w:val="none"/>
                <w:lang w:val="en-US" w:eastAsia="zh-CN"/>
              </w:rPr>
              <w:t>及处理能力</w:t>
            </w:r>
          </w:p>
          <w:p w14:paraId="71E9E006">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吉28脱水站位于本项目周边，占地面积43331.69m²，主体功能为原油脱水、储存及外运。该站除具备含水原油处理能力（3000m³/d）外，重点配套建设有“污水处理系统”。根据《吉28区块原油脱水站污水处理系统建设项目环境影响报告表》及批复（师环审〔2024〕48号），该站新建有一套撬装式压裂返排液处理装置，设计污水处理规模为1200m³/d（50m³/h，24h连续运行）。目前，吉28脱水站已具备对区域内压裂返排液及采出水进行集中处理并达标回注的能力。</w:t>
            </w:r>
          </w:p>
          <w:p w14:paraId="4EE64551">
            <w:pPr>
              <w:pStyle w:val="22"/>
              <w:widowControl w:val="0"/>
              <w:numPr>
                <w:ilvl w:val="0"/>
                <w:numId w:val="5"/>
              </w:numPr>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 xml:space="preserve">依托工程环保手续 </w:t>
            </w:r>
          </w:p>
          <w:p w14:paraId="4642001F">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吉28脱水站主体工程（原油脱水部分）已于2022年取得昌吉回族自治州生态环境局批复（昌州环评〔2022〕104号）；其配套的污水处理系统已于2024年6月28日取得新疆兵团第六师五家渠市生态环境局批复（师环审〔2024〕48号），并通过竣工环境保护验收，依托工程环保手续完备。</w:t>
            </w:r>
          </w:p>
          <w:p w14:paraId="708A1927">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（3）采出水/压裂返排液处理工艺及可行性分析</w:t>
            </w:r>
          </w:p>
          <w:p w14:paraId="17D8F69D">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处理工艺：吉28脱水站污水处理系统采用“预处理加药+混凝搅拌+固液分离+溶气气浮+多级过滤+精细过滤+污泥脱水”工艺 。废水经处理达到回注标准后，全部回注地层，不外排。</w:t>
            </w:r>
          </w:p>
          <w:p w14:paraId="716C5DAD">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出水标准：执行《碎屑岩油藏注水水质指标技术要求及分析方法》（SY/T5329-2022）</w:t>
            </w:r>
            <w:r>
              <w:rPr>
                <w:rFonts w:hint="eastAsia" w:ascii="Times New Roman" w:hAnsi="Times New Roman" w:cs="Times New Roman"/>
                <w:color w:val="auto"/>
                <w:sz w:val="24"/>
                <w:szCs w:val="24"/>
                <w:highlight w:val="none"/>
                <w:lang w:eastAsia="zh-CN" w:bidi="ar"/>
              </w:rPr>
              <w:t>Ⅲ</w:t>
            </w:r>
            <w:r>
              <w:rPr>
                <w:rFonts w:ascii="Times New Roman" w:hAnsi="Times New Roman" w:cs="Times New Roman"/>
                <w:color w:val="auto"/>
                <w:sz w:val="24"/>
                <w:szCs w:val="24"/>
                <w:highlight w:val="none"/>
                <w:lang w:eastAsia="zh-CN" w:bidi="ar"/>
              </w:rPr>
              <w:t>级标准要求。</w:t>
            </w:r>
          </w:p>
          <w:p w14:paraId="0D632906">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依托可行性论证：</w:t>
            </w:r>
          </w:p>
          <w:p w14:paraId="04EE5D9E">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产生规律：本项目压裂返排液及试油采出水产生总量虽较大（约3.6万m³），但其产生过程贯穿于整个试油测试期（约300天），并非瞬时集中排放。经核算，单井压裂返排液平均产生量约为60m³/d，两口井合计最大日产生量约120m³/d。</w:t>
            </w:r>
          </w:p>
          <w:p w14:paraId="4438730B">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处置方式：鉴于产生速率平稳，本项目采取“井场短期缓冲+每日及时转运”的模式，无需建设大容量长期暂存设施。</w:t>
            </w:r>
          </w:p>
          <w:p w14:paraId="4F6173E8">
            <w:pPr>
              <w:pStyle w:val="22"/>
              <w:widowControl w:val="0"/>
              <w:kinsoku/>
              <w:spacing w:line="361" w:lineRule="auto"/>
              <w:ind w:left="30" w:firstLine="418"/>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bidi="ar"/>
              </w:rPr>
              <w:t>能力匹配：吉28脱水站污水设计处理能力为1200m³/d，目前剩余处理能力充裕（&gt;600m³/d），远大于本项目最大日拉运量（120m³/d）。因此，吉28脱水站完全具备接纳并处理本项目废水的工程能力，依托方案技术可行、经济合理。</w:t>
            </w:r>
          </w:p>
        </w:tc>
      </w:tr>
      <w:bookmarkEnd w:id="3"/>
      <w:tr w14:paraId="42F2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4" w:type="dxa"/>
            <w:vAlign w:val="center"/>
          </w:tcPr>
          <w:p w14:paraId="1F92640E">
            <w:pPr>
              <w:widowControl w:val="0"/>
              <w:kinsoku/>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 w:val="24"/>
                <w:szCs w:val="24"/>
                <w:highlight w:val="none"/>
              </w:rPr>
              <w:t>总平面及现场布置</w:t>
            </w:r>
          </w:p>
        </w:tc>
        <w:tc>
          <w:tcPr>
            <w:tcW w:w="8394" w:type="dxa"/>
            <w:tcBorders>
              <w:top w:val="single" w:color="auto" w:sz="4" w:space="0"/>
            </w:tcBorders>
          </w:tcPr>
          <w:p w14:paraId="4E153DEF">
            <w:pPr>
              <w:pStyle w:val="22"/>
              <w:widowControl w:val="0"/>
              <w:kinsoku/>
              <w:spacing w:line="360" w:lineRule="auto"/>
              <w:jc w:val="both"/>
              <w:rPr>
                <w:rFonts w:ascii="Times New Roman" w:hAnsi="Times New Roman" w:cs="Times New Roman"/>
                <w:b/>
                <w:bCs/>
                <w:color w:val="auto"/>
                <w:sz w:val="24"/>
                <w:szCs w:val="24"/>
                <w:highlight w:val="none"/>
                <w:lang w:eastAsia="zh-CN" w:bidi="ar"/>
              </w:rPr>
            </w:pPr>
            <w:r>
              <w:rPr>
                <w:rFonts w:ascii="Times New Roman" w:hAnsi="Times New Roman" w:cs="Times New Roman"/>
                <w:b/>
                <w:bCs/>
                <w:color w:val="auto"/>
                <w:sz w:val="24"/>
                <w:szCs w:val="24"/>
                <w:highlight w:val="none"/>
                <w:lang w:eastAsia="zh-CN" w:bidi="ar"/>
              </w:rPr>
              <w:t>1.钻井期井场平面布置</w:t>
            </w:r>
          </w:p>
          <w:p w14:paraId="1FF5D34A">
            <w:pPr>
              <w:pStyle w:val="22"/>
              <w:widowControl w:val="0"/>
              <w:kinsoku/>
              <w:spacing w:line="360" w:lineRule="auto"/>
              <w:ind w:firstLine="476" w:firstLineChars="200"/>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本项目新钻井2口，钻井期井场布置依据《钻前工程及井场布置技术要求》</w:t>
            </w:r>
            <w:r>
              <w:rPr>
                <w:rFonts w:ascii="Times New Roman" w:hAnsi="Times New Roman" w:cs="Times New Roman"/>
                <w:color w:val="auto"/>
                <w:spacing w:val="-3"/>
                <w:sz w:val="24"/>
                <w:szCs w:val="24"/>
                <w:highlight w:val="none"/>
                <w:lang w:eastAsia="zh-CN"/>
              </w:rPr>
              <w:t>（SY/T5466-2013）相关要求，设有柴油储罐、发电房、废料场、不落地系统、泥浆储罐区、岩屑储罐区、防喷池、值班房</w:t>
            </w:r>
            <w:r>
              <w:rPr>
                <w:rFonts w:ascii="Times New Roman" w:hAnsi="Times New Roman" w:cs="Times New Roman"/>
                <w:color w:val="auto"/>
                <w:spacing w:val="-1"/>
                <w:sz w:val="24"/>
                <w:szCs w:val="24"/>
                <w:highlight w:val="none"/>
                <w:lang w:eastAsia="zh-CN"/>
              </w:rPr>
              <w:t>等，钻井期井场平面布置示意图见附图11。</w:t>
            </w:r>
          </w:p>
          <w:p w14:paraId="34B79314">
            <w:pPr>
              <w:pStyle w:val="22"/>
              <w:widowControl w:val="0"/>
              <w:kinsoku/>
              <w:spacing w:line="360" w:lineRule="auto"/>
              <w:jc w:val="both"/>
              <w:rPr>
                <w:rFonts w:ascii="Times New Roman" w:hAnsi="Times New Roman" w:cs="Times New Roman"/>
                <w:b/>
                <w:bCs/>
                <w:color w:val="auto"/>
                <w:sz w:val="24"/>
                <w:szCs w:val="24"/>
                <w:highlight w:val="none"/>
                <w:lang w:eastAsia="zh-CN" w:bidi="ar"/>
              </w:rPr>
            </w:pPr>
            <w:r>
              <w:rPr>
                <w:rFonts w:ascii="Times New Roman" w:hAnsi="Times New Roman" w:cs="Times New Roman"/>
                <w:b/>
                <w:bCs/>
                <w:color w:val="auto"/>
                <w:sz w:val="24"/>
                <w:szCs w:val="24"/>
                <w:highlight w:val="none"/>
                <w:lang w:eastAsia="zh-CN" w:bidi="ar"/>
              </w:rPr>
              <w:t>2.试油期井场平面布置</w:t>
            </w:r>
          </w:p>
          <w:p w14:paraId="01922DE7">
            <w:pPr>
              <w:pStyle w:val="22"/>
              <w:widowControl w:val="0"/>
              <w:kinsoku/>
              <w:spacing w:line="360" w:lineRule="auto"/>
              <w:ind w:firstLine="472" w:firstLineChars="200"/>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2"/>
                <w:sz w:val="24"/>
                <w:szCs w:val="24"/>
                <w:highlight w:val="none"/>
                <w:lang w:eastAsia="zh-CN"/>
              </w:rPr>
              <w:t>试油期井场布置发电房、采出液储罐、试油废水罐、值班</w:t>
            </w:r>
            <w:r>
              <w:rPr>
                <w:rFonts w:ascii="Times New Roman" w:hAnsi="Times New Roman" w:cs="Times New Roman"/>
                <w:color w:val="auto"/>
                <w:spacing w:val="-3"/>
                <w:sz w:val="24"/>
                <w:szCs w:val="24"/>
                <w:highlight w:val="none"/>
                <w:lang w:eastAsia="zh-CN"/>
              </w:rPr>
              <w:t>房等设施并设置紧急</w:t>
            </w:r>
            <w:r>
              <w:rPr>
                <w:rFonts w:ascii="Times New Roman" w:hAnsi="Times New Roman" w:cs="Times New Roman"/>
                <w:color w:val="auto"/>
                <w:spacing w:val="-1"/>
                <w:sz w:val="24"/>
                <w:szCs w:val="24"/>
                <w:highlight w:val="none"/>
                <w:lang w:eastAsia="zh-CN"/>
              </w:rPr>
              <w:t>集合点等，试油期井场平面布置示意图见附图12。</w:t>
            </w:r>
          </w:p>
          <w:p w14:paraId="5FF79CE8">
            <w:pPr>
              <w:pStyle w:val="22"/>
              <w:widowControl w:val="0"/>
              <w:kinsoku/>
              <w:spacing w:line="360" w:lineRule="auto"/>
              <w:jc w:val="both"/>
              <w:rPr>
                <w:rFonts w:ascii="Times New Roman" w:hAnsi="Times New Roman" w:cs="Times New Roman"/>
                <w:b/>
                <w:bCs/>
                <w:color w:val="auto"/>
                <w:sz w:val="24"/>
                <w:szCs w:val="24"/>
                <w:highlight w:val="none"/>
                <w:lang w:eastAsia="zh-CN" w:bidi="ar"/>
              </w:rPr>
            </w:pPr>
            <w:r>
              <w:rPr>
                <w:rFonts w:ascii="Times New Roman" w:hAnsi="Times New Roman" w:cs="Times New Roman"/>
                <w:b/>
                <w:bCs/>
                <w:color w:val="auto"/>
                <w:sz w:val="24"/>
                <w:szCs w:val="24"/>
                <w:highlight w:val="none"/>
                <w:lang w:eastAsia="zh-CN" w:bidi="ar"/>
              </w:rPr>
              <w:t>3.工期安排</w:t>
            </w:r>
          </w:p>
          <w:p w14:paraId="394B4DA5">
            <w:pPr>
              <w:pStyle w:val="22"/>
              <w:widowControl w:val="0"/>
              <w:kinsoku/>
              <w:spacing w:line="360" w:lineRule="auto"/>
              <w:ind w:firstLine="476" w:firstLineChars="200"/>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本项目施工时序依次为钻井、试油、完井三部分，本项目单井钻井期为90天，试油期为300天。本项目用工实行轮休制度，采用两班两倒工作制，每班12小时。</w:t>
            </w:r>
          </w:p>
          <w:p w14:paraId="18EE7E52">
            <w:pPr>
              <w:pStyle w:val="22"/>
              <w:widowControl w:val="0"/>
              <w:kinsoku/>
              <w:spacing w:line="360" w:lineRule="auto"/>
              <w:jc w:val="both"/>
              <w:rPr>
                <w:rFonts w:ascii="Times New Roman" w:hAnsi="Times New Roman" w:cs="Times New Roman"/>
                <w:b/>
                <w:bCs/>
                <w:color w:val="auto"/>
                <w:sz w:val="24"/>
                <w:szCs w:val="24"/>
                <w:highlight w:val="none"/>
                <w:lang w:eastAsia="zh-CN" w:bidi="ar"/>
              </w:rPr>
            </w:pPr>
            <w:r>
              <w:rPr>
                <w:rFonts w:ascii="Times New Roman" w:hAnsi="Times New Roman" w:cs="Times New Roman"/>
                <w:b/>
                <w:bCs/>
                <w:color w:val="auto"/>
                <w:sz w:val="24"/>
                <w:szCs w:val="24"/>
                <w:highlight w:val="none"/>
                <w:lang w:eastAsia="zh-CN" w:bidi="ar"/>
              </w:rPr>
              <w:t>4.临时工程平面布置</w:t>
            </w:r>
          </w:p>
          <w:p w14:paraId="1070DF4B">
            <w:pPr>
              <w:pStyle w:val="22"/>
              <w:widowControl w:val="0"/>
              <w:kinsoku/>
              <w:spacing w:line="360" w:lineRule="auto"/>
              <w:ind w:firstLine="476" w:firstLineChars="200"/>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本项目在各钻试场设1处生活营地，共2处生活营地，移动厕所设置在生活营地内，生活污水排入移动厕所，定期用吸污车外运处理。根据井口位置和周围已建道路情况修建临时道路。</w:t>
            </w:r>
          </w:p>
          <w:p w14:paraId="5532E902">
            <w:pPr>
              <w:pStyle w:val="22"/>
              <w:widowControl w:val="0"/>
              <w:kinsoku/>
              <w:spacing w:line="360" w:lineRule="auto"/>
              <w:jc w:val="both"/>
              <w:rPr>
                <w:rFonts w:ascii="Times New Roman" w:hAnsi="Times New Roman" w:cs="Times New Roman"/>
                <w:b/>
                <w:bCs/>
                <w:color w:val="auto"/>
                <w:sz w:val="24"/>
                <w:szCs w:val="24"/>
                <w:highlight w:val="none"/>
                <w:lang w:eastAsia="zh-CN" w:bidi="ar"/>
              </w:rPr>
            </w:pPr>
            <w:r>
              <w:rPr>
                <w:rFonts w:ascii="Times New Roman" w:hAnsi="Times New Roman" w:cs="Times New Roman"/>
                <w:b/>
                <w:bCs/>
                <w:color w:val="auto"/>
                <w:sz w:val="24"/>
                <w:szCs w:val="24"/>
                <w:highlight w:val="none"/>
                <w:lang w:eastAsia="zh-CN" w:bidi="ar"/>
              </w:rPr>
              <w:t>5.土石方平衡</w:t>
            </w:r>
          </w:p>
          <w:p w14:paraId="1BAD05C9">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井场平整过程中需要对占地范围内表土进行剥离，剥离后用砂石料对井场和探临道路进行铺垫，剥离表土单独堆放，用于完井后临时占地的恢复，无弃方产生。土石方平衡分析具体如下：</w:t>
            </w:r>
          </w:p>
          <w:p w14:paraId="06C0382F">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钻前工程</w:t>
            </w:r>
            <w:r>
              <w:rPr>
                <w:rFonts w:hint="default" w:ascii="Times New Roman" w:hAnsi="Times New Roman" w:eastAsia="宋体" w:cs="Times New Roman"/>
                <w:color w:val="auto"/>
                <w:spacing w:val="-2"/>
                <w:sz w:val="24"/>
                <w:szCs w:val="24"/>
                <w:highlight w:val="none"/>
                <w:lang w:eastAsia="zh-CN"/>
              </w:rPr>
              <w:t>挖方</w:t>
            </w:r>
            <w:r>
              <w:rPr>
                <w:rFonts w:hint="eastAsia" w:ascii="Times New Roman" w:hAnsi="Times New Roman" w:eastAsia="宋体" w:cs="Times New Roman"/>
                <w:color w:val="auto"/>
                <w:spacing w:val="-2"/>
                <w:sz w:val="24"/>
                <w:szCs w:val="24"/>
                <w:highlight w:val="none"/>
                <w:lang w:eastAsia="zh-CN"/>
              </w:rPr>
              <w:t>作业为井场平整、铺垫过程中表层土的剥离</w:t>
            </w:r>
            <w:r>
              <w:rPr>
                <w:rFonts w:hint="default"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lang w:eastAsia="zh-CN"/>
              </w:rPr>
              <w:t>表层土剥离厚度约0</w:t>
            </w:r>
            <w:r>
              <w:rPr>
                <w:rFonts w:hint="default" w:ascii="Times New Roman" w:hAnsi="Times New Roman" w:eastAsia="宋体" w:cs="Times New Roman"/>
                <w:color w:val="auto"/>
                <w:spacing w:val="-2"/>
                <w:sz w:val="24"/>
                <w:szCs w:val="24"/>
                <w:highlight w:val="none"/>
                <w:lang w:eastAsia="zh-CN"/>
              </w:rPr>
              <w:t>.2m</w:t>
            </w:r>
            <w:r>
              <w:rPr>
                <w:rFonts w:hint="eastAsia" w:ascii="Times New Roman" w:hAnsi="Times New Roman" w:eastAsia="宋体" w:cs="Times New Roman"/>
                <w:color w:val="auto"/>
                <w:spacing w:val="-2"/>
                <w:sz w:val="24"/>
                <w:szCs w:val="24"/>
                <w:highlight w:val="none"/>
                <w:lang w:eastAsia="zh-CN"/>
              </w:rPr>
              <w:t>，本项目</w:t>
            </w:r>
            <w:r>
              <w:rPr>
                <w:rFonts w:hint="eastAsia" w:ascii="Times New Roman" w:hAnsi="Times New Roman" w:cs="Times New Roman"/>
                <w:color w:val="auto"/>
                <w:spacing w:val="-2"/>
                <w:sz w:val="24"/>
                <w:szCs w:val="24"/>
                <w:highlight w:val="none"/>
                <w:lang w:val="en-US" w:eastAsia="zh-CN"/>
              </w:rPr>
              <w:t>2</w:t>
            </w:r>
            <w:r>
              <w:rPr>
                <w:rFonts w:hint="eastAsia" w:ascii="Times New Roman" w:hAnsi="Times New Roman" w:eastAsia="宋体" w:cs="Times New Roman"/>
                <w:color w:val="auto"/>
                <w:spacing w:val="-2"/>
                <w:sz w:val="24"/>
                <w:szCs w:val="24"/>
                <w:highlight w:val="none"/>
                <w:lang w:eastAsia="zh-CN"/>
              </w:rPr>
              <w:t>口井临时占地总面积为</w:t>
            </w:r>
            <w:r>
              <w:rPr>
                <w:rFonts w:hint="eastAsia" w:ascii="Times New Roman" w:hAnsi="Times New Roman" w:cs="Times New Roman"/>
                <w:color w:val="auto"/>
                <w:spacing w:val="-2"/>
                <w:sz w:val="24"/>
                <w:szCs w:val="24"/>
                <w:highlight w:val="none"/>
                <w:lang w:val="en-US" w:eastAsia="zh-CN"/>
              </w:rPr>
              <w:t>39781</w:t>
            </w:r>
            <w:r>
              <w:rPr>
                <w:rFonts w:hint="eastAsia" w:ascii="Times New Roman" w:hAnsi="Times New Roman" w:eastAsia="宋体" w:cs="Times New Roman"/>
                <w:color w:val="auto"/>
                <w:spacing w:val="-2"/>
                <w:sz w:val="24"/>
                <w:szCs w:val="24"/>
                <w:highlight w:val="none"/>
                <w:lang w:eastAsia="zh-CN"/>
              </w:rPr>
              <w:t>m²</w:t>
            </w:r>
            <w:r>
              <w:rPr>
                <w:rFonts w:hint="default"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lang w:eastAsia="zh-CN"/>
              </w:rPr>
              <w:t>则总挖方量约为</w:t>
            </w:r>
            <w:r>
              <w:rPr>
                <w:rFonts w:hint="eastAsia" w:ascii="Times New Roman" w:hAnsi="Times New Roman" w:cs="Times New Roman"/>
                <w:color w:val="auto"/>
                <w:spacing w:val="-2"/>
                <w:sz w:val="24"/>
                <w:szCs w:val="24"/>
                <w:highlight w:val="none"/>
                <w:lang w:val="en-US" w:eastAsia="zh-CN"/>
              </w:rPr>
              <w:t>7956.2</w:t>
            </w:r>
            <w:r>
              <w:rPr>
                <w:rFonts w:hint="default" w:ascii="Times New Roman" w:hAnsi="Times New Roman" w:eastAsia="宋体" w:cs="Times New Roman"/>
                <w:color w:val="auto"/>
                <w:spacing w:val="-2"/>
                <w:sz w:val="24"/>
                <w:szCs w:val="24"/>
                <w:highlight w:val="none"/>
                <w:lang w:eastAsia="zh-CN"/>
              </w:rPr>
              <w:t>m</w:t>
            </w:r>
            <w:r>
              <w:rPr>
                <w:rFonts w:hint="default" w:ascii="Times New Roman" w:hAnsi="Times New Roman" w:eastAsia="宋体" w:cs="Times New Roman"/>
                <w:color w:val="auto"/>
                <w:spacing w:val="-2"/>
                <w:sz w:val="24"/>
                <w:szCs w:val="24"/>
                <w:highlight w:val="none"/>
                <w:vertAlign w:val="superscript"/>
                <w:lang w:eastAsia="zh-CN"/>
              </w:rPr>
              <w:t>3</w:t>
            </w:r>
            <w:r>
              <w:rPr>
                <w:rFonts w:hint="eastAsia" w:ascii="Times New Roman" w:hAnsi="Times New Roman" w:eastAsia="宋体" w:cs="Times New Roman"/>
                <w:color w:val="auto"/>
                <w:spacing w:val="-2"/>
                <w:sz w:val="24"/>
                <w:szCs w:val="24"/>
                <w:highlight w:val="none"/>
                <w:lang w:eastAsia="zh-CN"/>
              </w:rPr>
              <w:t>。根据设计资料可知，</w:t>
            </w:r>
            <w:r>
              <w:rPr>
                <w:rFonts w:hint="default" w:ascii="Times New Roman" w:hAnsi="Times New Roman" w:eastAsia="宋体" w:cs="Times New Roman"/>
                <w:color w:val="auto"/>
                <w:spacing w:val="-2"/>
                <w:sz w:val="24"/>
                <w:szCs w:val="24"/>
                <w:highlight w:val="none"/>
                <w:lang w:eastAsia="zh-CN"/>
              </w:rPr>
              <w:t>井场平均铺垫厚度约0.</w:t>
            </w:r>
            <w:r>
              <w:rPr>
                <w:rFonts w:hint="eastAsia" w:ascii="Times New Roman" w:hAnsi="Times New Roman"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m，据此计算，</w:t>
            </w:r>
            <w:r>
              <w:rPr>
                <w:rFonts w:hint="eastAsia" w:ascii="Times New Roman" w:hAnsi="Times New Roman" w:eastAsia="宋体" w:cs="Times New Roman"/>
                <w:color w:val="auto"/>
                <w:spacing w:val="-2"/>
                <w:sz w:val="24"/>
                <w:szCs w:val="24"/>
                <w:highlight w:val="none"/>
                <w:lang w:eastAsia="zh-CN"/>
              </w:rPr>
              <w:t>本项目总填方量</w:t>
            </w:r>
            <w:r>
              <w:rPr>
                <w:rFonts w:hint="eastAsia" w:ascii="Times New Roman" w:hAnsi="Times New Roman" w:cs="Times New Roman"/>
                <w:color w:val="auto"/>
                <w:spacing w:val="-2"/>
                <w:sz w:val="24"/>
                <w:szCs w:val="24"/>
                <w:highlight w:val="none"/>
                <w:lang w:val="en-US" w:eastAsia="zh-CN"/>
              </w:rPr>
              <w:t>约</w:t>
            </w:r>
            <w:r>
              <w:rPr>
                <w:rFonts w:hint="eastAsia" w:ascii="Times New Roman" w:hAnsi="Times New Roman" w:eastAsia="宋体" w:cs="Times New Roman"/>
                <w:color w:val="auto"/>
                <w:spacing w:val="-2"/>
                <w:sz w:val="24"/>
                <w:szCs w:val="24"/>
                <w:highlight w:val="none"/>
                <w:lang w:eastAsia="zh-CN"/>
              </w:rPr>
              <w:t>为</w:t>
            </w:r>
            <w:r>
              <w:rPr>
                <w:rFonts w:hint="eastAsia" w:ascii="Times New Roman" w:hAnsi="Times New Roman" w:cs="Times New Roman"/>
                <w:color w:val="auto"/>
                <w:spacing w:val="-2"/>
                <w:sz w:val="24"/>
                <w:szCs w:val="24"/>
                <w:highlight w:val="none"/>
                <w:lang w:val="en-US" w:eastAsia="zh-CN"/>
              </w:rPr>
              <w:t>7956.2</w:t>
            </w:r>
            <w:r>
              <w:rPr>
                <w:rFonts w:hint="default" w:ascii="Times New Roman" w:hAnsi="Times New Roman" w:eastAsia="宋体" w:cs="Times New Roman"/>
                <w:color w:val="auto"/>
                <w:spacing w:val="-2"/>
                <w:sz w:val="24"/>
                <w:szCs w:val="24"/>
                <w:highlight w:val="none"/>
                <w:lang w:eastAsia="zh-CN"/>
              </w:rPr>
              <w:t>m</w:t>
            </w:r>
            <w:r>
              <w:rPr>
                <w:rFonts w:hint="default" w:ascii="Times New Roman" w:hAnsi="Times New Roman" w:eastAsia="宋体" w:cs="Times New Roman"/>
                <w:color w:val="auto"/>
                <w:spacing w:val="-2"/>
                <w:sz w:val="24"/>
                <w:szCs w:val="24"/>
                <w:highlight w:val="none"/>
                <w:vertAlign w:val="superscript"/>
                <w:lang w:eastAsia="zh-CN"/>
              </w:rPr>
              <w:t>3</w:t>
            </w:r>
            <w:r>
              <w:rPr>
                <w:rFonts w:hint="eastAsia" w:ascii="Times New Roman" w:hAnsi="Times New Roman" w:eastAsia="宋体" w:cs="Times New Roman"/>
                <w:color w:val="auto"/>
                <w:spacing w:val="-2"/>
                <w:sz w:val="24"/>
                <w:szCs w:val="24"/>
                <w:highlight w:val="none"/>
                <w:lang w:eastAsia="zh-CN"/>
              </w:rPr>
              <w:t>。</w:t>
            </w:r>
          </w:p>
          <w:p w14:paraId="2580ACDB">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临时堆土场设置情况 为确保剥离的清洁表土不被施工产污环节污染，本项目临时堆土场的设置严格遵循“源头避让、物理隔离、防护到位”的原则：</w:t>
            </w:r>
          </w:p>
          <w:p w14:paraId="08883674">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选址布局（源头避让）： 临时堆土场规划设置在井场上风向或地势较高的边缘区域。在平面布置上，堆土场与泥浆罐区、岩屑储罐区、危废暂存间等高风险产污单元保持10m以上的安全隔离距离，严禁在泥浆循环系统旁堆放表土，从源头上杜绝泥浆喷溅或废液漫流污染表土。</w:t>
            </w:r>
          </w:p>
          <w:p w14:paraId="4449123A">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堆存与防护措施：</w:t>
            </w:r>
          </w:p>
          <w:p w14:paraId="2E7D9C6C">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表土剥离：钻前施工时，对井场及道路占用范围内的表层土（约0.2m厚）进行剥离，单独运至临时堆土场集中堆放，严禁与下层生土或钻井岩屑混合。</w:t>
            </w:r>
          </w:p>
          <w:p w14:paraId="0FCA508D">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隔离防护：堆土场周边设置临时土埂或围堰，防止雨水径流冲刷导致水土流失，同时也防止井场内的雨污水流入堆土区。</w:t>
            </w:r>
          </w:p>
          <w:p w14:paraId="744B6739">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抑尘措施：堆土表面采用防尘网（密目网）进行全覆盖，防止大风天气产生扬尘。</w:t>
            </w:r>
          </w:p>
          <w:p w14:paraId="01DB89E1">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hint="eastAsia"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警示管理：设置“表土存放区”标识牌，严禁施工人员向土堆上倾倒垃圾、废油或废渣。</w:t>
            </w:r>
          </w:p>
          <w:p w14:paraId="78853DF5">
            <w:pPr>
              <w:pStyle w:val="22"/>
              <w:keepNext w:val="0"/>
              <w:keepLines w:val="0"/>
              <w:pageBreakBefore w:val="0"/>
              <w:widowControl w:val="0"/>
              <w:numPr>
                <w:ilvl w:val="0"/>
                <w:numId w:val="0"/>
              </w:numPr>
              <w:wordWrap/>
              <w:topLinePunct w:val="0"/>
              <w:autoSpaceDE w:val="0"/>
              <w:autoSpaceDN w:val="0"/>
              <w:bidi w:val="0"/>
              <w:adjustRightInd w:val="0"/>
              <w:snapToGrid w:val="0"/>
              <w:spacing w:line="360" w:lineRule="auto"/>
              <w:ind w:left="0" w:right="0" w:firstLine="472" w:firstLineChars="200"/>
              <w:jc w:val="both"/>
              <w:rPr>
                <w:rFonts w:ascii="Times New Roman" w:hAnsi="Times New Roman" w:cs="Times New Roman"/>
                <w:color w:val="auto"/>
                <w:spacing w:val="-2"/>
                <w:sz w:val="24"/>
                <w:szCs w:val="24"/>
                <w:lang w:eastAsia="zh-CN"/>
              </w:rPr>
            </w:pPr>
            <w:r>
              <w:rPr>
                <w:rFonts w:hint="eastAsia" w:ascii="Times New Roman" w:hAnsi="Times New Roman" w:eastAsia="宋体" w:cs="Times New Roman"/>
                <w:color w:val="auto"/>
                <w:spacing w:val="-2"/>
                <w:sz w:val="24"/>
                <w:szCs w:val="24"/>
                <w:highlight w:val="none"/>
                <w:lang w:eastAsia="zh-CN"/>
              </w:rPr>
              <w:t>恢复利用 完井后，该部分未受污染的清洁表土将全部回铺于井场和道路，实现土石方内部平衡，无弃方外排。</w:t>
            </w:r>
          </w:p>
          <w:p w14:paraId="1D21C460">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项目土石方平衡见下表。</w:t>
            </w:r>
          </w:p>
          <w:p w14:paraId="337757C4">
            <w:pPr>
              <w:pStyle w:val="22"/>
              <w:widowControl w:val="0"/>
              <w:kinsoku/>
              <w:jc w:val="center"/>
              <w:rPr>
                <w:rFonts w:ascii="Times New Roman" w:hAnsi="Times New Roman" w:cs="Times New Roman"/>
                <w:color w:val="auto"/>
                <w:spacing w:val="-2"/>
                <w:sz w:val="24"/>
                <w:szCs w:val="24"/>
                <w:highlight w:val="none"/>
                <w:lang w:eastAsia="zh-CN"/>
              </w:rPr>
            </w:pPr>
            <w:r>
              <w:rPr>
                <w:rFonts w:ascii="Times New Roman" w:hAnsi="Times New Roman" w:cs="Times New Roman"/>
                <w:b/>
                <w:bCs/>
                <w:color w:val="auto"/>
                <w:spacing w:val="-2"/>
                <w:sz w:val="21"/>
                <w:szCs w:val="21"/>
                <w:highlight w:val="none"/>
                <w:lang w:eastAsia="zh-CN"/>
              </w:rPr>
              <w:t>表2-15 土石方平衡一览表</w:t>
            </w:r>
          </w:p>
          <w:tbl>
            <w:tblPr>
              <w:tblStyle w:val="21"/>
              <w:tblW w:w="81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14"/>
              <w:gridCol w:w="1215"/>
              <w:gridCol w:w="1455"/>
              <w:gridCol w:w="1744"/>
              <w:gridCol w:w="1274"/>
              <w:gridCol w:w="1416"/>
            </w:tblGrid>
            <w:tr w14:paraId="3B0B2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Merge w:val="restart"/>
                  <w:vAlign w:val="center"/>
                </w:tcPr>
                <w:p w14:paraId="046EB939">
                  <w:pPr>
                    <w:pStyle w:val="22"/>
                    <w:kinsoku/>
                    <w:spacing w:before="177" w:line="229" w:lineRule="auto"/>
                    <w:jc w:val="center"/>
                    <w:rPr>
                      <w:rFonts w:ascii="Times New Roman" w:hAnsi="Times New Roman" w:cs="Times New Roman" w:eastAsiaTheme="minorEastAsia"/>
                      <w:b/>
                      <w:bCs/>
                      <w:color w:val="auto"/>
                      <w:spacing w:val="5"/>
                      <w:sz w:val="21"/>
                      <w:szCs w:val="21"/>
                      <w:highlight w:val="none"/>
                      <w:lang w:eastAsia="zh-CN"/>
                    </w:rPr>
                  </w:pPr>
                  <w:r>
                    <w:rPr>
                      <w:rFonts w:ascii="Times New Roman" w:hAnsi="Times New Roman" w:cs="Times New Roman" w:eastAsiaTheme="minorEastAsia"/>
                      <w:b/>
                      <w:bCs/>
                      <w:color w:val="auto"/>
                      <w:spacing w:val="5"/>
                      <w:sz w:val="21"/>
                      <w:szCs w:val="21"/>
                      <w:highlight w:val="none"/>
                      <w:lang w:eastAsia="zh-CN"/>
                    </w:rPr>
                    <w:t>类别</w:t>
                  </w:r>
                </w:p>
              </w:tc>
              <w:tc>
                <w:tcPr>
                  <w:tcW w:w="1215" w:type="dxa"/>
                  <w:vMerge w:val="restart"/>
                  <w:tcBorders>
                    <w:bottom w:val="nil"/>
                  </w:tcBorders>
                  <w:vAlign w:val="center"/>
                </w:tcPr>
                <w:p w14:paraId="26C469F8">
                  <w:pPr>
                    <w:pStyle w:val="22"/>
                    <w:kinsoku/>
                    <w:spacing w:before="39" w:line="235" w:lineRule="auto"/>
                    <w:ind w:right="120"/>
                    <w:jc w:val="center"/>
                    <w:rPr>
                      <w:rFonts w:ascii="Times New Roman" w:hAnsi="Times New Roman" w:cs="Times New Roman" w:eastAsiaTheme="minorEastAsia"/>
                      <w:b/>
                      <w:bCs/>
                      <w:color w:val="auto"/>
                      <w:spacing w:val="8"/>
                      <w:sz w:val="21"/>
                      <w:szCs w:val="21"/>
                      <w:highlight w:val="none"/>
                      <w:lang w:eastAsia="zh-CN"/>
                    </w:rPr>
                  </w:pPr>
                  <w:r>
                    <w:rPr>
                      <w:rFonts w:ascii="Times New Roman" w:hAnsi="Times New Roman" w:cs="Times New Roman" w:eastAsiaTheme="minorEastAsia"/>
                      <w:b/>
                      <w:bCs/>
                      <w:color w:val="auto"/>
                      <w:spacing w:val="8"/>
                      <w:sz w:val="21"/>
                      <w:szCs w:val="21"/>
                      <w:highlight w:val="none"/>
                      <w:lang w:eastAsia="zh-CN"/>
                    </w:rPr>
                    <w:t>挖方</w:t>
                  </w:r>
                </w:p>
                <w:p w14:paraId="582213A7">
                  <w:pPr>
                    <w:pStyle w:val="22"/>
                    <w:kinsoku/>
                    <w:spacing w:before="39" w:line="235" w:lineRule="auto"/>
                    <w:ind w:right="120"/>
                    <w:jc w:val="center"/>
                    <w:rPr>
                      <w:rFonts w:ascii="Times New Roman" w:hAnsi="Times New Roman" w:cs="Times New Roman" w:eastAsiaTheme="minorEastAsia"/>
                      <w:b/>
                      <w:bCs/>
                      <w:color w:val="auto"/>
                      <w:spacing w:val="8"/>
                      <w:sz w:val="21"/>
                      <w:szCs w:val="21"/>
                      <w:highlight w:val="none"/>
                      <w:lang w:eastAsia="zh-CN"/>
                    </w:rPr>
                  </w:pPr>
                  <w:r>
                    <w:rPr>
                      <w:rFonts w:ascii="Times New Roman" w:hAnsi="Times New Roman" w:cs="Times New Roman" w:eastAsiaTheme="minorEastAsia"/>
                      <w:b/>
                      <w:bCs/>
                      <w:color w:val="auto"/>
                      <w:spacing w:val="8"/>
                      <w:sz w:val="21"/>
                      <w:szCs w:val="21"/>
                      <w:highlight w:val="none"/>
                      <w:lang w:eastAsia="zh-CN"/>
                    </w:rPr>
                    <w:t>（m</w:t>
                  </w:r>
                  <w:r>
                    <w:rPr>
                      <w:rFonts w:ascii="Times New Roman" w:hAnsi="Times New Roman" w:cs="Times New Roman" w:eastAsiaTheme="minorEastAsia"/>
                      <w:b/>
                      <w:bCs/>
                      <w:color w:val="auto"/>
                      <w:spacing w:val="8"/>
                      <w:sz w:val="21"/>
                      <w:szCs w:val="21"/>
                      <w:highlight w:val="none"/>
                      <w:vertAlign w:val="superscript"/>
                      <w:lang w:eastAsia="zh-CN"/>
                    </w:rPr>
                    <w:t>3</w:t>
                  </w:r>
                  <w:r>
                    <w:rPr>
                      <w:rFonts w:ascii="Times New Roman" w:hAnsi="Times New Roman" w:cs="Times New Roman" w:eastAsiaTheme="minorEastAsia"/>
                      <w:b/>
                      <w:bCs/>
                      <w:color w:val="auto"/>
                      <w:spacing w:val="8"/>
                      <w:sz w:val="21"/>
                      <w:szCs w:val="21"/>
                      <w:highlight w:val="none"/>
                      <w:lang w:eastAsia="zh-CN"/>
                    </w:rPr>
                    <w:t>）</w:t>
                  </w:r>
                </w:p>
              </w:tc>
              <w:tc>
                <w:tcPr>
                  <w:tcW w:w="1455" w:type="dxa"/>
                  <w:vMerge w:val="restart"/>
                  <w:tcBorders>
                    <w:bottom w:val="nil"/>
                  </w:tcBorders>
                  <w:vAlign w:val="center"/>
                </w:tcPr>
                <w:p w14:paraId="2E58CF3A">
                  <w:pPr>
                    <w:pStyle w:val="22"/>
                    <w:kinsoku/>
                    <w:spacing w:before="39" w:line="235" w:lineRule="auto"/>
                    <w:ind w:right="120"/>
                    <w:jc w:val="center"/>
                    <w:rPr>
                      <w:rFonts w:ascii="Times New Roman" w:hAnsi="Times New Roman" w:cs="Times New Roman" w:eastAsiaTheme="minorEastAsia"/>
                      <w:b/>
                      <w:bCs/>
                      <w:color w:val="auto"/>
                      <w:spacing w:val="8"/>
                      <w:sz w:val="21"/>
                      <w:szCs w:val="21"/>
                      <w:highlight w:val="none"/>
                      <w:lang w:eastAsia="zh-CN"/>
                    </w:rPr>
                  </w:pPr>
                  <w:r>
                    <w:rPr>
                      <w:rFonts w:ascii="Times New Roman" w:hAnsi="Times New Roman" w:cs="Times New Roman" w:eastAsiaTheme="minorEastAsia"/>
                      <w:b/>
                      <w:bCs/>
                      <w:color w:val="auto"/>
                      <w:spacing w:val="8"/>
                      <w:sz w:val="21"/>
                      <w:szCs w:val="21"/>
                      <w:highlight w:val="none"/>
                      <w:lang w:eastAsia="zh-CN"/>
                    </w:rPr>
                    <w:t>填方</w:t>
                  </w:r>
                </w:p>
                <w:p w14:paraId="2012AA95">
                  <w:pPr>
                    <w:pStyle w:val="22"/>
                    <w:kinsoku/>
                    <w:spacing w:before="39" w:line="235" w:lineRule="auto"/>
                    <w:ind w:right="120"/>
                    <w:jc w:val="center"/>
                    <w:rPr>
                      <w:rFonts w:ascii="Times New Roman" w:hAnsi="Times New Roman" w:cs="Times New Roman" w:eastAsiaTheme="minorEastAsia"/>
                      <w:b/>
                      <w:bCs/>
                      <w:color w:val="auto"/>
                      <w:spacing w:val="8"/>
                      <w:sz w:val="21"/>
                      <w:szCs w:val="21"/>
                      <w:highlight w:val="none"/>
                      <w:lang w:eastAsia="zh-CN"/>
                    </w:rPr>
                  </w:pPr>
                  <w:r>
                    <w:rPr>
                      <w:rFonts w:ascii="Times New Roman" w:hAnsi="Times New Roman" w:cs="Times New Roman" w:eastAsiaTheme="minorEastAsia"/>
                      <w:b/>
                      <w:bCs/>
                      <w:color w:val="auto"/>
                      <w:spacing w:val="8"/>
                      <w:sz w:val="21"/>
                      <w:szCs w:val="21"/>
                      <w:highlight w:val="none"/>
                      <w:lang w:eastAsia="zh-CN"/>
                    </w:rPr>
                    <w:t>（m</w:t>
                  </w:r>
                  <w:r>
                    <w:rPr>
                      <w:rFonts w:ascii="Times New Roman" w:hAnsi="Times New Roman" w:cs="Times New Roman" w:eastAsiaTheme="minorEastAsia"/>
                      <w:b/>
                      <w:bCs/>
                      <w:color w:val="auto"/>
                      <w:spacing w:val="8"/>
                      <w:sz w:val="21"/>
                      <w:szCs w:val="21"/>
                      <w:highlight w:val="none"/>
                      <w:vertAlign w:val="superscript"/>
                      <w:lang w:eastAsia="zh-CN"/>
                    </w:rPr>
                    <w:t>3</w:t>
                  </w:r>
                  <w:r>
                    <w:rPr>
                      <w:rFonts w:ascii="Times New Roman" w:hAnsi="Times New Roman" w:cs="Times New Roman" w:eastAsiaTheme="minorEastAsia"/>
                      <w:b/>
                      <w:bCs/>
                      <w:color w:val="auto"/>
                      <w:spacing w:val="8"/>
                      <w:sz w:val="21"/>
                      <w:szCs w:val="21"/>
                      <w:highlight w:val="none"/>
                      <w:lang w:eastAsia="zh-CN"/>
                    </w:rPr>
                    <w:t>）</w:t>
                  </w:r>
                </w:p>
              </w:tc>
              <w:tc>
                <w:tcPr>
                  <w:tcW w:w="1744" w:type="dxa"/>
                  <w:vMerge w:val="restart"/>
                  <w:tcBorders>
                    <w:bottom w:val="nil"/>
                  </w:tcBorders>
                  <w:vAlign w:val="center"/>
                </w:tcPr>
                <w:p w14:paraId="0726C6B0">
                  <w:pPr>
                    <w:pStyle w:val="22"/>
                    <w:kinsoku/>
                    <w:spacing w:before="39" w:line="235" w:lineRule="auto"/>
                    <w:ind w:right="120"/>
                    <w:jc w:val="center"/>
                    <w:rPr>
                      <w:rFonts w:ascii="Times New Roman" w:hAnsi="Times New Roman" w:cs="Times New Roman" w:eastAsiaTheme="minorEastAsia"/>
                      <w:b/>
                      <w:bCs/>
                      <w:color w:val="auto"/>
                      <w:sz w:val="21"/>
                      <w:szCs w:val="21"/>
                      <w:highlight w:val="none"/>
                      <w:lang w:eastAsia="zh-CN"/>
                    </w:rPr>
                  </w:pPr>
                  <w:r>
                    <w:rPr>
                      <w:rFonts w:ascii="Times New Roman" w:hAnsi="Times New Roman" w:cs="Times New Roman" w:eastAsiaTheme="minorEastAsia"/>
                      <w:b/>
                      <w:bCs/>
                      <w:color w:val="auto"/>
                      <w:spacing w:val="8"/>
                      <w:sz w:val="21"/>
                      <w:szCs w:val="21"/>
                      <w:highlight w:val="none"/>
                      <w:lang w:eastAsia="zh-CN"/>
                    </w:rPr>
                    <w:t>借方</w:t>
                  </w:r>
                  <w:r>
                    <w:rPr>
                      <w:rFonts w:ascii="Times New Roman" w:hAnsi="Times New Roman" w:cs="Times New Roman" w:eastAsiaTheme="minorEastAsia"/>
                      <w:b/>
                      <w:bCs/>
                      <w:color w:val="auto"/>
                      <w:spacing w:val="11"/>
                      <w:sz w:val="21"/>
                      <w:szCs w:val="21"/>
                      <w:highlight w:val="none"/>
                      <w:lang w:eastAsia="zh-CN"/>
                    </w:rPr>
                    <w:t>（</w:t>
                  </w:r>
                  <w:r>
                    <w:rPr>
                      <w:rFonts w:ascii="Times New Roman" w:hAnsi="Times New Roman" w:cs="Times New Roman" w:eastAsiaTheme="minorEastAsia"/>
                      <w:b/>
                      <w:bCs/>
                      <w:color w:val="auto"/>
                      <w:spacing w:val="3"/>
                      <w:sz w:val="21"/>
                      <w:szCs w:val="21"/>
                      <w:highlight w:val="none"/>
                      <w:lang w:eastAsia="zh-CN"/>
                    </w:rPr>
                    <w:t>m</w:t>
                  </w:r>
                  <w:r>
                    <w:rPr>
                      <w:rFonts w:ascii="Times New Roman" w:hAnsi="Times New Roman" w:cs="Times New Roman" w:eastAsiaTheme="minorEastAsia"/>
                      <w:b/>
                      <w:bCs/>
                      <w:color w:val="auto"/>
                      <w:spacing w:val="3"/>
                      <w:position w:val="6"/>
                      <w:sz w:val="21"/>
                      <w:szCs w:val="21"/>
                      <w:highlight w:val="none"/>
                      <w:vertAlign w:val="superscript"/>
                      <w:lang w:eastAsia="zh-CN"/>
                    </w:rPr>
                    <w:t>3</w:t>
                  </w:r>
                  <w:r>
                    <w:rPr>
                      <w:rFonts w:ascii="Times New Roman" w:hAnsi="Times New Roman" w:cs="Times New Roman" w:eastAsiaTheme="minorEastAsia"/>
                      <w:b/>
                      <w:bCs/>
                      <w:color w:val="auto"/>
                      <w:spacing w:val="3"/>
                      <w:sz w:val="21"/>
                      <w:szCs w:val="21"/>
                      <w:highlight w:val="none"/>
                      <w:lang w:eastAsia="zh-CN"/>
                    </w:rPr>
                    <w:t>）</w:t>
                  </w:r>
                </w:p>
              </w:tc>
              <w:tc>
                <w:tcPr>
                  <w:tcW w:w="2690" w:type="dxa"/>
                  <w:gridSpan w:val="2"/>
                  <w:tcBorders>
                    <w:right w:val="single" w:color="000000" w:sz="4" w:space="0"/>
                  </w:tcBorders>
                  <w:vAlign w:val="center"/>
                </w:tcPr>
                <w:p w14:paraId="75A0F605">
                  <w:pPr>
                    <w:pStyle w:val="22"/>
                    <w:kinsoku/>
                    <w:spacing w:before="36" w:line="213" w:lineRule="auto"/>
                    <w:jc w:val="center"/>
                    <w:rPr>
                      <w:rFonts w:ascii="Times New Roman" w:hAnsi="Times New Roman" w:cs="Times New Roman" w:eastAsiaTheme="minorEastAsia"/>
                      <w:b/>
                      <w:bCs/>
                      <w:color w:val="auto"/>
                      <w:sz w:val="21"/>
                      <w:szCs w:val="21"/>
                      <w:highlight w:val="none"/>
                      <w:lang w:eastAsia="zh-CN"/>
                    </w:rPr>
                  </w:pPr>
                  <w:r>
                    <w:rPr>
                      <w:rFonts w:ascii="Times New Roman" w:hAnsi="Times New Roman" w:cs="Times New Roman" w:eastAsiaTheme="minorEastAsia"/>
                      <w:b/>
                      <w:bCs/>
                      <w:color w:val="auto"/>
                      <w:spacing w:val="5"/>
                      <w:sz w:val="21"/>
                      <w:szCs w:val="21"/>
                      <w:highlight w:val="none"/>
                      <w:lang w:eastAsia="zh-CN"/>
                    </w:rPr>
                    <w:t>弃方（m</w:t>
                  </w:r>
                  <w:r>
                    <w:rPr>
                      <w:rFonts w:ascii="Times New Roman" w:hAnsi="Times New Roman" w:cs="Times New Roman" w:eastAsiaTheme="minorEastAsia"/>
                      <w:b/>
                      <w:bCs/>
                      <w:color w:val="auto"/>
                      <w:spacing w:val="5"/>
                      <w:sz w:val="21"/>
                      <w:szCs w:val="21"/>
                      <w:highlight w:val="none"/>
                      <w:vertAlign w:val="superscript"/>
                      <w:lang w:eastAsia="zh-CN"/>
                    </w:rPr>
                    <w:t>3</w:t>
                  </w:r>
                  <w:r>
                    <w:rPr>
                      <w:rFonts w:ascii="Times New Roman" w:hAnsi="Times New Roman" w:cs="Times New Roman" w:eastAsiaTheme="minorEastAsia"/>
                      <w:b/>
                      <w:bCs/>
                      <w:color w:val="auto"/>
                      <w:spacing w:val="5"/>
                      <w:sz w:val="21"/>
                      <w:szCs w:val="21"/>
                      <w:highlight w:val="none"/>
                      <w:lang w:eastAsia="zh-CN"/>
                    </w:rPr>
                    <w:t>）</w:t>
                  </w:r>
                </w:p>
              </w:tc>
            </w:tr>
            <w:tr w14:paraId="14592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Merge w:val="continue"/>
                  <w:vAlign w:val="center"/>
                </w:tcPr>
                <w:p w14:paraId="35910BDF">
                  <w:pPr>
                    <w:kinsoku/>
                    <w:jc w:val="center"/>
                    <w:rPr>
                      <w:rFonts w:ascii="Times New Roman" w:hAnsi="Times New Roman" w:cs="Times New Roman" w:eastAsiaTheme="minorEastAsia"/>
                      <w:b/>
                      <w:bCs/>
                      <w:color w:val="auto"/>
                      <w:highlight w:val="none"/>
                      <w:lang w:eastAsia="zh-CN"/>
                    </w:rPr>
                  </w:pPr>
                </w:p>
              </w:tc>
              <w:tc>
                <w:tcPr>
                  <w:tcW w:w="1215" w:type="dxa"/>
                  <w:vMerge w:val="continue"/>
                  <w:tcBorders>
                    <w:top w:val="nil"/>
                  </w:tcBorders>
                  <w:vAlign w:val="center"/>
                </w:tcPr>
                <w:p w14:paraId="18813398">
                  <w:pPr>
                    <w:kinsoku/>
                    <w:jc w:val="center"/>
                    <w:rPr>
                      <w:rFonts w:ascii="Times New Roman" w:hAnsi="Times New Roman" w:cs="Times New Roman" w:eastAsiaTheme="minorEastAsia"/>
                      <w:b/>
                      <w:bCs/>
                      <w:color w:val="auto"/>
                      <w:highlight w:val="none"/>
                      <w:lang w:eastAsia="zh-CN"/>
                    </w:rPr>
                  </w:pPr>
                </w:p>
              </w:tc>
              <w:tc>
                <w:tcPr>
                  <w:tcW w:w="1455" w:type="dxa"/>
                  <w:vMerge w:val="continue"/>
                  <w:tcBorders>
                    <w:top w:val="nil"/>
                  </w:tcBorders>
                  <w:vAlign w:val="center"/>
                </w:tcPr>
                <w:p w14:paraId="2FA50FEF">
                  <w:pPr>
                    <w:kinsoku/>
                    <w:jc w:val="center"/>
                    <w:rPr>
                      <w:rFonts w:ascii="Times New Roman" w:hAnsi="Times New Roman" w:cs="Times New Roman" w:eastAsiaTheme="minorEastAsia"/>
                      <w:b/>
                      <w:bCs/>
                      <w:color w:val="auto"/>
                      <w:highlight w:val="none"/>
                      <w:lang w:eastAsia="zh-CN"/>
                    </w:rPr>
                  </w:pPr>
                </w:p>
              </w:tc>
              <w:tc>
                <w:tcPr>
                  <w:tcW w:w="1744" w:type="dxa"/>
                  <w:vMerge w:val="continue"/>
                  <w:tcBorders>
                    <w:top w:val="nil"/>
                  </w:tcBorders>
                  <w:vAlign w:val="center"/>
                </w:tcPr>
                <w:p w14:paraId="6A6102C3">
                  <w:pPr>
                    <w:kinsoku/>
                    <w:jc w:val="center"/>
                    <w:rPr>
                      <w:rFonts w:ascii="Times New Roman" w:hAnsi="Times New Roman" w:cs="Times New Roman" w:eastAsiaTheme="minorEastAsia"/>
                      <w:b/>
                      <w:bCs/>
                      <w:color w:val="auto"/>
                      <w:highlight w:val="none"/>
                      <w:lang w:eastAsia="zh-CN"/>
                    </w:rPr>
                  </w:pPr>
                </w:p>
              </w:tc>
              <w:tc>
                <w:tcPr>
                  <w:tcW w:w="1274" w:type="dxa"/>
                  <w:vAlign w:val="center"/>
                </w:tcPr>
                <w:p w14:paraId="26B3E2DC">
                  <w:pPr>
                    <w:pStyle w:val="22"/>
                    <w:kinsoku/>
                    <w:spacing w:before="37" w:line="212" w:lineRule="auto"/>
                    <w:jc w:val="center"/>
                    <w:rPr>
                      <w:rFonts w:ascii="Times New Roman" w:hAnsi="Times New Roman" w:cs="Times New Roman" w:eastAsiaTheme="minorEastAsia"/>
                      <w:b/>
                      <w:bCs/>
                      <w:color w:val="auto"/>
                      <w:sz w:val="21"/>
                      <w:szCs w:val="21"/>
                      <w:highlight w:val="none"/>
                      <w:lang w:eastAsia="zh-CN"/>
                    </w:rPr>
                  </w:pPr>
                  <w:r>
                    <w:rPr>
                      <w:rFonts w:ascii="Times New Roman" w:hAnsi="Times New Roman" w:cs="Times New Roman" w:eastAsiaTheme="minorEastAsia"/>
                      <w:b/>
                      <w:bCs/>
                      <w:color w:val="auto"/>
                      <w:spacing w:val="3"/>
                      <w:sz w:val="21"/>
                      <w:szCs w:val="21"/>
                      <w:highlight w:val="none"/>
                      <w:lang w:eastAsia="zh-CN"/>
                    </w:rPr>
                    <w:t>数量</w:t>
                  </w:r>
                </w:p>
              </w:tc>
              <w:tc>
                <w:tcPr>
                  <w:tcW w:w="1416" w:type="dxa"/>
                  <w:tcBorders>
                    <w:right w:val="single" w:color="000000" w:sz="4" w:space="0"/>
                  </w:tcBorders>
                  <w:vAlign w:val="center"/>
                </w:tcPr>
                <w:p w14:paraId="5E12DA9A">
                  <w:pPr>
                    <w:pStyle w:val="22"/>
                    <w:kinsoku/>
                    <w:spacing w:before="37" w:line="212" w:lineRule="auto"/>
                    <w:jc w:val="center"/>
                    <w:rPr>
                      <w:rFonts w:ascii="Times New Roman" w:hAnsi="Times New Roman" w:cs="Times New Roman" w:eastAsiaTheme="minorEastAsia"/>
                      <w:b/>
                      <w:bCs/>
                      <w:color w:val="auto"/>
                      <w:sz w:val="21"/>
                      <w:szCs w:val="21"/>
                      <w:highlight w:val="none"/>
                      <w:lang w:eastAsia="zh-CN"/>
                    </w:rPr>
                  </w:pPr>
                  <w:r>
                    <w:rPr>
                      <w:rFonts w:ascii="Times New Roman" w:hAnsi="Times New Roman" w:cs="Times New Roman" w:eastAsiaTheme="minorEastAsia"/>
                      <w:b/>
                      <w:bCs/>
                      <w:color w:val="auto"/>
                      <w:spacing w:val="3"/>
                      <w:sz w:val="21"/>
                      <w:szCs w:val="21"/>
                      <w:highlight w:val="none"/>
                      <w:lang w:eastAsia="zh-CN"/>
                    </w:rPr>
                    <w:t>去向</w:t>
                  </w:r>
                </w:p>
              </w:tc>
            </w:tr>
            <w:tr w14:paraId="5E27A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Align w:val="center"/>
                </w:tcPr>
                <w:p w14:paraId="3B3EE705">
                  <w:pPr>
                    <w:kinsoku/>
                    <w:spacing w:before="58" w:line="194" w:lineRule="auto"/>
                    <w:jc w:val="center"/>
                    <w:rPr>
                      <w:rFonts w:ascii="Times New Roman" w:hAnsi="Times New Roman" w:cs="Times New Roman" w:eastAsiaTheme="minorEastAsia"/>
                      <w:color w:val="auto"/>
                      <w:spacing w:val="3"/>
                      <w:highlight w:val="none"/>
                      <w:lang w:eastAsia="zh-CN"/>
                    </w:rPr>
                  </w:pPr>
                  <w:r>
                    <w:rPr>
                      <w:rFonts w:ascii="Times New Roman" w:hAnsi="Times New Roman" w:cs="Times New Roman" w:eastAsiaTheme="minorEastAsia"/>
                      <w:color w:val="auto"/>
                      <w:spacing w:val="3"/>
                      <w:highlight w:val="none"/>
                      <w:lang w:eastAsia="zh-CN"/>
                    </w:rPr>
                    <w:t>合计</w:t>
                  </w:r>
                </w:p>
              </w:tc>
              <w:tc>
                <w:tcPr>
                  <w:tcW w:w="1215" w:type="dxa"/>
                  <w:vAlign w:val="center"/>
                </w:tcPr>
                <w:p w14:paraId="77316FF9">
                  <w:pPr>
                    <w:pStyle w:val="22"/>
                    <w:kinsoku/>
                    <w:spacing w:before="39" w:line="235" w:lineRule="auto"/>
                    <w:ind w:right="120"/>
                    <w:jc w:val="center"/>
                    <w:rPr>
                      <w:rFonts w:hint="default" w:ascii="Times New Roman" w:hAnsi="Times New Roman" w:cs="Times New Roman" w:eastAsiaTheme="minorEastAsia"/>
                      <w:color w:val="auto"/>
                      <w:spacing w:val="8"/>
                      <w:sz w:val="21"/>
                      <w:szCs w:val="21"/>
                      <w:highlight w:val="none"/>
                      <w:lang w:val="en-US" w:eastAsia="zh-CN"/>
                    </w:rPr>
                  </w:pPr>
                  <w:r>
                    <w:rPr>
                      <w:rFonts w:hint="eastAsia" w:ascii="Times New Roman" w:hAnsi="Times New Roman" w:cs="Times New Roman" w:eastAsiaTheme="minorEastAsia"/>
                      <w:color w:val="auto"/>
                      <w:spacing w:val="8"/>
                      <w:sz w:val="21"/>
                      <w:szCs w:val="21"/>
                      <w:highlight w:val="none"/>
                      <w:lang w:val="en-US" w:eastAsia="zh-CN"/>
                    </w:rPr>
                    <w:t>7956.2</w:t>
                  </w:r>
                </w:p>
              </w:tc>
              <w:tc>
                <w:tcPr>
                  <w:tcW w:w="1455" w:type="dxa"/>
                  <w:vAlign w:val="center"/>
                </w:tcPr>
                <w:p w14:paraId="3EA19666">
                  <w:pPr>
                    <w:pStyle w:val="22"/>
                    <w:kinsoku/>
                    <w:spacing w:before="39" w:line="235" w:lineRule="auto"/>
                    <w:ind w:right="120"/>
                    <w:jc w:val="center"/>
                    <w:rPr>
                      <w:rFonts w:hint="default" w:ascii="Times New Roman" w:hAnsi="Times New Roman" w:cs="Times New Roman" w:eastAsiaTheme="minorEastAsia"/>
                      <w:color w:val="auto"/>
                      <w:spacing w:val="8"/>
                      <w:sz w:val="21"/>
                      <w:szCs w:val="21"/>
                      <w:highlight w:val="none"/>
                      <w:lang w:val="en-US" w:eastAsia="zh-CN"/>
                    </w:rPr>
                  </w:pPr>
                  <w:r>
                    <w:rPr>
                      <w:rFonts w:hint="eastAsia" w:ascii="Times New Roman" w:hAnsi="Times New Roman" w:cs="Times New Roman" w:eastAsiaTheme="minorEastAsia"/>
                      <w:color w:val="auto"/>
                      <w:spacing w:val="8"/>
                      <w:sz w:val="21"/>
                      <w:szCs w:val="21"/>
                      <w:highlight w:val="none"/>
                      <w:lang w:val="en-US" w:eastAsia="zh-CN"/>
                    </w:rPr>
                    <w:t>7956.2</w:t>
                  </w:r>
                </w:p>
              </w:tc>
              <w:tc>
                <w:tcPr>
                  <w:tcW w:w="1744" w:type="dxa"/>
                  <w:vAlign w:val="center"/>
                </w:tcPr>
                <w:p w14:paraId="5813931B">
                  <w:pPr>
                    <w:pStyle w:val="22"/>
                    <w:kinsoku/>
                    <w:spacing w:before="39" w:line="235" w:lineRule="auto"/>
                    <w:ind w:right="120"/>
                    <w:jc w:val="center"/>
                    <w:rPr>
                      <w:rFonts w:ascii="Times New Roman" w:hAnsi="Times New Roman" w:cs="Times New Roman" w:eastAsiaTheme="minorEastAsia"/>
                      <w:color w:val="auto"/>
                      <w:spacing w:val="8"/>
                      <w:sz w:val="21"/>
                      <w:szCs w:val="21"/>
                      <w:highlight w:val="none"/>
                      <w:lang w:eastAsia="zh-CN"/>
                    </w:rPr>
                  </w:pPr>
                  <w:r>
                    <w:rPr>
                      <w:rFonts w:ascii="Times New Roman" w:hAnsi="Times New Roman" w:cs="Times New Roman" w:eastAsiaTheme="minorEastAsia"/>
                      <w:color w:val="auto"/>
                      <w:spacing w:val="8"/>
                      <w:sz w:val="21"/>
                      <w:szCs w:val="21"/>
                      <w:highlight w:val="none"/>
                      <w:lang w:eastAsia="zh-CN"/>
                    </w:rPr>
                    <w:t>0</w:t>
                  </w:r>
                </w:p>
              </w:tc>
              <w:tc>
                <w:tcPr>
                  <w:tcW w:w="1274" w:type="dxa"/>
                  <w:vAlign w:val="center"/>
                </w:tcPr>
                <w:p w14:paraId="01FF5AAA">
                  <w:pPr>
                    <w:kinsoku/>
                    <w:spacing w:before="58" w:line="194"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0</w:t>
                  </w:r>
                </w:p>
              </w:tc>
              <w:tc>
                <w:tcPr>
                  <w:tcW w:w="1416" w:type="dxa"/>
                  <w:tcBorders>
                    <w:right w:val="single" w:color="000000" w:sz="4" w:space="0"/>
                  </w:tcBorders>
                  <w:vAlign w:val="center"/>
                </w:tcPr>
                <w:p w14:paraId="3C45D5CB">
                  <w:pPr>
                    <w:kinsoku/>
                    <w:spacing w:before="54" w:line="198" w:lineRule="auto"/>
                    <w:jc w:val="center"/>
                    <w:rPr>
                      <w:rFonts w:ascii="Times New Roman" w:hAnsi="Times New Roman" w:cs="Times New Roman" w:eastAsiaTheme="minorEastAsia"/>
                      <w:color w:val="auto"/>
                      <w:spacing w:val="2"/>
                      <w:highlight w:val="none"/>
                      <w:lang w:eastAsia="zh-CN"/>
                    </w:rPr>
                  </w:pPr>
                  <w:r>
                    <w:rPr>
                      <w:rFonts w:ascii="Times New Roman" w:hAnsi="Times New Roman" w:cs="Times New Roman" w:eastAsiaTheme="minorEastAsia"/>
                      <w:color w:val="auto"/>
                      <w:spacing w:val="2"/>
                      <w:highlight w:val="none"/>
                      <w:lang w:eastAsia="zh-CN"/>
                    </w:rPr>
                    <w:t>/</w:t>
                  </w:r>
                </w:p>
              </w:tc>
            </w:tr>
          </w:tbl>
          <w:p w14:paraId="319C17C4">
            <w:pPr>
              <w:pStyle w:val="22"/>
              <w:widowControl w:val="0"/>
              <w:kinsoku/>
              <w:spacing w:line="360" w:lineRule="auto"/>
              <w:jc w:val="both"/>
              <w:rPr>
                <w:rFonts w:ascii="Times New Roman" w:hAnsi="Times New Roman" w:cs="Times New Roman"/>
                <w:b/>
                <w:bCs/>
                <w:color w:val="auto"/>
                <w:sz w:val="24"/>
                <w:szCs w:val="24"/>
                <w:highlight w:val="none"/>
                <w:lang w:eastAsia="zh-CN" w:bidi="ar"/>
              </w:rPr>
            </w:pPr>
          </w:p>
          <w:p w14:paraId="4C487685">
            <w:pPr>
              <w:pStyle w:val="22"/>
              <w:widowControl w:val="0"/>
              <w:kinsoku/>
              <w:spacing w:line="360" w:lineRule="auto"/>
              <w:jc w:val="both"/>
              <w:rPr>
                <w:rFonts w:ascii="Times New Roman" w:hAnsi="Times New Roman" w:cs="Times New Roman"/>
                <w:b/>
                <w:bCs/>
                <w:color w:val="auto"/>
                <w:sz w:val="24"/>
                <w:szCs w:val="24"/>
                <w:highlight w:val="none"/>
                <w:lang w:eastAsia="zh-CN" w:bidi="ar"/>
              </w:rPr>
            </w:pPr>
            <w:r>
              <w:rPr>
                <w:rFonts w:ascii="Times New Roman" w:hAnsi="Times New Roman" w:cs="Times New Roman"/>
                <w:b/>
                <w:bCs/>
                <w:color w:val="auto"/>
                <w:sz w:val="24"/>
                <w:szCs w:val="24"/>
                <w:highlight w:val="none"/>
                <w:lang w:eastAsia="zh-CN" w:bidi="ar"/>
              </w:rPr>
              <w:t>6.防渗设计</w:t>
            </w:r>
          </w:p>
          <w:p w14:paraId="12F7AEA0">
            <w:pPr>
              <w:pStyle w:val="22"/>
              <w:widowControl w:val="0"/>
              <w:kinsoku/>
              <w:spacing w:line="360" w:lineRule="auto"/>
              <w:ind w:firstLine="476" w:firstLineChars="200"/>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1"/>
                <w:sz w:val="24"/>
                <w:szCs w:val="24"/>
                <w:highlight w:val="none"/>
                <w:lang w:eastAsia="zh-CN"/>
              </w:rPr>
              <w:t>本项目</w:t>
            </w:r>
            <w:r>
              <w:rPr>
                <w:rFonts w:ascii="Times New Roman" w:hAnsi="Times New Roman" w:eastAsia="宋体" w:cs="Times New Roman"/>
                <w:color w:val="auto"/>
                <w:spacing w:val="-4"/>
                <w:sz w:val="24"/>
                <w:szCs w:val="24"/>
                <w:lang w:eastAsia="zh-CN"/>
              </w:rPr>
              <w:t>柴油储罐、发电</w:t>
            </w:r>
            <w:r>
              <w:rPr>
                <w:rFonts w:hint="eastAsia" w:ascii="Times New Roman" w:hAnsi="Times New Roman" w:eastAsia="宋体" w:cs="Times New Roman"/>
                <w:color w:val="auto"/>
                <w:spacing w:val="-4"/>
                <w:sz w:val="24"/>
                <w:szCs w:val="24"/>
                <w:lang w:val="en-US" w:eastAsia="zh-CN"/>
              </w:rPr>
              <w:t>机</w:t>
            </w:r>
            <w:r>
              <w:rPr>
                <w:rFonts w:ascii="Times New Roman" w:hAnsi="Times New Roman" w:eastAsia="宋体" w:cs="Times New Roman"/>
                <w:color w:val="auto"/>
                <w:spacing w:val="-4"/>
                <w:sz w:val="24"/>
                <w:szCs w:val="24"/>
                <w:lang w:eastAsia="zh-CN"/>
              </w:rPr>
              <w:t>房、不落地系统、泥浆储罐区、岩屑储罐区、危险</w:t>
            </w:r>
            <w:r>
              <w:rPr>
                <w:rFonts w:hint="eastAsia" w:ascii="Times New Roman" w:hAnsi="Times New Roman" w:eastAsia="宋体" w:cs="Times New Roman"/>
                <w:color w:val="auto"/>
                <w:spacing w:val="-4"/>
                <w:sz w:val="24"/>
                <w:szCs w:val="24"/>
                <w:lang w:val="en-US" w:eastAsia="zh-CN"/>
              </w:rPr>
              <w:t>贮存库</w:t>
            </w:r>
            <w:r>
              <w:rPr>
                <w:rFonts w:ascii="Times New Roman" w:hAnsi="Times New Roman" w:cs="Times New Roman"/>
                <w:color w:val="auto"/>
                <w:sz w:val="24"/>
                <w:szCs w:val="24"/>
                <w:highlight w:val="none"/>
                <w:lang w:eastAsia="zh-CN"/>
              </w:rPr>
              <w:t>采取重点防渗，参照《危险废物贮存污染控制标准》（</w:t>
            </w:r>
            <w:r>
              <w:rPr>
                <w:rFonts w:ascii="Times New Roman" w:hAnsi="Times New Roman" w:eastAsia="Times New Roman" w:cs="Times New Roman"/>
                <w:color w:val="auto"/>
                <w:spacing w:val="-1"/>
                <w:sz w:val="24"/>
                <w:szCs w:val="24"/>
                <w:highlight w:val="none"/>
                <w:lang w:eastAsia="zh-CN"/>
              </w:rPr>
              <w:t>GB18597-2023</w:t>
            </w:r>
            <w:r>
              <w:rPr>
                <w:rFonts w:ascii="Times New Roman" w:hAnsi="Times New Roman" w:cs="Times New Roman"/>
                <w:color w:val="auto"/>
                <w:spacing w:val="-1"/>
                <w:sz w:val="24"/>
                <w:szCs w:val="24"/>
                <w:highlight w:val="none"/>
                <w:lang w:eastAsia="zh-CN"/>
              </w:rPr>
              <w:t>）中相应防渗要求进行防渗；</w:t>
            </w:r>
            <w:r>
              <w:rPr>
                <w:rFonts w:ascii="Times New Roman" w:hAnsi="Times New Roman" w:eastAsia="宋体" w:cs="Times New Roman"/>
                <w:color w:val="auto"/>
                <w:spacing w:val="-4"/>
                <w:sz w:val="24"/>
                <w:szCs w:val="24"/>
                <w:highlight w:val="none"/>
                <w:lang w:eastAsia="zh-CN"/>
              </w:rPr>
              <w:t>移动厕所为一般</w:t>
            </w:r>
            <w:r>
              <w:rPr>
                <w:rFonts w:ascii="Times New Roman" w:hAnsi="Times New Roman" w:eastAsia="宋体" w:cs="Times New Roman"/>
                <w:color w:val="auto"/>
                <w:spacing w:val="-4"/>
                <w:sz w:val="24"/>
                <w:szCs w:val="24"/>
                <w:lang w:eastAsia="zh-CN"/>
              </w:rPr>
              <w:t>防渗区；水罐区、库房和值班房等其他区域为简单防渗区</w:t>
            </w:r>
            <w:r>
              <w:rPr>
                <w:rFonts w:ascii="Times New Roman" w:hAnsi="Times New Roman" w:cs="Times New Roman"/>
                <w:color w:val="auto"/>
                <w:spacing w:val="-1"/>
                <w:sz w:val="24"/>
                <w:szCs w:val="24"/>
                <w:highlight w:val="none"/>
                <w:lang w:eastAsia="zh-CN"/>
              </w:rPr>
              <w:t>。</w:t>
            </w:r>
          </w:p>
        </w:tc>
      </w:tr>
      <w:tr w14:paraId="2F63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7CDE47EC">
            <w:pPr>
              <w:widowControl w:val="0"/>
              <w:kinsoku/>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 w:val="24"/>
                <w:szCs w:val="24"/>
                <w:highlight w:val="none"/>
              </w:rPr>
              <w:t>施工方案</w:t>
            </w:r>
          </w:p>
        </w:tc>
        <w:tc>
          <w:tcPr>
            <w:tcW w:w="8394" w:type="dxa"/>
          </w:tcPr>
          <w:p w14:paraId="767A214A">
            <w:pPr>
              <w:pStyle w:val="22"/>
              <w:widowControl w:val="0"/>
              <w:kinsoku/>
              <w:spacing w:before="36" w:line="227"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7"/>
                <w:sz w:val="24"/>
                <w:szCs w:val="24"/>
                <w:highlight w:val="none"/>
                <w:lang w:eastAsia="zh-CN"/>
              </w:rPr>
              <w:t>工艺流程简述（图示</w:t>
            </w:r>
            <w:r>
              <w:rPr>
                <w:rFonts w:ascii="Times New Roman" w:hAnsi="Times New Roman" w:cs="Times New Roman"/>
                <w:b/>
                <w:bCs/>
                <w:color w:val="auto"/>
                <w:spacing w:val="-1"/>
                <w:sz w:val="24"/>
                <w:szCs w:val="24"/>
                <w:highlight w:val="none"/>
                <w:lang w:eastAsia="zh-CN"/>
              </w:rPr>
              <w:t>）：</w:t>
            </w:r>
          </w:p>
          <w:p w14:paraId="465C1E20">
            <w:pPr>
              <w:pStyle w:val="22"/>
              <w:widowControl w:val="0"/>
              <w:kinsoku/>
              <w:spacing w:before="183" w:line="360" w:lineRule="auto"/>
              <w:ind w:firstLine="492"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3"/>
                <w:sz w:val="24"/>
                <w:szCs w:val="24"/>
                <w:highlight w:val="none"/>
                <w:lang w:eastAsia="zh-CN"/>
              </w:rPr>
              <w:t>本项目包括钻井及试油工程，其中单井</w:t>
            </w:r>
            <w:r>
              <w:rPr>
                <w:rFonts w:ascii="Times New Roman" w:hAnsi="Times New Roman" w:cs="Times New Roman"/>
                <w:color w:val="auto"/>
                <w:spacing w:val="-1"/>
                <w:sz w:val="24"/>
                <w:szCs w:val="24"/>
                <w:highlight w:val="none"/>
                <w:lang w:eastAsia="zh-CN"/>
              </w:rPr>
              <w:t>钻井期为90天，</w:t>
            </w:r>
            <w:r>
              <w:rPr>
                <w:rFonts w:ascii="Times New Roman" w:hAnsi="Times New Roman" w:cs="Times New Roman"/>
                <w:color w:val="auto"/>
                <w:spacing w:val="3"/>
                <w:sz w:val="24"/>
                <w:szCs w:val="24"/>
                <w:highlight w:val="none"/>
                <w:lang w:eastAsia="zh-CN"/>
              </w:rPr>
              <w:t>试油期300天。</w:t>
            </w:r>
          </w:p>
          <w:p w14:paraId="56FC9069">
            <w:pPr>
              <w:pStyle w:val="22"/>
              <w:widowControl w:val="0"/>
              <w:numPr>
                <w:ilvl w:val="0"/>
                <w:numId w:val="6"/>
              </w:numPr>
              <w:kinsoku/>
              <w:spacing w:before="39" w:line="360" w:lineRule="auto"/>
              <w:ind w:left="12"/>
              <w:jc w:val="both"/>
              <w:rPr>
                <w:rFonts w:ascii="Times New Roman" w:hAnsi="Times New Roman" w:cs="Times New Roman"/>
                <w:b/>
                <w:bCs/>
                <w:color w:val="auto"/>
                <w:spacing w:val="-8"/>
                <w:sz w:val="24"/>
                <w:szCs w:val="24"/>
                <w:highlight w:val="none"/>
              </w:rPr>
            </w:pPr>
            <w:r>
              <w:rPr>
                <w:rFonts w:ascii="Times New Roman" w:hAnsi="Times New Roman" w:cs="Times New Roman"/>
                <w:b/>
                <w:bCs/>
                <w:color w:val="auto"/>
                <w:spacing w:val="-8"/>
                <w:sz w:val="24"/>
                <w:szCs w:val="24"/>
                <w:highlight w:val="none"/>
              </w:rPr>
              <w:t>钻井工艺流程</w:t>
            </w:r>
          </w:p>
          <w:p w14:paraId="323CDD5E">
            <w:pPr>
              <w:pStyle w:val="22"/>
              <w:widowControl w:val="0"/>
              <w:kinsoku/>
              <w:spacing w:before="183" w:line="360" w:lineRule="auto"/>
              <w:ind w:firstLine="492" w:firstLineChars="200"/>
              <w:jc w:val="both"/>
              <w:rPr>
                <w:rFonts w:ascii="Times New Roman" w:hAnsi="Times New Roman" w:cs="Times New Roman"/>
                <w:color w:val="auto"/>
                <w:spacing w:val="3"/>
                <w:sz w:val="24"/>
                <w:szCs w:val="24"/>
                <w:highlight w:val="none"/>
                <w:lang w:eastAsia="zh-CN"/>
              </w:rPr>
            </w:pPr>
            <w:r>
              <w:rPr>
                <w:rFonts w:ascii="Times New Roman" w:hAnsi="Times New Roman" w:cs="Times New Roman"/>
                <w:color w:val="auto"/>
                <w:spacing w:val="3"/>
                <w:sz w:val="24"/>
                <w:szCs w:val="24"/>
                <w:highlight w:val="none"/>
                <w:lang w:eastAsia="zh-CN"/>
              </w:rPr>
              <w:t>项目钻井工艺流程及其产污节点图见图2-4。</w:t>
            </w:r>
          </w:p>
          <w:p w14:paraId="64053517">
            <w:pPr>
              <w:pStyle w:val="22"/>
              <w:widowControl w:val="0"/>
              <w:kinsoku/>
              <w:spacing w:before="39"/>
              <w:ind w:left="12" w:firstLine="400" w:firstLineChars="200"/>
              <w:jc w:val="center"/>
              <w:rPr>
                <w:rFonts w:ascii="Times New Roman" w:hAnsi="Times New Roman" w:cs="Times New Roman"/>
                <w:color w:val="auto"/>
                <w:highlight w:val="none"/>
              </w:rPr>
            </w:pPr>
            <w:r>
              <w:rPr>
                <w:rFonts w:ascii="Times New Roman" w:hAnsi="Times New Roman" w:cs="Times New Roman"/>
                <w:color w:val="auto"/>
                <w:position w:val="-66"/>
                <w:highlight w:val="none"/>
              </w:rPr>
              <w:drawing>
                <wp:inline distT="0" distB="0" distL="0" distR="0">
                  <wp:extent cx="4692015" cy="1824355"/>
                  <wp:effectExtent l="0" t="0" r="13335" b="4445"/>
                  <wp:docPr id="40" name="IM 26"/>
                  <wp:cNvGraphicFramePr/>
                  <a:graphic xmlns:a="http://schemas.openxmlformats.org/drawingml/2006/main">
                    <a:graphicData uri="http://schemas.openxmlformats.org/drawingml/2006/picture">
                      <pic:pic xmlns:pic="http://schemas.openxmlformats.org/drawingml/2006/picture">
                        <pic:nvPicPr>
                          <pic:cNvPr id="40" name="IM 26"/>
                          <pic:cNvPicPr/>
                        </pic:nvPicPr>
                        <pic:blipFill>
                          <a:blip r:embed="rId13"/>
                          <a:stretch>
                            <a:fillRect/>
                          </a:stretch>
                        </pic:blipFill>
                        <pic:spPr>
                          <a:xfrm>
                            <a:off x="0" y="0"/>
                            <a:ext cx="4692015" cy="1824355"/>
                          </a:xfrm>
                          <a:prstGeom prst="rect">
                            <a:avLst/>
                          </a:prstGeom>
                        </pic:spPr>
                      </pic:pic>
                    </a:graphicData>
                  </a:graphic>
                </wp:inline>
              </w:drawing>
            </w:r>
          </w:p>
          <w:p w14:paraId="36D29A4F">
            <w:pPr>
              <w:pStyle w:val="22"/>
              <w:widowControl w:val="0"/>
              <w:kinsoku/>
              <w:spacing w:before="169"/>
              <w:jc w:val="center"/>
              <w:rPr>
                <w:rFonts w:ascii="Times New Roman" w:hAnsi="Times New Roman" w:cs="Times New Roman"/>
                <w:b/>
                <w:bCs/>
                <w:color w:val="auto"/>
                <w:spacing w:val="4"/>
                <w:sz w:val="21"/>
                <w:szCs w:val="21"/>
                <w:highlight w:val="none"/>
                <w:lang w:eastAsia="zh-CN"/>
              </w:rPr>
            </w:pPr>
            <w:r>
              <w:rPr>
                <w:rFonts w:ascii="Times New Roman" w:hAnsi="Times New Roman" w:cs="Times New Roman"/>
                <w:b/>
                <w:bCs/>
                <w:color w:val="auto"/>
                <w:spacing w:val="4"/>
                <w:sz w:val="21"/>
                <w:szCs w:val="21"/>
                <w:highlight w:val="none"/>
                <w:lang w:eastAsia="zh-CN"/>
              </w:rPr>
              <w:t>图2-4 钻井工艺流程及产污节点图</w:t>
            </w:r>
          </w:p>
          <w:p w14:paraId="07D3B600">
            <w:pPr>
              <w:pStyle w:val="22"/>
              <w:widowControl w:val="0"/>
              <w:kinsoku/>
              <w:spacing w:before="183" w:line="360" w:lineRule="auto"/>
              <w:ind w:firstLine="492"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3"/>
                <w:sz w:val="24"/>
                <w:szCs w:val="24"/>
                <w:highlight w:val="none"/>
                <w:lang w:eastAsia="zh-CN"/>
              </w:rPr>
              <w:t>本项目为准噶尔盆地阜康凹陷康探1块阜4803H、阜4805H两口评价井钻试工程，工艺流程总体为“钻前工程（三通一平、井场平整、道路及营地搭建、设备进场安装）→钻井工程（三开井身结构：导眼/一开/二开/三开钻进，配套泥浆循环、固控及不落地系统）→固井→试油工程（通井、洗井、试压、射孔、诱喷、压裂、求产等，带罐作业）→根据试油结果关井/封井并撤场、清理平整与生态恢复”，施工全过程的产污环节与影响要素对应关系为：①大气环境：钻前土方与道路施工、物料堆存与车辆运输产生扬尘；钻井及试油配套柴油机/发电机运行产生燃油废气；冬季保温采用生物质蒸汽锅炉产生燃烧废气；试油阶段伴生气经放喷管线充分燃烧后放空，井场原油临时储罐装卸及储存存在一定无组织挥发（需通过规范装卸、设备密闭与现场管理控制）；②水环境：钻井过程以泥浆循环为主，一般不外排生产废水；生活污水依托移动厕所及防渗收集设施收集后外运至市政污水处理厂；试油/压裂等井下作业废水（洗井废水、压裂返排液等）全部带罐回收，拉运至康探001临时拉油站中转，进入吉28脱水站处理达标后全部回注油藏、不外排（需强化罐车运输与装卸防渗、防溢流及台账管理，防止跑冒滴漏导致地表/土壤污染）；③声环境：主要噪声源为钻机、泥浆泵、固控设备、柴油机/发电机及压裂泵车、车辆运输等，采取减振、隔声、合理布置与加强维护等措施控制厂界噪声影响；④固体废物：钻井岩屑及废弃钻井液依托不落地系统进行固液分离与分类处置，其中阜4803H各井段均为水基钻井液，水基岩屑按一般工业固废管理，集中暂存后委托第三方合规处理/综合利用；阜4805H三开段采用油基钻井液，油基岩屑与废弃油基钻井泥浆按危险废物管理，连同设备检修产生的废润滑油、废油桶及沾油废防渗材料等在井场危废暂存设施分类暂存并委托有资质单位转运处置；试油过程落地油通过带罐作业与井口防渗等措施实现100%回收；生活垃圾设置垃圾箱集中收集后委托第三方清运至当地垃圾场处理——通过上述“工艺—产污节点—分类收集—依托处置/回注/外运”的闭环管理，可将施工期废气、废水、噪声与固废影响控制在可接受范围内，且钻试结束后污染影响随施工活动停止而终止。</w:t>
            </w:r>
          </w:p>
          <w:p w14:paraId="5FF9E10F">
            <w:pPr>
              <w:pStyle w:val="22"/>
              <w:widowControl w:val="0"/>
              <w:kinsoku/>
              <w:spacing w:line="360"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z w:val="24"/>
                <w:szCs w:val="24"/>
                <w:highlight w:val="none"/>
                <w:lang w:eastAsia="zh-CN"/>
              </w:rPr>
              <w:t>1.1钻前</w:t>
            </w:r>
            <w:r>
              <w:rPr>
                <w:rFonts w:ascii="Times New Roman" w:hAnsi="Times New Roman" w:cs="Times New Roman"/>
                <w:b/>
                <w:bCs/>
                <w:color w:val="auto"/>
                <w:spacing w:val="-4"/>
                <w:sz w:val="24"/>
                <w:szCs w:val="24"/>
                <w:highlight w:val="none"/>
                <w:lang w:eastAsia="zh-CN"/>
              </w:rPr>
              <w:t>作业</w:t>
            </w:r>
          </w:p>
          <w:p w14:paraId="103BEC18">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（1）钻前整理场地，并保证全套钻井设备达到相关的安装标准。</w:t>
            </w:r>
          </w:p>
          <w:p w14:paraId="65DD20EB">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（2）在钻机安装的过程中，注意保护井口设备。</w:t>
            </w:r>
          </w:p>
          <w:p w14:paraId="6F44CD28">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（3）要求天车、转盘、井口三点成一条铅垂线，误差小于10mm；确保在施工过程中不偏磨井口套管及井控设备。</w:t>
            </w:r>
          </w:p>
          <w:p w14:paraId="3D7F660D">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（4）设备运转正常，安全装置灵活好用。各种仪器仪表准确灵敏好用。</w:t>
            </w:r>
          </w:p>
          <w:p w14:paraId="5B7AD790">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（5）地面高压管线用清水按标准试压。</w:t>
            </w:r>
          </w:p>
          <w:p w14:paraId="12AC9D29">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（6）钻具在入井前必须用通径规通径。</w:t>
            </w:r>
          </w:p>
          <w:p w14:paraId="0315EC50">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（7）对所有的下井钻具进行外观检查和超声波探伤，准确丈量钻具，钻具记录上注明内外径、扣型，特殊工具要画草图。</w:t>
            </w:r>
          </w:p>
          <w:p w14:paraId="7B17784C">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（8）修建进场道路。</w:t>
            </w:r>
          </w:p>
          <w:p w14:paraId="4E6F0781">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1.2钻井施工</w:t>
            </w:r>
          </w:p>
          <w:p w14:paraId="147FAF11">
            <w:pPr>
              <w:pStyle w:val="22"/>
              <w:widowControl w:val="0"/>
              <w:kinsoku/>
              <w:spacing w:line="360" w:lineRule="auto"/>
              <w:ind w:firstLine="480" w:firstLineChars="20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eastAsia="zh-CN"/>
              </w:rPr>
              <w:t>钻井是采用旋转的钻头给所钻的地层一定的压力，使钻头的牙齿嵌入地层，然后旋转钻头，利用旋转钻头的扭矩来切削地层，并用循环的钻井液将钻屑带出井眼，以保证持续钻井。</w:t>
            </w:r>
            <w:r>
              <w:rPr>
                <w:rFonts w:ascii="Times New Roman" w:hAnsi="Times New Roman" w:cs="Times New Roman"/>
                <w:color w:val="auto"/>
                <w:sz w:val="24"/>
                <w:szCs w:val="24"/>
                <w:highlight w:val="none"/>
              </w:rPr>
              <w:t>钻井施工作业流程及排污节点见图2-</w:t>
            </w:r>
            <w:r>
              <w:rPr>
                <w:rFonts w:ascii="Times New Roman" w:hAnsi="Times New Roman" w:cs="Times New Roman"/>
                <w:color w:val="auto"/>
                <w:sz w:val="24"/>
                <w:szCs w:val="24"/>
                <w:highlight w:val="none"/>
                <w:lang w:eastAsia="zh-CN"/>
              </w:rPr>
              <w:t>5</w:t>
            </w:r>
            <w:r>
              <w:rPr>
                <w:rFonts w:ascii="Times New Roman" w:hAnsi="Times New Roman" w:cs="Times New Roman"/>
                <w:color w:val="auto"/>
                <w:sz w:val="24"/>
                <w:szCs w:val="24"/>
                <w:highlight w:val="none"/>
              </w:rPr>
              <w:t>。</w:t>
            </w:r>
          </w:p>
          <w:p w14:paraId="016BD26E">
            <w:pPr>
              <w:pStyle w:val="22"/>
              <w:widowControl w:val="0"/>
              <w:kinsoku/>
              <w:spacing w:line="360" w:lineRule="auto"/>
              <w:ind w:firstLine="400" w:firstLineChars="200"/>
              <w:jc w:val="center"/>
              <w:rPr>
                <w:rFonts w:ascii="Times New Roman" w:hAnsi="Times New Roman" w:cs="Times New Roman"/>
                <w:b/>
                <w:bCs/>
                <w:color w:val="auto"/>
                <w:sz w:val="24"/>
                <w:szCs w:val="24"/>
                <w:highlight w:val="none"/>
              </w:rPr>
            </w:pPr>
            <w:r>
              <w:rPr>
                <w:rFonts w:ascii="Times New Roman" w:hAnsi="Times New Roman" w:cs="Times New Roman"/>
                <w:color w:val="auto"/>
                <w:position w:val="-68"/>
                <w:highlight w:val="none"/>
              </w:rPr>
              <w:drawing>
                <wp:inline distT="0" distB="0" distL="0" distR="0">
                  <wp:extent cx="3585845" cy="2179320"/>
                  <wp:effectExtent l="0" t="0" r="14605" b="1143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
                          <a:stretch>
                            <a:fillRect/>
                          </a:stretch>
                        </pic:blipFill>
                        <pic:spPr>
                          <a:xfrm>
                            <a:off x="0" y="0"/>
                            <a:ext cx="3585971" cy="2179320"/>
                          </a:xfrm>
                          <a:prstGeom prst="rect">
                            <a:avLst/>
                          </a:prstGeom>
                        </pic:spPr>
                      </pic:pic>
                    </a:graphicData>
                  </a:graphic>
                </wp:inline>
              </w:drawing>
            </w:r>
          </w:p>
          <w:p w14:paraId="207482BB">
            <w:pPr>
              <w:pStyle w:val="22"/>
              <w:widowControl w:val="0"/>
              <w:kinsoku/>
              <w:spacing w:before="176" w:line="360" w:lineRule="auto"/>
              <w:ind w:left="2416"/>
              <w:jc w:val="both"/>
              <w:rPr>
                <w:rFonts w:ascii="Times New Roman" w:hAnsi="Times New Roman" w:cs="Times New Roman"/>
                <w:color w:val="auto"/>
                <w:sz w:val="21"/>
                <w:szCs w:val="21"/>
                <w:highlight w:val="none"/>
                <w:lang w:eastAsia="zh-CN"/>
              </w:rPr>
            </w:pPr>
            <w:r>
              <w:rPr>
                <w:rFonts w:ascii="Times New Roman" w:hAnsi="Times New Roman" w:cs="Times New Roman"/>
                <w:b/>
                <w:bCs/>
                <w:color w:val="auto"/>
                <w:spacing w:val="6"/>
                <w:sz w:val="21"/>
                <w:szCs w:val="21"/>
                <w:highlight w:val="none"/>
                <w:lang w:eastAsia="zh-CN"/>
              </w:rPr>
              <w:t>图2-5 钻井施工作业流程及产污节点图</w:t>
            </w:r>
          </w:p>
          <w:p w14:paraId="38492141">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钻井时井筒排出的钻井泥浆及岩屑进入泥浆不落地循环系统，随后用专用车辆拉至环保处置单位集中处理。</w:t>
            </w:r>
          </w:p>
          <w:p w14:paraId="4148529A">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1.3固井作业</w:t>
            </w:r>
          </w:p>
          <w:p w14:paraId="0E95C6B3">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固井是在已钻成的井眼内下入套管，然后在套管与井壁之间环</w:t>
            </w:r>
            <w:r>
              <w:rPr>
                <w:rFonts w:hint="eastAsia" w:ascii="Times New Roman" w:hAnsi="Times New Roman" w:cs="Times New Roman"/>
                <w:color w:val="auto"/>
                <w:sz w:val="24"/>
                <w:szCs w:val="24"/>
                <w:highlight w:val="none"/>
                <w:lang w:val="en-US" w:eastAsia="zh-CN"/>
              </w:rPr>
              <w:t>孔</w:t>
            </w:r>
            <w:r>
              <w:rPr>
                <w:rFonts w:ascii="Times New Roman" w:hAnsi="Times New Roman" w:cs="Times New Roman"/>
                <w:color w:val="auto"/>
                <w:sz w:val="24"/>
                <w:szCs w:val="24"/>
                <w:highlight w:val="none"/>
                <w:lang w:eastAsia="zh-CN"/>
              </w:rPr>
              <w:t>内注入水泥浆将套管和地层固结在一起的工艺过程，可防止复杂情况以保证安全继续钻进下一段井眼或保证顺利开采生产层中的油、气。</w:t>
            </w:r>
          </w:p>
          <w:p w14:paraId="22F471F5">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防喷设备等。</w:t>
            </w:r>
          </w:p>
          <w:p w14:paraId="16C48EEF">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另外，现场施工前根据实际情况要做水泥浆配方及性能复核试验，同时，如果是钻井中井漏严重，则应考虑采用双凝水泥浆体系固井，从而提高固井质量，防止因为井漏事故造成地下水环境污染。</w:t>
            </w:r>
          </w:p>
          <w:p w14:paraId="0DAC32E1">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2.试油作业</w:t>
            </w:r>
          </w:p>
          <w:p w14:paraId="2228A33A">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在钻井施工完毕后对目的层进行试油作业。主要包括试油准备、储层改造和试油。</w:t>
            </w:r>
          </w:p>
          <w:p w14:paraId="0C0AB879">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2.1试油准备</w:t>
            </w:r>
          </w:p>
          <w:p w14:paraId="1253A99D">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试油准备主要进行通井、洗井和试压工作。通井时用钻杆或油管带通井规下入井内，检查套管是否有影响试油工具通过的弯曲和固体物质等；洗井使用泵注设备，利用洗井液，通过井内管柱内外循环，清除套管壁杂物等；试压用气体或液体介质，对地面流程、井口设备、井下套管等进行耐压程度检验。</w:t>
            </w:r>
          </w:p>
          <w:p w14:paraId="2E9EB398">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2.2储层改造</w:t>
            </w:r>
          </w:p>
          <w:p w14:paraId="195C939B">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储层改造包括射孔和压裂两</w:t>
            </w:r>
            <w:r>
              <w:rPr>
                <w:rFonts w:hint="eastAsia" w:ascii="Times New Roman" w:hAnsi="Times New Roman" w:cs="Times New Roman"/>
                <w:color w:val="auto"/>
                <w:sz w:val="24"/>
                <w:szCs w:val="24"/>
                <w:highlight w:val="none"/>
                <w:lang w:val="en-US" w:eastAsia="zh-CN"/>
              </w:rPr>
              <w:t>道</w:t>
            </w:r>
            <w:r>
              <w:rPr>
                <w:rFonts w:ascii="Times New Roman" w:hAnsi="Times New Roman" w:cs="Times New Roman"/>
                <w:color w:val="auto"/>
                <w:sz w:val="24"/>
                <w:szCs w:val="24"/>
                <w:highlight w:val="none"/>
                <w:lang w:eastAsia="zh-CN"/>
              </w:rPr>
              <w:t>工序。射孔时利用专用设备和射孔枪，对套管和井壁进行射孔，建立地层与井筒之间的通道；射孔方式为：桥射联作；压裂时用泵车将压裂液挤入油层，当把油层压出许多裂缝后加入支撑剂（如石英砂等），使其充填进裂缝，可有效提高油气层的渗透能力。停泵后，压裂返排液自喷返排至地面专用废液收集罐中，拉运至吉28脱水站污水处理系统处理。</w:t>
            </w:r>
          </w:p>
          <w:p w14:paraId="0F975C6E">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其中压裂工艺具体为：泵注桥塞射孔连作→压裂→焖井→排液→测试生产。</w:t>
            </w:r>
          </w:p>
          <w:p w14:paraId="3CC1A780">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项目压裂作业工艺流程及其产污环节图见图2-6。</w:t>
            </w:r>
          </w:p>
          <w:p w14:paraId="6C43B489">
            <w:pPr>
              <w:pStyle w:val="22"/>
              <w:widowControl w:val="0"/>
              <w:kinsoku/>
              <w:spacing w:line="360" w:lineRule="auto"/>
              <w:jc w:val="center"/>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drawing>
                <wp:inline distT="0" distB="0" distL="114300" distR="114300">
                  <wp:extent cx="4613275" cy="1070610"/>
                  <wp:effectExtent l="0" t="0" r="15875" b="15240"/>
                  <wp:docPr id="5" name="图片 5" descr="压裂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压裂工艺"/>
                          <pic:cNvPicPr>
                            <a:picLocks noChangeAspect="1"/>
                          </pic:cNvPicPr>
                        </pic:nvPicPr>
                        <pic:blipFill>
                          <a:blip r:embed="rId15"/>
                          <a:stretch>
                            <a:fillRect/>
                          </a:stretch>
                        </pic:blipFill>
                        <pic:spPr>
                          <a:xfrm>
                            <a:off x="0" y="0"/>
                            <a:ext cx="4613275" cy="1070610"/>
                          </a:xfrm>
                          <a:prstGeom prst="rect">
                            <a:avLst/>
                          </a:prstGeom>
                        </pic:spPr>
                      </pic:pic>
                    </a:graphicData>
                  </a:graphic>
                </wp:inline>
              </w:drawing>
            </w:r>
          </w:p>
          <w:p w14:paraId="7C71E034">
            <w:pPr>
              <w:widowControl/>
              <w:kinsoku/>
              <w:spacing w:line="360" w:lineRule="auto"/>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b/>
                <w:bCs/>
                <w:color w:val="auto"/>
                <w:spacing w:val="5"/>
                <w:highlight w:val="none"/>
                <w:lang w:eastAsia="zh-CN"/>
              </w:rPr>
              <w:t>图2-6 压裂作业工艺流程及产污环节图</w:t>
            </w:r>
          </w:p>
          <w:p w14:paraId="37B33595">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2.3试油</w:t>
            </w:r>
          </w:p>
          <w:p w14:paraId="711B775B">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储层改造完成后方可进行试油作业，需在井口安装分离器，对获取的地层油、气、水进行取样。采出液进入地面储罐，最终由罐车拉运至吉28脱水站原油处理系统处理，具备燃烧条件的伴生气通过地面排气管线充分燃烧后放空。</w:t>
            </w:r>
          </w:p>
          <w:p w14:paraId="45BEE348">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项目试油作业流程见图2-7。</w:t>
            </w:r>
          </w:p>
          <w:p w14:paraId="4722197F">
            <w:pPr>
              <w:pStyle w:val="22"/>
              <w:widowControl w:val="0"/>
              <w:kinsoku/>
              <w:spacing w:line="360" w:lineRule="auto"/>
              <w:jc w:val="center"/>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drawing>
                <wp:inline distT="0" distB="0" distL="114300" distR="114300">
                  <wp:extent cx="3846830" cy="2664460"/>
                  <wp:effectExtent l="0" t="0" r="1270" b="2540"/>
                  <wp:docPr id="3" name="图片 3" descr="e80b3dd4f6e8fc2d5bd7f6884012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80b3dd4f6e8fc2d5bd7f6884012b00"/>
                          <pic:cNvPicPr>
                            <a:picLocks noChangeAspect="1"/>
                          </pic:cNvPicPr>
                        </pic:nvPicPr>
                        <pic:blipFill>
                          <a:blip r:embed="rId16"/>
                          <a:stretch>
                            <a:fillRect/>
                          </a:stretch>
                        </pic:blipFill>
                        <pic:spPr>
                          <a:xfrm>
                            <a:off x="0" y="0"/>
                            <a:ext cx="3846830" cy="2664460"/>
                          </a:xfrm>
                          <a:prstGeom prst="rect">
                            <a:avLst/>
                          </a:prstGeom>
                        </pic:spPr>
                      </pic:pic>
                    </a:graphicData>
                  </a:graphic>
                </wp:inline>
              </w:drawing>
            </w:r>
          </w:p>
          <w:p w14:paraId="0238FCE6">
            <w:pPr>
              <w:pStyle w:val="22"/>
              <w:widowControl w:val="0"/>
              <w:kinsoku/>
              <w:spacing w:before="183" w:line="360" w:lineRule="auto"/>
              <w:ind w:left="2624"/>
              <w:jc w:val="both"/>
              <w:rPr>
                <w:rFonts w:ascii="Times New Roman" w:hAnsi="Times New Roman" w:cs="Times New Roman"/>
                <w:color w:val="auto"/>
                <w:sz w:val="21"/>
                <w:szCs w:val="21"/>
                <w:highlight w:val="none"/>
                <w:lang w:eastAsia="zh-CN"/>
              </w:rPr>
            </w:pPr>
            <w:r>
              <w:rPr>
                <w:rFonts w:ascii="Times New Roman" w:hAnsi="Times New Roman" w:cs="Times New Roman"/>
                <w:b/>
                <w:bCs/>
                <w:color w:val="auto"/>
                <w:spacing w:val="5"/>
                <w:sz w:val="21"/>
                <w:szCs w:val="21"/>
                <w:highlight w:val="none"/>
                <w:lang w:eastAsia="zh-CN"/>
              </w:rPr>
              <w:t>图2-7 试油作业流程及产污节点图</w:t>
            </w:r>
          </w:p>
          <w:p w14:paraId="5F4ABC46">
            <w:pPr>
              <w:pStyle w:val="22"/>
              <w:widowControl w:val="0"/>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3.钻后工程（完井和封井）</w:t>
            </w:r>
          </w:p>
          <w:p w14:paraId="5125B687">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试油作业结束后，如该油井具备商业开采价值，则对油井进行关井，后期根据油田开发要求转入开采井（转开采井的污染影响不包含在本次评价工作中）。如该油井不具备开采价值，则对地面设施进行拆除，对井口按照《吐哈油田报废井封井实施细则（试行）》进行封井作业。撤去所有生产设施、平整井场；清理钻井现场，将垃圾、物料清理干净。</w:t>
            </w:r>
          </w:p>
          <w:p w14:paraId="2ED83581">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（1）临时封井：在试油获得相关参数后，进行临时封井，在井下50—100m注入水形成水泥塞，水泥塞试压合格后完成临时封井。</w:t>
            </w:r>
          </w:p>
          <w:p w14:paraId="3789753F">
            <w:pPr>
              <w:pStyle w:val="22"/>
              <w:widowControl w:val="0"/>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（2）永久封井：具体按照吐哈油田报废井封井实施细则执行，如果有农田，应该按照敏感级报废油水井封井处理，措施为：</w:t>
            </w:r>
            <w:r>
              <w:rPr>
                <w:rFonts w:ascii="Cambria Math" w:hAnsi="Cambria Math" w:cs="Cambria Math"/>
                <w:color w:val="auto"/>
                <w:sz w:val="24"/>
                <w:szCs w:val="24"/>
                <w:highlight w:val="none"/>
                <w:lang w:eastAsia="zh-CN"/>
              </w:rPr>
              <w:t>①</w:t>
            </w:r>
            <w:r>
              <w:rPr>
                <w:rFonts w:ascii="Times New Roman" w:hAnsi="Times New Roman" w:cs="Times New Roman"/>
                <w:color w:val="auto"/>
                <w:sz w:val="24"/>
                <w:szCs w:val="24"/>
                <w:highlight w:val="none"/>
                <w:lang w:eastAsia="zh-CN"/>
              </w:rPr>
              <w:t>挤封已射孔井段，对射孔井段进行挤封，挤封后余留水泥塞面不得低于射孔井段顶界50m;</w:t>
            </w:r>
            <w:r>
              <w:rPr>
                <w:rFonts w:ascii="Cambria Math" w:hAnsi="Cambria Math" w:cs="Cambria Math"/>
                <w:color w:val="auto"/>
                <w:sz w:val="24"/>
                <w:szCs w:val="24"/>
                <w:highlight w:val="none"/>
                <w:lang w:eastAsia="zh-CN"/>
              </w:rPr>
              <w:t>②</w:t>
            </w:r>
            <w:r>
              <w:rPr>
                <w:rFonts w:ascii="Times New Roman" w:hAnsi="Times New Roman" w:cs="Times New Roman"/>
                <w:color w:val="auto"/>
                <w:sz w:val="24"/>
                <w:szCs w:val="24"/>
                <w:highlight w:val="none"/>
                <w:lang w:eastAsia="zh-CN"/>
              </w:rPr>
              <w:t>打水泥塞，在表套管脚位置用100m厚水泥塞进行封堵；</w:t>
            </w:r>
            <w:r>
              <w:rPr>
                <w:rFonts w:ascii="Cambria Math" w:hAnsi="Cambria Math" w:cs="Cambria Math"/>
                <w:color w:val="auto"/>
                <w:sz w:val="24"/>
                <w:szCs w:val="24"/>
                <w:highlight w:val="none"/>
                <w:lang w:eastAsia="zh-CN"/>
              </w:rPr>
              <w:t>③</w:t>
            </w:r>
            <w:r>
              <w:rPr>
                <w:rFonts w:ascii="Times New Roman" w:hAnsi="Times New Roman" w:cs="Times New Roman"/>
                <w:color w:val="auto"/>
                <w:sz w:val="24"/>
                <w:szCs w:val="24"/>
                <w:highlight w:val="none"/>
                <w:lang w:eastAsia="zh-CN"/>
              </w:rPr>
              <w:t>打水泥塞，在井口段附近（井深6m-15m）以下，用不小于50m水泥塞进行封堵；</w:t>
            </w:r>
            <w:r>
              <w:rPr>
                <w:rFonts w:ascii="Cambria Math" w:hAnsi="Cambria Math" w:cs="Cambria Math"/>
                <w:color w:val="auto"/>
                <w:sz w:val="24"/>
                <w:szCs w:val="24"/>
                <w:highlight w:val="none"/>
                <w:lang w:eastAsia="zh-CN"/>
              </w:rPr>
              <w:t>④</w:t>
            </w:r>
            <w:r>
              <w:rPr>
                <w:rFonts w:ascii="Times New Roman" w:hAnsi="Times New Roman" w:cs="Times New Roman"/>
                <w:color w:val="auto"/>
                <w:sz w:val="24"/>
                <w:szCs w:val="24"/>
                <w:highlight w:val="none"/>
                <w:lang w:eastAsia="zh-CN"/>
              </w:rPr>
              <w:t>封堵套管环空，卸套管法兰处放压堵头，注入水泥浆；</w:t>
            </w:r>
            <w:r>
              <w:rPr>
                <w:rFonts w:ascii="Cambria Math" w:hAnsi="Cambria Math" w:cs="Cambria Math"/>
                <w:color w:val="auto"/>
                <w:sz w:val="24"/>
                <w:szCs w:val="24"/>
                <w:highlight w:val="none"/>
                <w:lang w:eastAsia="zh-CN"/>
              </w:rPr>
              <w:t>⑤</w:t>
            </w:r>
            <w:r>
              <w:rPr>
                <w:rFonts w:ascii="Times New Roman" w:hAnsi="Times New Roman" w:cs="Times New Roman"/>
                <w:color w:val="auto"/>
                <w:sz w:val="24"/>
                <w:szCs w:val="24"/>
                <w:highlight w:val="none"/>
                <w:lang w:eastAsia="zh-CN"/>
              </w:rPr>
              <w:t>封堵井口，用水泥封堵井口，地面打混凝土墩，尺寸宜长1m×宽1m高×0.8m；混凝土上表面标注井号（字体深度大于15mm，长宽60mm×40mm）。</w:t>
            </w:r>
          </w:p>
        </w:tc>
      </w:tr>
      <w:tr w14:paraId="5E78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23DBC11D">
            <w:pPr>
              <w:widowControl w:val="0"/>
              <w:kinsoku/>
              <w:spacing w:line="500" w:lineRule="exact"/>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其他</w:t>
            </w:r>
          </w:p>
        </w:tc>
        <w:tc>
          <w:tcPr>
            <w:tcW w:w="8394" w:type="dxa"/>
            <w:vAlign w:val="center"/>
          </w:tcPr>
          <w:p w14:paraId="408C391F">
            <w:pPr>
              <w:widowControl w:val="0"/>
              <w:kinsoku/>
              <w:spacing w:line="50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本项目计划于2026年3月开工，计划完钻日期为2026年6月，计划试油完成日期为2027年4月。</w:t>
            </w:r>
          </w:p>
        </w:tc>
      </w:tr>
    </w:tbl>
    <w:p w14:paraId="4387E5B9">
      <w:pPr>
        <w:kinsoku/>
        <w:rPr>
          <w:rFonts w:ascii="Times New Roman" w:hAnsi="Times New Roman" w:eastAsia="宋体" w:cs="Times New Roman"/>
          <w:b/>
          <w:bCs/>
          <w:color w:val="auto"/>
          <w:spacing w:val="7"/>
          <w:sz w:val="31"/>
          <w:szCs w:val="31"/>
          <w:highlight w:val="none"/>
        </w:rPr>
      </w:pPr>
      <w:r>
        <w:rPr>
          <w:rFonts w:ascii="Times New Roman" w:hAnsi="Times New Roman" w:eastAsia="宋体" w:cs="Times New Roman"/>
          <w:b/>
          <w:bCs/>
          <w:color w:val="auto"/>
          <w:spacing w:val="7"/>
          <w:sz w:val="31"/>
          <w:szCs w:val="31"/>
          <w:highlight w:val="none"/>
        </w:rPr>
        <w:br w:type="page"/>
      </w:r>
    </w:p>
    <w:p w14:paraId="4F84BC41">
      <w:pPr>
        <w:kinsoku/>
        <w:spacing w:before="101" w:line="360" w:lineRule="auto"/>
        <w:jc w:val="center"/>
        <w:outlineLvl w:val="0"/>
        <w:rPr>
          <w:rFonts w:ascii="Times New Roman" w:hAnsi="Times New Roman" w:cs="Times New Roman"/>
          <w:color w:val="auto"/>
          <w:highlight w:val="none"/>
          <w:lang w:eastAsia="zh-CN"/>
        </w:rPr>
      </w:pPr>
      <w:r>
        <w:rPr>
          <w:rFonts w:ascii="Times New Roman" w:hAnsi="Times New Roman" w:eastAsia="宋体" w:cs="Times New Roman"/>
          <w:b/>
          <w:bCs/>
          <w:color w:val="auto"/>
          <w:spacing w:val="7"/>
          <w:sz w:val="31"/>
          <w:szCs w:val="31"/>
          <w:highlight w:val="none"/>
          <w:lang w:eastAsia="zh-CN"/>
        </w:rPr>
        <w:t>三、生态环境现状、保护目标及评价标准</w:t>
      </w:r>
    </w:p>
    <w:tbl>
      <w:tblPr>
        <w:tblStyle w:val="21"/>
        <w:tblW w:w="90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8108"/>
      </w:tblGrid>
      <w:tr w14:paraId="647C7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2" w:hRule="atLeast"/>
          <w:jc w:val="center"/>
        </w:trPr>
        <w:tc>
          <w:tcPr>
            <w:tcW w:w="991" w:type="dxa"/>
            <w:tcBorders>
              <w:left w:val="single" w:color="000000" w:sz="4" w:space="0"/>
            </w:tcBorders>
            <w:vAlign w:val="center"/>
          </w:tcPr>
          <w:p w14:paraId="3236DF7B">
            <w:pPr>
              <w:pStyle w:val="22"/>
              <w:kinsoku/>
              <w:spacing w:before="65" w:line="360" w:lineRule="auto"/>
              <w:jc w:val="center"/>
              <w:rPr>
                <w:rFonts w:ascii="Times New Roman" w:hAnsi="Times New Roman" w:cs="Times New Roman"/>
                <w:color w:val="auto"/>
                <w:highlight w:val="none"/>
              </w:rPr>
            </w:pPr>
            <w:r>
              <w:rPr>
                <w:rFonts w:ascii="Times New Roman" w:hAnsi="Times New Roman" w:cs="Times New Roman"/>
                <w:color w:val="auto"/>
                <w:spacing w:val="14"/>
                <w:sz w:val="24"/>
                <w:szCs w:val="24"/>
                <w:highlight w:val="none"/>
              </w:rPr>
              <w:t>生态环境</w:t>
            </w:r>
            <w:r>
              <w:rPr>
                <w:rFonts w:ascii="Times New Roman" w:hAnsi="Times New Roman" w:cs="Times New Roman"/>
                <w:color w:val="auto"/>
                <w:spacing w:val="9"/>
                <w:sz w:val="24"/>
                <w:szCs w:val="24"/>
                <w:highlight w:val="none"/>
              </w:rPr>
              <w:t>现状</w:t>
            </w:r>
          </w:p>
        </w:tc>
        <w:tc>
          <w:tcPr>
            <w:tcW w:w="8108" w:type="dxa"/>
            <w:tcBorders>
              <w:right w:val="single" w:color="000000" w:sz="4" w:space="0"/>
            </w:tcBorders>
          </w:tcPr>
          <w:p w14:paraId="7E2851AA">
            <w:pPr>
              <w:pStyle w:val="22"/>
              <w:kinsoku/>
              <w:spacing w:before="34" w:line="360" w:lineRule="auto"/>
              <w:ind w:left="13"/>
              <w:rPr>
                <w:rFonts w:ascii="Times New Roman" w:hAnsi="Times New Roman" w:cs="Times New Roman"/>
                <w:b/>
                <w:bCs/>
                <w:color w:val="auto"/>
                <w:spacing w:val="-6"/>
                <w:sz w:val="24"/>
                <w:szCs w:val="24"/>
                <w:highlight w:val="none"/>
                <w:lang w:eastAsia="zh-CN"/>
              </w:rPr>
            </w:pPr>
            <w:r>
              <w:rPr>
                <w:rFonts w:ascii="Times New Roman" w:hAnsi="Times New Roman" w:cs="Times New Roman"/>
                <w:b/>
                <w:bCs/>
                <w:color w:val="auto"/>
                <w:spacing w:val="-6"/>
                <w:sz w:val="24"/>
                <w:szCs w:val="24"/>
                <w:highlight w:val="none"/>
                <w:lang w:eastAsia="zh-CN"/>
              </w:rPr>
              <w:t>1.生态功能区划</w:t>
            </w:r>
          </w:p>
          <w:p w14:paraId="6BD1DABF">
            <w:pPr>
              <w:pStyle w:val="22"/>
              <w:kinsoku/>
              <w:spacing w:line="360" w:lineRule="auto"/>
              <w:ind w:firstLine="456" w:firstLineChars="200"/>
              <w:rPr>
                <w:rFonts w:ascii="Times New Roman" w:hAnsi="Times New Roman" w:cs="Times New Roman"/>
                <w:color w:val="auto"/>
                <w:spacing w:val="-6"/>
                <w:sz w:val="24"/>
                <w:szCs w:val="24"/>
                <w:highlight w:val="none"/>
                <w:lang w:eastAsia="zh-CN"/>
              </w:rPr>
            </w:pPr>
            <w:r>
              <w:rPr>
                <w:rFonts w:ascii="Times New Roman" w:hAnsi="Times New Roman" w:cs="Times New Roman"/>
                <w:color w:val="auto"/>
                <w:spacing w:val="-6"/>
                <w:sz w:val="24"/>
                <w:szCs w:val="24"/>
                <w:highlight w:val="none"/>
                <w:lang w:eastAsia="zh-CN"/>
              </w:rPr>
              <w:t>根据《全国生态功能区划》（2015.11），本项目位于“产品提供功能区——农产品提供功能区——乌苏-石河子-昌吉绿洲农产品提供功能区”。该区域的主要生态问题为农田侵占、土壤肥力下降、农业面源污染严重等。</w:t>
            </w:r>
          </w:p>
          <w:p w14:paraId="6CC1B21E">
            <w:pPr>
              <w:pStyle w:val="22"/>
              <w:kinsoku/>
              <w:spacing w:line="360" w:lineRule="auto"/>
              <w:ind w:firstLine="480" w:firstLineChars="200"/>
              <w:rPr>
                <w:rFonts w:ascii="Times New Roman" w:hAnsi="Times New Roman" w:cs="Times New Roman"/>
                <w:color w:val="auto"/>
                <w:spacing w:val="-6"/>
                <w:sz w:val="24"/>
                <w:szCs w:val="24"/>
                <w:highlight w:val="none"/>
                <w:lang w:eastAsia="zh-CN"/>
              </w:rPr>
            </w:pPr>
            <w:r>
              <w:rPr>
                <w:rFonts w:ascii="Times New Roman" w:hAnsi="Times New Roman" w:cs="Times New Roman"/>
                <w:color w:val="auto"/>
                <w:sz w:val="24"/>
                <w:szCs w:val="24"/>
                <w:highlight w:val="none"/>
                <w:lang w:eastAsia="zh-CN"/>
              </w:rPr>
              <w:t>根据《新疆生态功能区划简表》，本项目位于“准噶尔盆地温性荒漠与绿洲农业生态区——准噶尔盆地南部荒漠绿洲农业生态亚区——阜康一木垒绿洲农业、荒漠草地保护生态功能区”，该区域的主要生态环境问题为地下水超采、荒漠植被退化、沙漠化威胁、局部土壤盐渍化、河流萎缩、滥开荒地等。</w:t>
            </w:r>
          </w:p>
          <w:p w14:paraId="5DDB15EB">
            <w:pPr>
              <w:pStyle w:val="22"/>
              <w:kinsoku/>
              <w:spacing w:before="34" w:line="360" w:lineRule="auto"/>
              <w:ind w:left="13"/>
              <w:rPr>
                <w:rFonts w:ascii="Times New Roman" w:hAnsi="Times New Roman" w:cs="Times New Roman"/>
                <w:b/>
                <w:bCs/>
                <w:color w:val="auto"/>
                <w:spacing w:val="-6"/>
                <w:sz w:val="24"/>
                <w:szCs w:val="24"/>
                <w:highlight w:val="none"/>
                <w:lang w:eastAsia="zh-CN"/>
              </w:rPr>
            </w:pPr>
            <w:r>
              <w:rPr>
                <w:rFonts w:ascii="Times New Roman" w:hAnsi="Times New Roman" w:cs="Times New Roman"/>
                <w:b/>
                <w:bCs/>
                <w:color w:val="auto"/>
                <w:spacing w:val="-6"/>
                <w:sz w:val="24"/>
                <w:szCs w:val="24"/>
                <w:highlight w:val="none"/>
                <w:lang w:eastAsia="zh-CN"/>
              </w:rPr>
              <w:t>2.生态环境现状</w:t>
            </w:r>
          </w:p>
          <w:p w14:paraId="38E4BD4D">
            <w:pPr>
              <w:pStyle w:val="22"/>
              <w:kinsoku/>
              <w:spacing w:before="34" w:line="360" w:lineRule="auto"/>
              <w:ind w:left="13"/>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2.1植被现状</w:t>
            </w:r>
          </w:p>
          <w:p w14:paraId="3A3F0026">
            <w:pPr>
              <w:kinsoku/>
              <w:spacing w:line="360" w:lineRule="auto"/>
              <w:ind w:firstLine="472" w:firstLineChars="200"/>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根据现场踏勘和相关文献资料分析，项目区域生态类型属于典型的荒漠</w:t>
            </w:r>
            <w:r>
              <w:rPr>
                <w:rFonts w:hint="eastAsia" w:ascii="宋体" w:hAnsi="宋体" w:eastAsia="宋体" w:cs="宋体"/>
                <w:color w:val="auto"/>
                <w:spacing w:val="-2"/>
                <w:sz w:val="24"/>
                <w:szCs w:val="24"/>
                <w:highlight w:val="none"/>
                <w:lang w:eastAsia="zh-CN"/>
              </w:rPr>
              <w:t>灌草</w:t>
            </w:r>
            <w:r>
              <w:rPr>
                <w:rFonts w:ascii="Times New Roman" w:hAnsi="Times New Roman" w:eastAsia="宋体" w:cs="Times New Roman"/>
                <w:color w:val="auto"/>
                <w:spacing w:val="-2"/>
                <w:sz w:val="24"/>
                <w:szCs w:val="24"/>
                <w:highlight w:val="none"/>
                <w:lang w:eastAsia="zh-CN"/>
              </w:rPr>
              <w:t>植被带，区域植被群落结构较为简单，主要由红砂（</w:t>
            </w:r>
            <w:r>
              <w:rPr>
                <w:rFonts w:ascii="Times New Roman" w:hAnsi="Times New Roman" w:eastAsia="宋体" w:cs="Times New Roman"/>
                <w:i/>
                <w:iCs/>
                <w:color w:val="auto"/>
                <w:spacing w:val="-2"/>
                <w:sz w:val="24"/>
                <w:szCs w:val="24"/>
                <w:highlight w:val="none"/>
                <w:lang w:eastAsia="zh-CN"/>
              </w:rPr>
              <w:t>Reaumuria songarica</w:t>
            </w:r>
            <w:r>
              <w:rPr>
                <w:rFonts w:ascii="Times New Roman" w:hAnsi="Times New Roman" w:eastAsia="宋体" w:cs="Times New Roman"/>
                <w:color w:val="auto"/>
                <w:spacing w:val="-2"/>
                <w:sz w:val="24"/>
                <w:szCs w:val="24"/>
                <w:highlight w:val="none"/>
                <w:lang w:eastAsia="zh-CN"/>
              </w:rPr>
              <w:t>）、骆驼蓬（</w:t>
            </w:r>
            <w:r>
              <w:rPr>
                <w:rFonts w:ascii="Times New Roman" w:hAnsi="Times New Roman" w:eastAsia="宋体" w:cs="Times New Roman"/>
                <w:i/>
                <w:iCs/>
                <w:color w:val="auto"/>
                <w:spacing w:val="-2"/>
                <w:sz w:val="24"/>
                <w:szCs w:val="24"/>
                <w:highlight w:val="none"/>
                <w:lang w:eastAsia="zh-CN"/>
              </w:rPr>
              <w:t>Peganum harmala</w:t>
            </w:r>
            <w:r>
              <w:rPr>
                <w:rFonts w:ascii="Times New Roman" w:hAnsi="Times New Roman" w:eastAsia="宋体" w:cs="Times New Roman"/>
                <w:color w:val="auto"/>
                <w:spacing w:val="-2"/>
                <w:sz w:val="24"/>
                <w:szCs w:val="24"/>
                <w:highlight w:val="none"/>
                <w:lang w:eastAsia="zh-CN"/>
              </w:rPr>
              <w:t>）</w:t>
            </w:r>
            <w:r>
              <w:rPr>
                <w:rFonts w:ascii="Times New Roman" w:hAnsi="Times New Roman" w:eastAsia="宋体" w:cs="Times New Roman"/>
                <w:color w:val="auto"/>
                <w:sz w:val="24"/>
                <w:szCs w:val="24"/>
                <w:highlight w:val="none"/>
                <w:lang w:eastAsia="zh-CN"/>
              </w:rPr>
              <w:t>灌丛</w:t>
            </w:r>
            <w:r>
              <w:rPr>
                <w:rFonts w:ascii="Times New Roman" w:hAnsi="Times New Roman" w:eastAsia="宋体" w:cs="Times New Roman"/>
                <w:color w:val="auto"/>
                <w:spacing w:val="-2"/>
                <w:sz w:val="24"/>
                <w:szCs w:val="24"/>
                <w:highlight w:val="none"/>
                <w:lang w:eastAsia="zh-CN"/>
              </w:rPr>
              <w:t>构成。植物种类耐旱性强，生物量低，呈点状分布，主要生于沙砾土或砾石地表上，土壤都有不同程度的盐渍化。施工区域内植被生长状况较差，生态系统稳定性较弱，生态恢复能力有限。植被类型图见附图7。</w:t>
            </w:r>
          </w:p>
          <w:p w14:paraId="1DF58F18">
            <w:pPr>
              <w:pStyle w:val="22"/>
              <w:kinsoku/>
              <w:spacing w:line="360" w:lineRule="auto"/>
              <w:ind w:firstLine="472" w:firstLineChars="200"/>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根据现场调查结果，在项目区域及临时占地范围内未发现《国家重点保护野生植物名录》（2021）中的物种，也未发现《新疆维吾尔自治区重点保护野生植物名录》（2023年）中所列植物。项目所涉及区域不属于生态保护红线、自然保护区或重要生态功能区，生态敏感性较低。</w:t>
            </w:r>
          </w:p>
          <w:p w14:paraId="707F44A9">
            <w:pPr>
              <w:pStyle w:val="22"/>
              <w:kinsoku/>
              <w:spacing w:line="360" w:lineRule="auto"/>
              <w:ind w:firstLine="472" w:firstLineChars="200"/>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项目建设所涉及的临时用地正在依法办理征地审批手续，后续将依据国家和自治区相关规定缴纳生态恢复保证金及临时用地费用。根据生态环境保护要求，项目将及时开展地貌整治和原状植被恢复等措施，逐步恢复地表植被覆盖，减少对区域生态系统的干扰和破坏。</w:t>
            </w:r>
          </w:p>
          <w:p w14:paraId="5D7A0965">
            <w:pPr>
              <w:pStyle w:val="22"/>
              <w:kinsoku/>
              <w:spacing w:line="360" w:lineRule="auto"/>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4962525" cy="2905125"/>
                  <wp:effectExtent l="0" t="0" r="9525" b="952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
                          <a:stretch>
                            <a:fillRect/>
                          </a:stretch>
                        </pic:blipFill>
                        <pic:spPr>
                          <a:xfrm>
                            <a:off x="0" y="0"/>
                            <a:ext cx="4962525" cy="2905125"/>
                          </a:xfrm>
                          <a:prstGeom prst="rect">
                            <a:avLst/>
                          </a:prstGeom>
                          <a:noFill/>
                          <a:ln>
                            <a:noFill/>
                          </a:ln>
                        </pic:spPr>
                      </pic:pic>
                    </a:graphicData>
                  </a:graphic>
                </wp:inline>
              </w:drawing>
            </w:r>
          </w:p>
          <w:p w14:paraId="2DC7473A">
            <w:pPr>
              <w:pStyle w:val="22"/>
              <w:kinsoku/>
              <w:spacing w:line="360" w:lineRule="auto"/>
              <w:jc w:val="center"/>
              <w:rPr>
                <w:rFonts w:ascii="Times New Roman" w:hAnsi="Times New Roman" w:cs="Times New Roman"/>
                <w:color w:val="auto"/>
                <w:highlight w:val="none"/>
                <w:lang w:eastAsia="zh-CN"/>
              </w:rPr>
            </w:pPr>
            <w:r>
              <w:rPr>
                <w:rFonts w:ascii="Times New Roman" w:hAnsi="Times New Roman" w:cs="Times New Roman"/>
                <w:color w:val="auto"/>
                <w:spacing w:val="-2"/>
                <w:sz w:val="24"/>
                <w:szCs w:val="24"/>
                <w:highlight w:val="none"/>
                <w:lang w:eastAsia="zh-CN"/>
              </w:rPr>
              <w:t>红砂灌丛</w:t>
            </w:r>
          </w:p>
          <w:p w14:paraId="51044640">
            <w:pPr>
              <w:pStyle w:val="22"/>
              <w:kinsoku/>
              <w:spacing w:line="360" w:lineRule="auto"/>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2"/>
                <w:sz w:val="24"/>
                <w:szCs w:val="24"/>
                <w:highlight w:val="none"/>
                <w:lang w:eastAsia="zh-CN"/>
              </w:rPr>
              <w:t>1.2野生动物现状</w:t>
            </w:r>
          </w:p>
          <w:p w14:paraId="2C07D859">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按中国动物地理区划的分级标准，项目所在区域属古北界、中亚亚界、蒙新区、准噶尔亚区、准噶尔盆地省。因该区域地处准噶尔盆地东南缘，气候干燥，野生动物的栖息生境极为单一。本项目区域常见啮齿类、爬行类、鸟类等动物，对照《国家重点保护野生动物名录》（2021）、国家林业和草原局公告《陆生野生动物重要栖息地名录（第一批）》（2023年第23号）及自治区人民政府《关于发布新疆维吾尔自治区重点保护野生动物名录（修订）的通知》（新政发〔2022〕75号），未发现以上《名录》中重点保护野生动物和陆生野生动物重要栖息地。区域主要野生动物种类及分布情况见表3-1。</w:t>
            </w:r>
          </w:p>
          <w:p w14:paraId="440392AB">
            <w:pPr>
              <w:pStyle w:val="22"/>
              <w:kinsoku/>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z w:val="21"/>
                <w:szCs w:val="21"/>
                <w:highlight w:val="none"/>
                <w:lang w:eastAsia="zh-CN"/>
              </w:rPr>
              <w:t>表3-1 评价区域内主要野生动物及分布情况一览表</w:t>
            </w:r>
          </w:p>
          <w:tbl>
            <w:tblPr>
              <w:tblStyle w:val="21"/>
              <w:tblW w:w="73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1419"/>
              <w:gridCol w:w="3264"/>
              <w:gridCol w:w="1928"/>
            </w:tblGrid>
            <w:tr w14:paraId="6D28D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207" w:type="dxa"/>
                  <w:gridSpan w:val="2"/>
                  <w:vMerge w:val="restart"/>
                  <w:tcBorders>
                    <w:top w:val="single" w:color="000000" w:sz="10" w:space="0"/>
                    <w:left w:val="single" w:color="000000" w:sz="2" w:space="0"/>
                    <w:bottom w:val="nil"/>
                  </w:tcBorders>
                  <w:vAlign w:val="center"/>
                </w:tcPr>
                <w:p w14:paraId="581E76C6">
                  <w:pPr>
                    <w:kinsoku/>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中名</w:t>
                  </w:r>
                </w:p>
              </w:tc>
              <w:tc>
                <w:tcPr>
                  <w:tcW w:w="3264" w:type="dxa"/>
                  <w:vMerge w:val="restart"/>
                  <w:tcBorders>
                    <w:top w:val="single" w:color="000000" w:sz="10" w:space="0"/>
                    <w:bottom w:val="nil"/>
                  </w:tcBorders>
                  <w:vAlign w:val="center"/>
                </w:tcPr>
                <w:p w14:paraId="23BF5CCD">
                  <w:pPr>
                    <w:kinsoku/>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学名</w:t>
                  </w:r>
                </w:p>
              </w:tc>
              <w:tc>
                <w:tcPr>
                  <w:tcW w:w="1928" w:type="dxa"/>
                  <w:tcBorders>
                    <w:top w:val="single" w:color="000000" w:sz="10" w:space="0"/>
                    <w:bottom w:val="single" w:color="auto" w:sz="4" w:space="0"/>
                  </w:tcBorders>
                  <w:vAlign w:val="center"/>
                </w:tcPr>
                <w:p w14:paraId="7F57FA43">
                  <w:pPr>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分布</w:t>
                  </w:r>
                </w:p>
              </w:tc>
            </w:tr>
            <w:tr w14:paraId="33A97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207" w:type="dxa"/>
                  <w:gridSpan w:val="2"/>
                  <w:vMerge w:val="continue"/>
                  <w:tcBorders>
                    <w:top w:val="nil"/>
                    <w:left w:val="single" w:color="000000" w:sz="2" w:space="0"/>
                  </w:tcBorders>
                  <w:vAlign w:val="center"/>
                </w:tcPr>
                <w:p w14:paraId="5381F397">
                  <w:pPr>
                    <w:kinsoku/>
                    <w:jc w:val="center"/>
                    <w:rPr>
                      <w:rFonts w:ascii="Times New Roman" w:hAnsi="Times New Roman" w:eastAsia="宋体" w:cs="Times New Roman"/>
                      <w:b/>
                      <w:bCs/>
                      <w:color w:val="auto"/>
                      <w:highlight w:val="none"/>
                    </w:rPr>
                  </w:pPr>
                </w:p>
              </w:tc>
              <w:tc>
                <w:tcPr>
                  <w:tcW w:w="3264" w:type="dxa"/>
                  <w:vMerge w:val="continue"/>
                  <w:tcBorders>
                    <w:top w:val="nil"/>
                  </w:tcBorders>
                  <w:vAlign w:val="center"/>
                </w:tcPr>
                <w:p w14:paraId="3B6AC84A">
                  <w:pPr>
                    <w:kinsoku/>
                    <w:jc w:val="center"/>
                    <w:rPr>
                      <w:rFonts w:ascii="Times New Roman" w:hAnsi="Times New Roman" w:eastAsia="宋体" w:cs="Times New Roman"/>
                      <w:b/>
                      <w:bCs/>
                      <w:color w:val="auto"/>
                      <w:highlight w:val="none"/>
                    </w:rPr>
                  </w:pPr>
                </w:p>
              </w:tc>
              <w:tc>
                <w:tcPr>
                  <w:tcW w:w="1928" w:type="dxa"/>
                  <w:tcBorders>
                    <w:top w:val="single" w:color="auto" w:sz="4" w:space="0"/>
                  </w:tcBorders>
                  <w:vAlign w:val="center"/>
                </w:tcPr>
                <w:p w14:paraId="0A928FF5">
                  <w:pPr>
                    <w:kinsoku/>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荒漠区</w:t>
                  </w:r>
                </w:p>
              </w:tc>
            </w:tr>
            <w:tr w14:paraId="53DB7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0687A5ED">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1</w:t>
                  </w:r>
                </w:p>
              </w:tc>
              <w:tc>
                <w:tcPr>
                  <w:tcW w:w="1419" w:type="dxa"/>
                  <w:vAlign w:val="center"/>
                </w:tcPr>
                <w:p w14:paraId="1CF5177E">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lang w:eastAsia="zh-CN"/>
                    </w:rPr>
                    <w:t>荒漠</w:t>
                  </w:r>
                  <w:r>
                    <w:rPr>
                      <w:rFonts w:ascii="Times New Roman" w:hAnsi="Times New Roman" w:cs="Times New Roman"/>
                      <w:color w:val="auto"/>
                      <w:spacing w:val="5"/>
                      <w:sz w:val="21"/>
                      <w:szCs w:val="21"/>
                      <w:highlight w:val="none"/>
                    </w:rPr>
                    <w:t>沙蜥</w:t>
                  </w:r>
                </w:p>
              </w:tc>
              <w:tc>
                <w:tcPr>
                  <w:tcW w:w="3264" w:type="dxa"/>
                </w:tcPr>
                <w:p w14:paraId="0192FE91">
                  <w:pPr>
                    <w:kinsoku/>
                    <w:jc w:val="center"/>
                    <w:rPr>
                      <w:rFonts w:ascii="Times New Roman" w:hAnsi="Times New Roman" w:eastAsia="宋体" w:cs="Times New Roman"/>
                      <w:i/>
                      <w:iCs/>
                      <w:color w:val="auto"/>
                      <w:highlight w:val="none"/>
                    </w:rPr>
                  </w:pPr>
                  <w:r>
                    <w:rPr>
                      <w:rFonts w:ascii="Times New Roman" w:hAnsi="Times New Roman" w:eastAsia="宋体" w:cs="Times New Roman"/>
                      <w:i/>
                      <w:iCs/>
                      <w:color w:val="auto"/>
                      <w:highlight w:val="none"/>
                    </w:rPr>
                    <w:t>Phrynocephalus przewalskii</w:t>
                  </w:r>
                </w:p>
              </w:tc>
              <w:tc>
                <w:tcPr>
                  <w:tcW w:w="1928" w:type="dxa"/>
                </w:tcPr>
                <w:p w14:paraId="7F3CA038">
                  <w:pPr>
                    <w:kinsoku/>
                    <w:jc w:val="center"/>
                    <w:rPr>
                      <w:rFonts w:ascii="Times New Roman" w:hAnsi="Times New Roman" w:eastAsia="宋体" w:cs="Times New Roman"/>
                      <w:i/>
                      <w:iCs/>
                      <w:color w:val="auto"/>
                      <w:highlight w:val="none"/>
                      <w:lang w:eastAsia="zh-CN"/>
                    </w:rPr>
                  </w:pPr>
                  <w:r>
                    <w:rPr>
                      <w:rFonts w:ascii="Times New Roman" w:hAnsi="Times New Roman" w:eastAsia="宋体" w:cs="Times New Roman"/>
                      <w:i/>
                      <w:iCs/>
                      <w:color w:val="auto"/>
                      <w:highlight w:val="none"/>
                      <w:lang w:eastAsia="zh-CN"/>
                    </w:rPr>
                    <w:t>++</w:t>
                  </w:r>
                </w:p>
              </w:tc>
            </w:tr>
            <w:tr w14:paraId="30953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246DCF1F">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2</w:t>
                  </w:r>
                </w:p>
              </w:tc>
              <w:tc>
                <w:tcPr>
                  <w:tcW w:w="1419" w:type="dxa"/>
                  <w:vAlign w:val="center"/>
                </w:tcPr>
                <w:p w14:paraId="23AF8E83">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快步麻蜥</w:t>
                  </w:r>
                </w:p>
              </w:tc>
              <w:tc>
                <w:tcPr>
                  <w:tcW w:w="3264" w:type="dxa"/>
                </w:tcPr>
                <w:p w14:paraId="20FAFE8D">
                  <w:pPr>
                    <w:kinsoku/>
                    <w:jc w:val="center"/>
                    <w:rPr>
                      <w:rFonts w:ascii="Times New Roman" w:hAnsi="Times New Roman" w:eastAsia="宋体" w:cs="Times New Roman"/>
                      <w:i/>
                      <w:iCs/>
                      <w:color w:val="auto"/>
                      <w:highlight w:val="none"/>
                    </w:rPr>
                  </w:pPr>
                  <w:r>
                    <w:rPr>
                      <w:rFonts w:ascii="Times New Roman" w:hAnsi="Times New Roman" w:eastAsia="宋体" w:cs="Times New Roman"/>
                      <w:i/>
                      <w:iCs/>
                      <w:color w:val="auto"/>
                      <w:highlight w:val="none"/>
                    </w:rPr>
                    <w:t>Eremias velox</w:t>
                  </w:r>
                </w:p>
              </w:tc>
              <w:tc>
                <w:tcPr>
                  <w:tcW w:w="1928" w:type="dxa"/>
                </w:tcPr>
                <w:p w14:paraId="58041B39">
                  <w:pPr>
                    <w:kinsoku/>
                    <w:jc w:val="center"/>
                    <w:rPr>
                      <w:rFonts w:ascii="Times New Roman" w:hAnsi="Times New Roman" w:eastAsia="宋体" w:cs="Times New Roman"/>
                      <w:i/>
                      <w:iCs/>
                      <w:color w:val="auto"/>
                      <w:highlight w:val="none"/>
                      <w:lang w:eastAsia="zh-CN"/>
                    </w:rPr>
                  </w:pPr>
                  <w:r>
                    <w:rPr>
                      <w:rFonts w:ascii="Times New Roman" w:hAnsi="Times New Roman" w:eastAsia="宋体" w:cs="Times New Roman"/>
                      <w:i/>
                      <w:iCs/>
                      <w:color w:val="auto"/>
                      <w:highlight w:val="none"/>
                      <w:lang w:eastAsia="zh-CN"/>
                    </w:rPr>
                    <w:t>+</w:t>
                  </w:r>
                </w:p>
              </w:tc>
            </w:tr>
            <w:tr w14:paraId="7A7B5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673D8FA6">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3</w:t>
                  </w:r>
                </w:p>
              </w:tc>
              <w:tc>
                <w:tcPr>
                  <w:tcW w:w="1419" w:type="dxa"/>
                  <w:vAlign w:val="center"/>
                </w:tcPr>
                <w:p w14:paraId="3FBCCA84">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小五趾跳鼠</w:t>
                  </w:r>
                </w:p>
              </w:tc>
              <w:tc>
                <w:tcPr>
                  <w:tcW w:w="3264" w:type="dxa"/>
                </w:tcPr>
                <w:p w14:paraId="48B2036B">
                  <w:pPr>
                    <w:kinsoku/>
                    <w:jc w:val="center"/>
                    <w:rPr>
                      <w:rFonts w:ascii="Times New Roman" w:hAnsi="Times New Roman" w:eastAsia="宋体" w:cs="Times New Roman"/>
                      <w:i/>
                      <w:iCs/>
                      <w:color w:val="auto"/>
                      <w:highlight w:val="none"/>
                    </w:rPr>
                  </w:pPr>
                  <w:r>
                    <w:rPr>
                      <w:rFonts w:ascii="Times New Roman" w:hAnsi="Times New Roman" w:eastAsia="宋体" w:cs="Times New Roman"/>
                      <w:i/>
                      <w:iCs/>
                      <w:color w:val="auto"/>
                      <w:highlight w:val="none"/>
                    </w:rPr>
                    <w:t>Scarturus elater</w:t>
                  </w:r>
                </w:p>
              </w:tc>
              <w:tc>
                <w:tcPr>
                  <w:tcW w:w="1928" w:type="dxa"/>
                </w:tcPr>
                <w:p w14:paraId="7039F510">
                  <w:pPr>
                    <w:kinsoku/>
                    <w:jc w:val="center"/>
                    <w:rPr>
                      <w:rFonts w:ascii="Times New Roman" w:hAnsi="Times New Roman" w:eastAsia="宋体" w:cs="Times New Roman"/>
                      <w:i/>
                      <w:iCs/>
                      <w:color w:val="auto"/>
                      <w:highlight w:val="none"/>
                      <w:lang w:eastAsia="zh-CN"/>
                    </w:rPr>
                  </w:pPr>
                  <w:r>
                    <w:rPr>
                      <w:rFonts w:ascii="Times New Roman" w:hAnsi="Times New Roman" w:eastAsia="宋体" w:cs="Times New Roman"/>
                      <w:i/>
                      <w:iCs/>
                      <w:color w:val="auto"/>
                      <w:highlight w:val="none"/>
                      <w:lang w:eastAsia="zh-CN"/>
                    </w:rPr>
                    <w:t>-</w:t>
                  </w:r>
                </w:p>
              </w:tc>
            </w:tr>
            <w:tr w14:paraId="34341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6871558D">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4</w:t>
                  </w:r>
                </w:p>
              </w:tc>
              <w:tc>
                <w:tcPr>
                  <w:tcW w:w="1419" w:type="dxa"/>
                  <w:vAlign w:val="center"/>
                </w:tcPr>
                <w:p w14:paraId="5EEBDFA8">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大沙鼠</w:t>
                  </w:r>
                </w:p>
              </w:tc>
              <w:tc>
                <w:tcPr>
                  <w:tcW w:w="3264" w:type="dxa"/>
                </w:tcPr>
                <w:p w14:paraId="19F01D48">
                  <w:pPr>
                    <w:kinsoku/>
                    <w:jc w:val="center"/>
                    <w:rPr>
                      <w:rFonts w:ascii="Times New Roman" w:hAnsi="Times New Roman" w:eastAsia="宋体" w:cs="Times New Roman"/>
                      <w:i/>
                      <w:iCs/>
                      <w:color w:val="auto"/>
                      <w:highlight w:val="none"/>
                    </w:rPr>
                  </w:pPr>
                  <w:r>
                    <w:rPr>
                      <w:rFonts w:ascii="Times New Roman" w:hAnsi="Times New Roman" w:eastAsia="宋体" w:cs="Times New Roman"/>
                      <w:i/>
                      <w:iCs/>
                      <w:color w:val="auto"/>
                      <w:highlight w:val="none"/>
                    </w:rPr>
                    <w:t>Rhombomys opimus</w:t>
                  </w:r>
                </w:p>
              </w:tc>
              <w:tc>
                <w:tcPr>
                  <w:tcW w:w="1928" w:type="dxa"/>
                </w:tcPr>
                <w:p w14:paraId="2BA00031">
                  <w:pPr>
                    <w:kinsoku/>
                    <w:jc w:val="center"/>
                    <w:rPr>
                      <w:rFonts w:ascii="Times New Roman" w:hAnsi="Times New Roman" w:eastAsia="宋体" w:cs="Times New Roman"/>
                      <w:i/>
                      <w:iCs/>
                      <w:color w:val="auto"/>
                      <w:highlight w:val="none"/>
                      <w:lang w:eastAsia="zh-CN"/>
                    </w:rPr>
                  </w:pPr>
                  <w:r>
                    <w:rPr>
                      <w:rFonts w:ascii="Times New Roman" w:hAnsi="Times New Roman" w:eastAsia="宋体" w:cs="Times New Roman"/>
                      <w:i/>
                      <w:iCs/>
                      <w:color w:val="auto"/>
                      <w:highlight w:val="none"/>
                      <w:lang w:eastAsia="zh-CN"/>
                    </w:rPr>
                    <w:t>-</w:t>
                  </w:r>
                </w:p>
              </w:tc>
            </w:tr>
            <w:tr w14:paraId="2508C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bottom w:val="single" w:color="000000" w:sz="10" w:space="0"/>
                  </w:tcBorders>
                  <w:vAlign w:val="center"/>
                </w:tcPr>
                <w:p w14:paraId="4C95C979">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5</w:t>
                  </w:r>
                </w:p>
              </w:tc>
              <w:tc>
                <w:tcPr>
                  <w:tcW w:w="1419" w:type="dxa"/>
                  <w:tcBorders>
                    <w:bottom w:val="single" w:color="000000" w:sz="10" w:space="0"/>
                  </w:tcBorders>
                  <w:vAlign w:val="center"/>
                </w:tcPr>
                <w:p w14:paraId="295EFB54">
                  <w:pPr>
                    <w:pStyle w:val="22"/>
                    <w:kinsoku/>
                    <w:jc w:val="center"/>
                    <w:rPr>
                      <w:rFonts w:ascii="Times New Roman" w:hAnsi="Times New Roman" w:cs="Times New Roman"/>
                      <w:color w:val="auto"/>
                      <w:spacing w:val="5"/>
                      <w:sz w:val="21"/>
                      <w:szCs w:val="21"/>
                      <w:highlight w:val="none"/>
                    </w:rPr>
                  </w:pPr>
                  <w:r>
                    <w:rPr>
                      <w:rFonts w:ascii="Times New Roman" w:hAnsi="Times New Roman" w:cs="Times New Roman"/>
                      <w:color w:val="auto"/>
                      <w:spacing w:val="5"/>
                      <w:sz w:val="21"/>
                      <w:szCs w:val="21"/>
                      <w:highlight w:val="none"/>
                    </w:rPr>
                    <w:t>子午沙鼠</w:t>
                  </w:r>
                </w:p>
              </w:tc>
              <w:tc>
                <w:tcPr>
                  <w:tcW w:w="3264" w:type="dxa"/>
                  <w:tcBorders>
                    <w:bottom w:val="single" w:color="000000" w:sz="10" w:space="0"/>
                  </w:tcBorders>
                </w:tcPr>
                <w:p w14:paraId="3BDC8D39">
                  <w:pPr>
                    <w:kinsoku/>
                    <w:jc w:val="center"/>
                    <w:rPr>
                      <w:rFonts w:ascii="Times New Roman" w:hAnsi="Times New Roman" w:eastAsia="宋体" w:cs="Times New Roman"/>
                      <w:i/>
                      <w:iCs/>
                      <w:color w:val="auto"/>
                      <w:highlight w:val="none"/>
                    </w:rPr>
                  </w:pPr>
                  <w:r>
                    <w:rPr>
                      <w:rFonts w:ascii="Times New Roman" w:hAnsi="Times New Roman" w:eastAsia="宋体" w:cs="Times New Roman"/>
                      <w:i/>
                      <w:iCs/>
                      <w:color w:val="auto"/>
                      <w:highlight w:val="none"/>
                    </w:rPr>
                    <w:t>Meriones meridianus</w:t>
                  </w:r>
                </w:p>
              </w:tc>
              <w:tc>
                <w:tcPr>
                  <w:tcW w:w="1928" w:type="dxa"/>
                  <w:tcBorders>
                    <w:bottom w:val="single" w:color="000000" w:sz="10" w:space="0"/>
                  </w:tcBorders>
                </w:tcPr>
                <w:p w14:paraId="17229708">
                  <w:pPr>
                    <w:kinsoku/>
                    <w:jc w:val="center"/>
                    <w:rPr>
                      <w:rFonts w:ascii="Times New Roman" w:hAnsi="Times New Roman" w:eastAsia="宋体" w:cs="Times New Roman"/>
                      <w:i/>
                      <w:iCs/>
                      <w:color w:val="auto"/>
                      <w:highlight w:val="none"/>
                      <w:lang w:eastAsia="zh-CN"/>
                    </w:rPr>
                  </w:pPr>
                  <w:r>
                    <w:rPr>
                      <w:rFonts w:ascii="Times New Roman" w:hAnsi="Times New Roman" w:eastAsia="宋体" w:cs="Times New Roman"/>
                      <w:i/>
                      <w:iCs/>
                      <w:color w:val="auto"/>
                      <w:highlight w:val="none"/>
                      <w:lang w:eastAsia="zh-CN"/>
                    </w:rPr>
                    <w:t>-</w:t>
                  </w:r>
                </w:p>
              </w:tc>
            </w:tr>
          </w:tbl>
          <w:p w14:paraId="5BD89F4E">
            <w:pPr>
              <w:pStyle w:val="22"/>
              <w:kinsoku/>
              <w:spacing w:before="25" w:line="227" w:lineRule="auto"/>
              <w:ind w:left="3"/>
              <w:rPr>
                <w:rFonts w:ascii="Times New Roman" w:hAnsi="Times New Roman" w:cs="Times New Roman"/>
                <w:color w:val="auto"/>
                <w:spacing w:val="8"/>
                <w:highlight w:val="none"/>
              </w:rPr>
            </w:pPr>
            <w:r>
              <w:rPr>
                <w:rFonts w:ascii="Times New Roman" w:hAnsi="Times New Roman" w:cs="Times New Roman"/>
                <w:color w:val="auto"/>
                <w:spacing w:val="8"/>
                <w:highlight w:val="none"/>
              </w:rPr>
              <w:t>注：++多见，+少见，—偶见</w:t>
            </w:r>
          </w:p>
          <w:p w14:paraId="20646DB2">
            <w:pPr>
              <w:pStyle w:val="22"/>
              <w:kinsoku/>
              <w:spacing w:before="25" w:line="227" w:lineRule="auto"/>
              <w:jc w:val="cente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4715510" cy="3097530"/>
                  <wp:effectExtent l="0" t="0" r="8890" b="762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8"/>
                          <a:stretch>
                            <a:fillRect/>
                          </a:stretch>
                        </pic:blipFill>
                        <pic:spPr>
                          <a:xfrm>
                            <a:off x="0" y="0"/>
                            <a:ext cx="4715510" cy="3097530"/>
                          </a:xfrm>
                          <a:prstGeom prst="rect">
                            <a:avLst/>
                          </a:prstGeom>
                          <a:noFill/>
                          <a:ln>
                            <a:noFill/>
                          </a:ln>
                        </pic:spPr>
                      </pic:pic>
                    </a:graphicData>
                  </a:graphic>
                </wp:inline>
              </w:drawing>
            </w:r>
          </w:p>
          <w:p w14:paraId="47D110E4">
            <w:pPr>
              <w:pStyle w:val="22"/>
              <w:kinsoku/>
              <w:spacing w:before="25" w:line="227" w:lineRule="auto"/>
              <w:jc w:val="center"/>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荒漠沙蜥</w:t>
            </w:r>
          </w:p>
          <w:p w14:paraId="3A81E2C1">
            <w:pPr>
              <w:pStyle w:val="22"/>
              <w:kinsoku/>
              <w:spacing w:before="30" w:line="360" w:lineRule="auto"/>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2"/>
                <w:sz w:val="24"/>
                <w:szCs w:val="24"/>
                <w:highlight w:val="none"/>
                <w:lang w:eastAsia="zh-CN"/>
              </w:rPr>
              <w:t>1.3土地利用类型</w:t>
            </w:r>
          </w:p>
          <w:p w14:paraId="23E4DD7B">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根据建设单位提供的土地利用类型资料可知，并参照《土地利用现状分类》（GB/T21010-2017），以确定本工程区域的土地利用类型。本项目占地类型主要为灌木林地，土地利用现状图见附图6。</w:t>
            </w:r>
          </w:p>
          <w:p w14:paraId="1E118995">
            <w:pPr>
              <w:pStyle w:val="22"/>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1.4土地沙化现状</w:t>
            </w:r>
          </w:p>
          <w:p w14:paraId="21D7E110">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按照《中华人民共和国防沙治沙法》（2018年10月26日修订）有关规定、《新疆第六次沙化监测报告》以及《关于加强沙区建设项目环境影响评价工作的通知》（新环环评发〔2020〕138号）文件，在沙化土地范围内从事开发建设活动的，必须事先就该项目可能对当地及相关地区生态产生的影响进行环境影响评价，依法提交环境影响报告；环境影响报告应当包括有关防沙治沙的内容。</w:t>
            </w:r>
          </w:p>
          <w:p w14:paraId="71E1E4AC">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（1）项目区沙化土地现状及防沙治沙工作情况</w:t>
            </w:r>
          </w:p>
          <w:p w14:paraId="020E8DBA">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新疆第六次沙化监测报告》，新疆国土总面积为16648.97万公顷，本次沙化监测区面积为15689.13万公顷，沙化监测区分布在14个地州市，88个县市（区）、10个自治区直辖市共98个行政区域。监测结果显示：沙化土地面积7468.21万公顷，占监测区总面积47.60%，具有明显沙化趋势的土地面积437.96万公顷，占监测区总面积2.79%，非沙化土地面积7782.95万公顷，占监测区总面积49.61%。古尔班通古特沙漠面积48695km</w:t>
            </w:r>
            <w:r>
              <w:rPr>
                <w:rFonts w:ascii="Times New Roman" w:hAnsi="Times New Roman" w:cs="Times New Roman"/>
                <w:color w:val="auto"/>
                <w:sz w:val="24"/>
                <w:szCs w:val="24"/>
                <w:highlight w:val="none"/>
                <w:vertAlign w:val="superscript"/>
                <w:lang w:eastAsia="zh-CN"/>
              </w:rPr>
              <w:t>2</w:t>
            </w:r>
            <w:r>
              <w:rPr>
                <w:rFonts w:ascii="Times New Roman" w:hAnsi="Times New Roman" w:cs="Times New Roman"/>
                <w:color w:val="auto"/>
                <w:sz w:val="24"/>
                <w:szCs w:val="24"/>
                <w:highlight w:val="none"/>
                <w:lang w:eastAsia="zh-CN"/>
              </w:rPr>
              <w:t>，占全疆沙漠的11.05%；沙漠中的沙化土地面积449.44万hm</w:t>
            </w:r>
            <w:r>
              <w:rPr>
                <w:rFonts w:ascii="Times New Roman" w:hAnsi="Times New Roman" w:cs="Times New Roman"/>
                <w:color w:val="auto"/>
                <w:sz w:val="24"/>
                <w:szCs w:val="24"/>
                <w:highlight w:val="none"/>
                <w:vertAlign w:val="superscript"/>
                <w:lang w:eastAsia="zh-CN"/>
              </w:rPr>
              <w:t>2</w:t>
            </w:r>
            <w:r>
              <w:rPr>
                <w:rFonts w:ascii="Times New Roman" w:hAnsi="Times New Roman" w:cs="Times New Roman"/>
                <w:color w:val="auto"/>
                <w:sz w:val="24"/>
                <w:szCs w:val="24"/>
                <w:highlight w:val="none"/>
                <w:lang w:eastAsia="zh-CN"/>
              </w:rPr>
              <w:t>，其中：流动沙地3.57万hm</w:t>
            </w:r>
            <w:r>
              <w:rPr>
                <w:rFonts w:ascii="Times New Roman" w:hAnsi="Times New Roman" w:cs="Times New Roman"/>
                <w:color w:val="auto"/>
                <w:sz w:val="24"/>
                <w:szCs w:val="24"/>
                <w:highlight w:val="none"/>
                <w:vertAlign w:val="superscript"/>
                <w:lang w:eastAsia="zh-CN"/>
              </w:rPr>
              <w:t>2</w:t>
            </w:r>
            <w:r>
              <w:rPr>
                <w:rFonts w:ascii="Times New Roman" w:hAnsi="Times New Roman" w:cs="Times New Roman"/>
                <w:color w:val="auto"/>
                <w:sz w:val="24"/>
                <w:szCs w:val="24"/>
                <w:highlight w:val="none"/>
                <w:lang w:eastAsia="zh-CN"/>
              </w:rPr>
              <w:t>，半固定沙地96.92万hm</w:t>
            </w:r>
            <w:r>
              <w:rPr>
                <w:rFonts w:ascii="Times New Roman" w:hAnsi="Times New Roman" w:cs="Times New Roman"/>
                <w:color w:val="auto"/>
                <w:sz w:val="24"/>
                <w:szCs w:val="24"/>
                <w:highlight w:val="none"/>
                <w:vertAlign w:val="superscript"/>
                <w:lang w:eastAsia="zh-CN"/>
              </w:rPr>
              <w:t>2</w:t>
            </w:r>
            <w:r>
              <w:rPr>
                <w:rFonts w:ascii="Times New Roman" w:hAnsi="Times New Roman" w:cs="Times New Roman"/>
                <w:color w:val="auto"/>
                <w:sz w:val="24"/>
                <w:szCs w:val="24"/>
                <w:highlight w:val="none"/>
                <w:lang w:eastAsia="zh-CN"/>
              </w:rPr>
              <w:t>，固定沙地344.54万hm</w:t>
            </w:r>
            <w:r>
              <w:rPr>
                <w:rFonts w:ascii="Times New Roman" w:hAnsi="Times New Roman" w:cs="Times New Roman"/>
                <w:color w:val="auto"/>
                <w:sz w:val="24"/>
                <w:szCs w:val="24"/>
                <w:highlight w:val="none"/>
                <w:vertAlign w:val="superscript"/>
                <w:lang w:eastAsia="zh-CN"/>
              </w:rPr>
              <w:t>2</w:t>
            </w:r>
            <w:r>
              <w:rPr>
                <w:rFonts w:ascii="Times New Roman" w:hAnsi="Times New Roman" w:cs="Times New Roman"/>
                <w:color w:val="auto"/>
                <w:sz w:val="24"/>
                <w:szCs w:val="24"/>
                <w:highlight w:val="none"/>
                <w:lang w:eastAsia="zh-CN"/>
              </w:rPr>
              <w:t>，沙化耕地4.41万hm</w:t>
            </w:r>
            <w:r>
              <w:rPr>
                <w:rFonts w:ascii="Times New Roman" w:hAnsi="Times New Roman" w:cs="Times New Roman"/>
                <w:color w:val="auto"/>
                <w:sz w:val="24"/>
                <w:szCs w:val="24"/>
                <w:highlight w:val="none"/>
                <w:vertAlign w:val="superscript"/>
                <w:lang w:eastAsia="zh-CN"/>
              </w:rPr>
              <w:t>2</w:t>
            </w:r>
            <w:r>
              <w:rPr>
                <w:rFonts w:ascii="Times New Roman" w:hAnsi="Times New Roman" w:cs="Times New Roman"/>
                <w:color w:val="auto"/>
                <w:sz w:val="24"/>
                <w:szCs w:val="24"/>
                <w:highlight w:val="none"/>
                <w:lang w:eastAsia="zh-CN"/>
              </w:rPr>
              <w:t>。</w:t>
            </w:r>
          </w:p>
          <w:p w14:paraId="035FDA23">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本项目位于昌吉州阜康市境内，位于古尔班通古特沙漠的准噶尔盆地的南部，不属于沙漠区域以及沙化土地，离古尔班通古特沙漠的准噶尔盆地约60km。土地沙化现状见附图8。</w:t>
            </w:r>
          </w:p>
          <w:p w14:paraId="0F4021B9">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（2）项目实施过程中对周边沙化土地的影响</w:t>
            </w:r>
          </w:p>
          <w:p w14:paraId="2A5A78BC">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土地利用现状分类》本项目临时占地为灌木林地，项目临时占地不占用基本农田，存在土地沙化的潜在危害，拟建工程占地范围不涉及已建设的防沙治沙设施。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废渣遇大风天气易产生严重的扬尘，形成沙尘天气。</w:t>
            </w:r>
          </w:p>
          <w:p w14:paraId="6BD69A46">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（3）可能造成的土地沙化和沙尘等生态危害。</w:t>
            </w:r>
          </w:p>
          <w:p w14:paraId="22E96D0D">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项目在施工期土地开挖过程中，若未采取分层开挖、分层回填措施，可能导致土壤的蓄水保肥能力降低，影响区域植被生长，造成土壤逐渐沙化。此外，在施工过程中，各种车辆（尤其是重型卡车）在荒漠上行驶将使经过的土壤变紧实，严重的经过多次碾压后植物很难再生长，甚至退化为沙地。</w:t>
            </w:r>
          </w:p>
          <w:p w14:paraId="70094018">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上述施工作业过程中，对原地貌的扰动大大降低了项目占地范围内的土壤抗侵蚀能力，若未采取相应的防护措施，遇大风极易加重区域沙尘天气。</w:t>
            </w:r>
          </w:p>
          <w:p w14:paraId="2DECD7A6">
            <w:pPr>
              <w:pStyle w:val="22"/>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1.5水土流失现状</w:t>
            </w:r>
          </w:p>
          <w:p w14:paraId="7219C9C0">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位于新疆维吾尔自治区昌吉回族自治州，根据《关于划分国家级水土流失重点防治区的公告》《全国水土保持规划国家级水土流失重点预防区和重点治理区复核划分成果》（办水保〔2013〕188号），项目区属于“天山北坡国家级水土流失重点预防区”。</w:t>
            </w:r>
          </w:p>
          <w:p w14:paraId="625DD1C5">
            <w:pPr>
              <w:pStyle w:val="22"/>
              <w:kinsoku/>
              <w:jc w:val="center"/>
              <w:rPr>
                <w:rFonts w:ascii="Times New Roman" w:hAnsi="Times New Roman" w:cs="Times New Roman"/>
                <w:color w:val="auto"/>
                <w:sz w:val="24"/>
                <w:szCs w:val="24"/>
                <w:highlight w:val="none"/>
                <w:lang w:eastAsia="zh-CN"/>
              </w:rPr>
            </w:pPr>
            <w:r>
              <w:rPr>
                <w:rFonts w:ascii="Times New Roman" w:hAnsi="Times New Roman" w:cs="Times New Roman"/>
                <w:b/>
                <w:bCs/>
                <w:color w:val="auto"/>
                <w:sz w:val="21"/>
                <w:szCs w:val="21"/>
                <w:highlight w:val="none"/>
                <w:lang w:eastAsia="zh-CN"/>
              </w:rPr>
              <w:t>表3-2 项目区域在国家级水土流失区划中情况</w:t>
            </w:r>
          </w:p>
          <w:tbl>
            <w:tblPr>
              <w:tblStyle w:val="21"/>
              <w:tblW w:w="79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2727"/>
              <w:gridCol w:w="3252"/>
            </w:tblGrid>
            <w:tr w14:paraId="45D45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79" w:type="dxa"/>
                  <w:vAlign w:val="center"/>
                </w:tcPr>
                <w:p w14:paraId="444558B2">
                  <w:pPr>
                    <w:pStyle w:val="22"/>
                    <w:kinsoku/>
                    <w:spacing w:before="42" w:line="234" w:lineRule="auto"/>
                    <w:jc w:val="center"/>
                    <w:rPr>
                      <w:rFonts w:ascii="Times New Roman" w:hAnsi="Times New Roman" w:cs="Times New Roman"/>
                      <w:color w:val="auto"/>
                      <w:sz w:val="21"/>
                      <w:szCs w:val="21"/>
                      <w:highlight w:val="none"/>
                      <w:lang w:eastAsia="zh-CN"/>
                    </w:rPr>
                  </w:pPr>
                  <w:r>
                    <w:rPr>
                      <w:rFonts w:ascii="Times New Roman" w:hAnsi="Times New Roman" w:cs="Times New Roman"/>
                      <w:b/>
                      <w:bCs/>
                      <w:color w:val="auto"/>
                      <w:spacing w:val="7"/>
                      <w:sz w:val="21"/>
                      <w:szCs w:val="21"/>
                      <w:highlight w:val="none"/>
                      <w:lang w:eastAsia="zh-CN"/>
                    </w:rPr>
                    <w:t>涉及水土流失区划</w:t>
                  </w:r>
                  <w:r>
                    <w:rPr>
                      <w:rFonts w:ascii="Times New Roman" w:hAnsi="Times New Roman" w:cs="Times New Roman"/>
                      <w:b/>
                      <w:bCs/>
                      <w:color w:val="auto"/>
                      <w:spacing w:val="3"/>
                      <w:sz w:val="21"/>
                      <w:szCs w:val="21"/>
                      <w:highlight w:val="none"/>
                      <w:lang w:eastAsia="zh-CN"/>
                    </w:rPr>
                    <w:t>的行政区域</w:t>
                  </w:r>
                </w:p>
              </w:tc>
              <w:tc>
                <w:tcPr>
                  <w:tcW w:w="2727" w:type="dxa"/>
                  <w:vAlign w:val="center"/>
                </w:tcPr>
                <w:p w14:paraId="33686E3F">
                  <w:pPr>
                    <w:pStyle w:val="22"/>
                    <w:kinsoku/>
                    <w:spacing w:before="175" w:line="228" w:lineRule="auto"/>
                    <w:jc w:val="center"/>
                    <w:rPr>
                      <w:rFonts w:ascii="Times New Roman" w:hAnsi="Times New Roman" w:cs="Times New Roman"/>
                      <w:color w:val="auto"/>
                      <w:sz w:val="21"/>
                      <w:szCs w:val="21"/>
                      <w:highlight w:val="none"/>
                    </w:rPr>
                  </w:pPr>
                  <w:r>
                    <w:rPr>
                      <w:rFonts w:ascii="Times New Roman" w:hAnsi="Times New Roman" w:cs="Times New Roman"/>
                      <w:b/>
                      <w:bCs/>
                      <w:color w:val="auto"/>
                      <w:spacing w:val="2"/>
                      <w:sz w:val="21"/>
                      <w:szCs w:val="21"/>
                      <w:highlight w:val="none"/>
                    </w:rPr>
                    <w:t>大类</w:t>
                  </w:r>
                </w:p>
              </w:tc>
              <w:tc>
                <w:tcPr>
                  <w:tcW w:w="3252" w:type="dxa"/>
                  <w:tcBorders>
                    <w:right w:val="single" w:color="000000" w:sz="4" w:space="0"/>
                  </w:tcBorders>
                  <w:vAlign w:val="center"/>
                </w:tcPr>
                <w:p w14:paraId="485A2899">
                  <w:pPr>
                    <w:pStyle w:val="22"/>
                    <w:kinsoku/>
                    <w:spacing w:before="175" w:line="230" w:lineRule="auto"/>
                    <w:jc w:val="center"/>
                    <w:rPr>
                      <w:rFonts w:ascii="Times New Roman" w:hAnsi="Times New Roman" w:cs="Times New Roman"/>
                      <w:color w:val="auto"/>
                      <w:sz w:val="21"/>
                      <w:szCs w:val="21"/>
                      <w:highlight w:val="none"/>
                    </w:rPr>
                  </w:pPr>
                  <w:r>
                    <w:rPr>
                      <w:rFonts w:ascii="Times New Roman" w:hAnsi="Times New Roman" w:cs="Times New Roman"/>
                      <w:b/>
                      <w:bCs/>
                      <w:color w:val="auto"/>
                      <w:sz w:val="21"/>
                      <w:szCs w:val="21"/>
                      <w:highlight w:val="none"/>
                    </w:rPr>
                    <w:t>区名称</w:t>
                  </w:r>
                </w:p>
              </w:tc>
            </w:tr>
            <w:tr w14:paraId="48441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79" w:type="dxa"/>
                  <w:vAlign w:val="center"/>
                </w:tcPr>
                <w:p w14:paraId="7EAF801E">
                  <w:pPr>
                    <w:pStyle w:val="22"/>
                    <w:kinsoku/>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阜康市</w:t>
                  </w:r>
                </w:p>
              </w:tc>
              <w:tc>
                <w:tcPr>
                  <w:tcW w:w="2727" w:type="dxa"/>
                  <w:vAlign w:val="center"/>
                </w:tcPr>
                <w:p w14:paraId="2DD2EDF2">
                  <w:pPr>
                    <w:pStyle w:val="22"/>
                    <w:kinsoku/>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国家级水土流失重点预防区</w:t>
                  </w:r>
                </w:p>
              </w:tc>
              <w:tc>
                <w:tcPr>
                  <w:tcW w:w="3252" w:type="dxa"/>
                  <w:tcBorders>
                    <w:right w:val="single" w:color="000000" w:sz="4" w:space="0"/>
                  </w:tcBorders>
                  <w:vAlign w:val="center"/>
                </w:tcPr>
                <w:p w14:paraId="0FFF17E3">
                  <w:pPr>
                    <w:pStyle w:val="22"/>
                    <w:kinsoku/>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8"/>
                      <w:sz w:val="21"/>
                      <w:szCs w:val="21"/>
                      <w:highlight w:val="none"/>
                      <w:lang w:eastAsia="zh-CN"/>
                    </w:rPr>
                    <w:t>天山北坡国家级水土流失重点预</w:t>
                  </w:r>
                  <w:r>
                    <w:rPr>
                      <w:rFonts w:ascii="Times New Roman" w:hAnsi="Times New Roman" w:cs="Times New Roman"/>
                      <w:color w:val="auto"/>
                      <w:spacing w:val="-2"/>
                      <w:sz w:val="21"/>
                      <w:szCs w:val="21"/>
                      <w:highlight w:val="none"/>
                      <w:lang w:eastAsia="zh-CN"/>
                    </w:rPr>
                    <w:t>防区</w:t>
                  </w:r>
                </w:p>
              </w:tc>
            </w:tr>
          </w:tbl>
          <w:p w14:paraId="764F9C74">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关于印发新疆自治区级水土流失重点预防区和重点治理区复核划分成果的通知》（新水水保〔2019〕4号）：全疆共划分了2个自治区级重点预防区，4个自治区级重点治理区。依据《昌吉州水土流失重点预防区和重点治理区划分成果》及《昌吉回族自治州两区划分图 》可知，本项目不在昌吉回族自治州两区划分的水土流失预防区和治理区。水土保持区划见附图9。</w:t>
            </w:r>
          </w:p>
          <w:p w14:paraId="673201D4">
            <w:pPr>
              <w:pStyle w:val="22"/>
              <w:kinsoku/>
              <w:spacing w:line="360" w:lineRule="auto"/>
              <w:ind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本项目环评提出，按照水土保持方案的要求，严格执行各项水土保持措施。</w:t>
            </w:r>
          </w:p>
          <w:p w14:paraId="047D0D3E">
            <w:pPr>
              <w:pStyle w:val="22"/>
              <w:kinsoku/>
              <w:spacing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2.环境空气质量现状调查及评价</w:t>
            </w:r>
          </w:p>
          <w:p w14:paraId="4C71B43A">
            <w:pPr>
              <w:pStyle w:val="22"/>
              <w:kinsoku/>
              <w:spacing w:before="38" w:line="356" w:lineRule="auto"/>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2.1数据来源</w:t>
            </w:r>
          </w:p>
          <w:p w14:paraId="411BF175">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根据《环境影响评价技术导则大气环境》（HJ2.2-2018）对环境质量现状数据的要求，本项目基本污染物环境质量现状评价采用环境空气质量模型空气质量数据，作为本项目环境空气现状评价基本污染物SO</w:t>
            </w:r>
            <w:r>
              <w:rPr>
                <w:rFonts w:ascii="Times New Roman" w:hAnsi="Times New Roman" w:cs="Times New Roman"/>
                <w:color w:val="auto"/>
                <w:spacing w:val="-2"/>
                <w:sz w:val="24"/>
                <w:szCs w:val="24"/>
                <w:highlight w:val="none"/>
                <w:vertAlign w:val="subscript"/>
                <w:lang w:eastAsia="zh-CN"/>
              </w:rPr>
              <w:t>2</w:t>
            </w:r>
            <w:r>
              <w:rPr>
                <w:rFonts w:ascii="Times New Roman" w:hAnsi="Times New Roman" w:cs="Times New Roman"/>
                <w:color w:val="auto"/>
                <w:spacing w:val="-2"/>
                <w:sz w:val="24"/>
                <w:szCs w:val="24"/>
                <w:highlight w:val="none"/>
                <w:lang w:eastAsia="zh-CN"/>
              </w:rPr>
              <w:t>、NO</w:t>
            </w:r>
            <w:r>
              <w:rPr>
                <w:rFonts w:ascii="Times New Roman" w:hAnsi="Times New Roman" w:cs="Times New Roman"/>
                <w:color w:val="auto"/>
                <w:spacing w:val="-2"/>
                <w:sz w:val="24"/>
                <w:szCs w:val="24"/>
                <w:highlight w:val="none"/>
                <w:vertAlign w:val="subscript"/>
                <w:lang w:eastAsia="zh-CN"/>
              </w:rPr>
              <w:t>2</w:t>
            </w:r>
            <w:r>
              <w:rPr>
                <w:rFonts w:ascii="Times New Roman" w:hAnsi="Times New Roman" w:cs="Times New Roman"/>
                <w:color w:val="auto"/>
                <w:spacing w:val="-2"/>
                <w:sz w:val="24"/>
                <w:szCs w:val="24"/>
                <w:highlight w:val="none"/>
                <w:lang w:eastAsia="zh-CN"/>
              </w:rPr>
              <w:t>、PM</w:t>
            </w:r>
            <w:r>
              <w:rPr>
                <w:rFonts w:ascii="Times New Roman" w:hAnsi="Times New Roman" w:cs="Times New Roman"/>
                <w:color w:val="auto"/>
                <w:spacing w:val="-2"/>
                <w:sz w:val="24"/>
                <w:szCs w:val="24"/>
                <w:highlight w:val="none"/>
                <w:vertAlign w:val="subscript"/>
                <w:lang w:eastAsia="zh-CN"/>
              </w:rPr>
              <w:t>10</w:t>
            </w:r>
            <w:r>
              <w:rPr>
                <w:rFonts w:ascii="Times New Roman" w:hAnsi="Times New Roman" w:cs="Times New Roman"/>
                <w:color w:val="auto"/>
                <w:spacing w:val="-2"/>
                <w:sz w:val="24"/>
                <w:szCs w:val="24"/>
                <w:highlight w:val="none"/>
                <w:lang w:eastAsia="zh-CN"/>
              </w:rPr>
              <w:t>、PM</w:t>
            </w:r>
            <w:r>
              <w:rPr>
                <w:rFonts w:ascii="Times New Roman" w:hAnsi="Times New Roman" w:cs="Times New Roman"/>
                <w:color w:val="auto"/>
                <w:spacing w:val="-2"/>
                <w:sz w:val="24"/>
                <w:szCs w:val="24"/>
                <w:highlight w:val="none"/>
                <w:vertAlign w:val="subscript"/>
                <w:lang w:eastAsia="zh-CN"/>
              </w:rPr>
              <w:t>2.5</w:t>
            </w:r>
            <w:r>
              <w:rPr>
                <w:rFonts w:ascii="Times New Roman" w:hAnsi="Times New Roman" w:cs="Times New Roman"/>
                <w:color w:val="auto"/>
                <w:spacing w:val="-2"/>
                <w:sz w:val="24"/>
                <w:szCs w:val="24"/>
                <w:highlight w:val="none"/>
                <w:lang w:eastAsia="zh-CN"/>
              </w:rPr>
              <w:t>、CO和O</w:t>
            </w:r>
            <w:r>
              <w:rPr>
                <w:rFonts w:ascii="Times New Roman" w:hAnsi="Times New Roman" w:cs="Times New Roman"/>
                <w:color w:val="auto"/>
                <w:spacing w:val="-2"/>
                <w:sz w:val="24"/>
                <w:szCs w:val="24"/>
                <w:highlight w:val="none"/>
                <w:vertAlign w:val="subscript"/>
                <w:lang w:eastAsia="zh-CN"/>
              </w:rPr>
              <w:t>3</w:t>
            </w:r>
            <w:r>
              <w:rPr>
                <w:rFonts w:ascii="Times New Roman" w:hAnsi="Times New Roman" w:cs="Times New Roman"/>
                <w:color w:val="auto"/>
                <w:spacing w:val="-2"/>
                <w:sz w:val="24"/>
                <w:szCs w:val="24"/>
                <w:highlight w:val="none"/>
                <w:lang w:eastAsia="zh-CN"/>
              </w:rPr>
              <w:t>的数据来源。</w:t>
            </w:r>
          </w:p>
          <w:p w14:paraId="680AEDEB">
            <w:pPr>
              <w:pStyle w:val="22"/>
              <w:kinsoku/>
              <w:spacing w:before="38" w:line="356" w:lineRule="auto"/>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2.2评价标准</w:t>
            </w:r>
          </w:p>
          <w:p w14:paraId="0656371A">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基本污染物SO</w:t>
            </w:r>
            <w:r>
              <w:rPr>
                <w:rFonts w:ascii="Times New Roman" w:hAnsi="Times New Roman" w:cs="Times New Roman"/>
                <w:color w:val="auto"/>
                <w:spacing w:val="-2"/>
                <w:sz w:val="24"/>
                <w:szCs w:val="24"/>
                <w:highlight w:val="none"/>
                <w:vertAlign w:val="subscript"/>
                <w:lang w:eastAsia="zh-CN"/>
              </w:rPr>
              <w:t>2</w:t>
            </w:r>
            <w:r>
              <w:rPr>
                <w:rFonts w:ascii="Times New Roman" w:hAnsi="Times New Roman" w:cs="Times New Roman"/>
                <w:color w:val="auto"/>
                <w:spacing w:val="-2"/>
                <w:sz w:val="24"/>
                <w:szCs w:val="24"/>
                <w:highlight w:val="none"/>
                <w:lang w:eastAsia="zh-CN"/>
              </w:rPr>
              <w:t>、NO</w:t>
            </w:r>
            <w:r>
              <w:rPr>
                <w:rFonts w:ascii="Times New Roman" w:hAnsi="Times New Roman" w:cs="Times New Roman"/>
                <w:color w:val="auto"/>
                <w:spacing w:val="-2"/>
                <w:sz w:val="24"/>
                <w:szCs w:val="24"/>
                <w:highlight w:val="none"/>
                <w:vertAlign w:val="subscript"/>
                <w:lang w:eastAsia="zh-CN"/>
              </w:rPr>
              <w:t>2</w:t>
            </w:r>
            <w:r>
              <w:rPr>
                <w:rFonts w:ascii="Times New Roman" w:hAnsi="Times New Roman" w:cs="Times New Roman"/>
                <w:color w:val="auto"/>
                <w:spacing w:val="-2"/>
                <w:sz w:val="24"/>
                <w:szCs w:val="24"/>
                <w:highlight w:val="none"/>
                <w:lang w:eastAsia="zh-CN"/>
              </w:rPr>
              <w:t>、PM</w:t>
            </w:r>
            <w:r>
              <w:rPr>
                <w:rFonts w:ascii="Times New Roman" w:hAnsi="Times New Roman" w:cs="Times New Roman"/>
                <w:color w:val="auto"/>
                <w:spacing w:val="-2"/>
                <w:sz w:val="24"/>
                <w:szCs w:val="24"/>
                <w:highlight w:val="none"/>
                <w:vertAlign w:val="subscript"/>
                <w:lang w:eastAsia="zh-CN"/>
              </w:rPr>
              <w:t>10</w:t>
            </w:r>
            <w:r>
              <w:rPr>
                <w:rFonts w:ascii="Times New Roman" w:hAnsi="Times New Roman" w:cs="Times New Roman"/>
                <w:color w:val="auto"/>
                <w:spacing w:val="-2"/>
                <w:sz w:val="24"/>
                <w:szCs w:val="24"/>
                <w:highlight w:val="none"/>
                <w:lang w:eastAsia="zh-CN"/>
              </w:rPr>
              <w:t>、PM</w:t>
            </w:r>
            <w:r>
              <w:rPr>
                <w:rFonts w:ascii="Times New Roman" w:hAnsi="Times New Roman" w:cs="Times New Roman"/>
                <w:color w:val="auto"/>
                <w:spacing w:val="-2"/>
                <w:sz w:val="24"/>
                <w:szCs w:val="24"/>
                <w:highlight w:val="none"/>
                <w:vertAlign w:val="subscript"/>
                <w:lang w:eastAsia="zh-CN"/>
              </w:rPr>
              <w:t>2.5</w:t>
            </w:r>
            <w:r>
              <w:rPr>
                <w:rFonts w:ascii="Times New Roman" w:hAnsi="Times New Roman" w:cs="Times New Roman"/>
                <w:color w:val="auto"/>
                <w:spacing w:val="-2"/>
                <w:sz w:val="24"/>
                <w:szCs w:val="24"/>
                <w:highlight w:val="none"/>
                <w:lang w:eastAsia="zh-CN"/>
              </w:rPr>
              <w:t>、CO和O</w:t>
            </w:r>
            <w:r>
              <w:rPr>
                <w:rFonts w:ascii="Times New Roman" w:hAnsi="Times New Roman" w:cs="Times New Roman"/>
                <w:color w:val="auto"/>
                <w:spacing w:val="-2"/>
                <w:sz w:val="24"/>
                <w:szCs w:val="24"/>
                <w:highlight w:val="none"/>
                <w:vertAlign w:val="subscript"/>
                <w:lang w:eastAsia="zh-CN"/>
              </w:rPr>
              <w:t>3</w:t>
            </w:r>
            <w:r>
              <w:rPr>
                <w:rFonts w:ascii="Times New Roman" w:hAnsi="Times New Roman" w:cs="Times New Roman"/>
                <w:color w:val="auto"/>
                <w:spacing w:val="-2"/>
                <w:sz w:val="24"/>
                <w:szCs w:val="24"/>
                <w:highlight w:val="none"/>
                <w:lang w:eastAsia="zh-CN"/>
              </w:rPr>
              <w:t>执行《环境空气质量标准》（GB3095-2012）中的二级标准。</w:t>
            </w:r>
          </w:p>
          <w:p w14:paraId="348C950C">
            <w:pPr>
              <w:pStyle w:val="22"/>
              <w:kinsoku/>
              <w:spacing w:before="38" w:line="356" w:lineRule="auto"/>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2.3评价方法</w:t>
            </w:r>
          </w:p>
          <w:p w14:paraId="103EB478">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509E2188">
            <w:pPr>
              <w:pStyle w:val="22"/>
              <w:kinsoku/>
              <w:spacing w:before="38" w:line="356" w:lineRule="auto"/>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2.4空气质量达标区判定</w:t>
            </w:r>
          </w:p>
          <w:p w14:paraId="5D793240">
            <w:pPr>
              <w:pStyle w:val="22"/>
              <w:kinsoku/>
              <w:spacing w:before="38" w:line="356" w:lineRule="auto"/>
              <w:ind w:firstLine="482"/>
              <w:jc w:val="both"/>
              <w:rPr>
                <w:rFonts w:ascii="Times New Roman" w:hAnsi="Times New Roman" w:cs="Times New Roman"/>
                <w:color w:val="auto"/>
                <w:sz w:val="24"/>
                <w:szCs w:val="24"/>
                <w:highlight w:val="none"/>
                <w:lang w:eastAsia="zh-CN"/>
              </w:rPr>
            </w:pPr>
            <w:bookmarkStart w:id="16" w:name="_Ref179977892"/>
            <w:bookmarkStart w:id="17" w:name="_Ref21430043"/>
            <w:r>
              <w:rPr>
                <w:rFonts w:ascii="Times New Roman" w:hAnsi="Times New Roman" w:cs="Times New Roman"/>
                <w:color w:val="auto"/>
                <w:spacing w:val="-2"/>
                <w:sz w:val="24"/>
                <w:szCs w:val="24"/>
                <w:highlight w:val="none"/>
                <w:lang w:eastAsia="zh-CN"/>
              </w:rPr>
              <w:t>根据《环境影响评价技术导则 大气环境》（HJ2.2-2018）要求，项目位于昌吉回族自治州阜康市，根据新疆维吾尔自治区生态环境厅发布的《2024年12月和1-12月“乌-昌-石”“奎-独-乌”区域各县（市、 区）环境空气质量状况及排名》数据显示，</w:t>
            </w:r>
            <w:r>
              <w:rPr>
                <w:rFonts w:hint="eastAsia" w:ascii="Times New Roman" w:hAnsi="Times New Roman" w:cs="Times New Roman"/>
                <w:color w:val="auto"/>
                <w:spacing w:val="-2"/>
                <w:sz w:val="24"/>
                <w:szCs w:val="24"/>
                <w:highlight w:val="none"/>
                <w:lang w:val="en-US" w:eastAsia="zh-CN"/>
              </w:rPr>
              <w:t>阜康市</w:t>
            </w:r>
            <w:r>
              <w:rPr>
                <w:rFonts w:ascii="Times New Roman" w:hAnsi="Times New Roman" w:cs="Times New Roman"/>
                <w:color w:val="auto"/>
                <w:spacing w:val="-2"/>
                <w:sz w:val="24"/>
                <w:szCs w:val="24"/>
                <w:highlight w:val="none"/>
                <w:lang w:eastAsia="zh-CN"/>
              </w:rPr>
              <w:t>2024年基本污染物中</w:t>
            </w:r>
            <w:r>
              <w:rPr>
                <w:rFonts w:ascii="Times New Roman" w:hAnsi="Times New Roman" w:cs="Times New Roman"/>
                <w:color w:val="auto"/>
                <w:sz w:val="24"/>
                <w:szCs w:val="24"/>
                <w:highlight w:val="none"/>
                <w:lang w:eastAsia="zh-CN"/>
              </w:rPr>
              <w:t>PM</w:t>
            </w:r>
            <w:r>
              <w:rPr>
                <w:rFonts w:ascii="Times New Roman" w:hAnsi="Times New Roman" w:cs="Times New Roman"/>
                <w:color w:val="auto"/>
                <w:sz w:val="24"/>
                <w:szCs w:val="24"/>
                <w:highlight w:val="none"/>
                <w:vertAlign w:val="subscript"/>
                <w:lang w:eastAsia="zh-CN"/>
              </w:rPr>
              <w:t>10</w:t>
            </w:r>
            <w:r>
              <w:rPr>
                <w:rFonts w:hint="eastAsia" w:ascii="Times New Roman" w:hAnsi="Times New Roman" w:cs="Times New Roman"/>
                <w:color w:val="auto"/>
                <w:spacing w:val="-2"/>
                <w:sz w:val="24"/>
                <w:szCs w:val="24"/>
                <w:highlight w:val="none"/>
                <w:lang w:eastAsia="zh-CN"/>
              </w:rPr>
              <w:t>、</w:t>
            </w:r>
            <w:r>
              <w:rPr>
                <w:rFonts w:ascii="Times New Roman" w:hAnsi="Times New Roman" w:cs="Times New Roman"/>
                <w:color w:val="auto"/>
                <w:spacing w:val="-2"/>
                <w:sz w:val="24"/>
                <w:szCs w:val="24"/>
                <w:highlight w:val="none"/>
                <w:lang w:eastAsia="zh-CN"/>
              </w:rPr>
              <w:t>SO</w:t>
            </w:r>
            <w:r>
              <w:rPr>
                <w:rFonts w:ascii="Times New Roman" w:hAnsi="Times New Roman" w:cs="Times New Roman"/>
                <w:color w:val="auto"/>
                <w:spacing w:val="-2"/>
                <w:sz w:val="24"/>
                <w:szCs w:val="24"/>
                <w:highlight w:val="none"/>
                <w:vertAlign w:val="subscript"/>
                <w:lang w:eastAsia="zh-CN"/>
              </w:rPr>
              <w:t>2</w:t>
            </w:r>
            <w:r>
              <w:rPr>
                <w:rFonts w:ascii="Times New Roman" w:hAnsi="Times New Roman" w:cs="Times New Roman"/>
                <w:color w:val="auto"/>
                <w:spacing w:val="-2"/>
                <w:sz w:val="24"/>
                <w:szCs w:val="24"/>
                <w:highlight w:val="none"/>
                <w:lang w:eastAsia="zh-CN"/>
              </w:rPr>
              <w:t>、NO</w:t>
            </w:r>
            <w:r>
              <w:rPr>
                <w:rFonts w:ascii="Times New Roman" w:hAnsi="Times New Roman" w:cs="Times New Roman"/>
                <w:color w:val="auto"/>
                <w:spacing w:val="-2"/>
                <w:sz w:val="24"/>
                <w:szCs w:val="24"/>
                <w:highlight w:val="none"/>
                <w:vertAlign w:val="subscript"/>
                <w:lang w:eastAsia="zh-CN"/>
              </w:rPr>
              <w:t>2</w:t>
            </w:r>
            <w:r>
              <w:rPr>
                <w:rFonts w:ascii="Times New Roman" w:hAnsi="Times New Roman" w:cs="Times New Roman"/>
                <w:color w:val="auto"/>
                <w:spacing w:val="-2"/>
                <w:sz w:val="24"/>
                <w:szCs w:val="24"/>
                <w:highlight w:val="none"/>
                <w:lang w:eastAsia="zh-CN"/>
              </w:rPr>
              <w:t>、CO、O</w:t>
            </w:r>
            <w:r>
              <w:rPr>
                <w:rFonts w:ascii="Times New Roman" w:hAnsi="Times New Roman" w:cs="Times New Roman"/>
                <w:color w:val="auto"/>
                <w:spacing w:val="-2"/>
                <w:sz w:val="24"/>
                <w:szCs w:val="24"/>
                <w:highlight w:val="none"/>
                <w:vertAlign w:val="subscript"/>
                <w:lang w:eastAsia="zh-CN"/>
              </w:rPr>
              <w:t>3</w:t>
            </w:r>
            <w:r>
              <w:rPr>
                <w:rFonts w:ascii="Times New Roman" w:hAnsi="Times New Roman" w:cs="Times New Roman"/>
                <w:color w:val="auto"/>
                <w:spacing w:val="-2"/>
                <w:sz w:val="24"/>
                <w:szCs w:val="24"/>
                <w:highlight w:val="none"/>
                <w:lang w:eastAsia="zh-CN"/>
              </w:rPr>
              <w:t>的现状浓度均符合《环境空气质量标准》（GB3095-20</w:t>
            </w:r>
            <w:r>
              <w:rPr>
                <w:rFonts w:ascii="Times New Roman" w:hAnsi="Times New Roman" w:cs="Times New Roman"/>
                <w:color w:val="auto"/>
                <w:sz w:val="24"/>
                <w:szCs w:val="24"/>
                <w:highlight w:val="none"/>
                <w:lang w:eastAsia="zh-CN"/>
              </w:rPr>
              <w:t>12）二级标准，PM</w:t>
            </w:r>
            <w:r>
              <w:rPr>
                <w:rFonts w:ascii="Times New Roman" w:hAnsi="Times New Roman" w:cs="Times New Roman"/>
                <w:color w:val="auto"/>
                <w:sz w:val="24"/>
                <w:szCs w:val="24"/>
                <w:highlight w:val="none"/>
                <w:vertAlign w:val="subscript"/>
                <w:lang w:eastAsia="zh-CN"/>
              </w:rPr>
              <w:t>2.5</w:t>
            </w:r>
            <w:r>
              <w:rPr>
                <w:rFonts w:ascii="Times New Roman" w:hAnsi="Times New Roman" w:cs="Times New Roman"/>
                <w:color w:val="auto"/>
                <w:sz w:val="24"/>
                <w:szCs w:val="24"/>
                <w:highlight w:val="none"/>
                <w:lang w:eastAsia="zh-CN"/>
              </w:rPr>
              <w:t>的现状浓度超标，具体情况见下表。</w:t>
            </w:r>
          </w:p>
          <w:p w14:paraId="0D89A4E8">
            <w:pPr>
              <w:pStyle w:val="6"/>
              <w:kinsoku/>
              <w:spacing w:line="240" w:lineRule="auto"/>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w:t>
            </w:r>
            <w:bookmarkEnd w:id="16"/>
            <w:r>
              <w:rPr>
                <w:rFonts w:ascii="Times New Roman" w:hAnsi="Times New Roman" w:eastAsia="宋体" w:cs="Times New Roman"/>
                <w:b/>
                <w:bCs/>
                <w:color w:val="auto"/>
                <w:highlight w:val="none"/>
                <w:lang w:eastAsia="zh-CN"/>
              </w:rPr>
              <w:t>3-3 大气质量及评价结果一览表</w:t>
            </w:r>
          </w:p>
          <w:tbl>
            <w:tblPr>
              <w:tblStyle w:val="2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2886"/>
              <w:gridCol w:w="1052"/>
              <w:gridCol w:w="1174"/>
              <w:gridCol w:w="1176"/>
              <w:gridCol w:w="903"/>
            </w:tblGrid>
            <w:tr w14:paraId="37F94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jc w:val="center"/>
              </w:trPr>
              <w:tc>
                <w:tcPr>
                  <w:tcW w:w="554" w:type="pct"/>
                  <w:vAlign w:val="center"/>
                </w:tcPr>
                <w:p w14:paraId="74882215">
                  <w:pPr>
                    <w:pStyle w:val="22"/>
                    <w:jc w:val="center"/>
                    <w:rPr>
                      <w:rFonts w:ascii="Times New Roman" w:hAnsi="Times New Roman" w:cs="Times New Roman"/>
                      <w:b/>
                      <w:bCs/>
                      <w:color w:val="auto"/>
                      <w:spacing w:val="1"/>
                      <w:sz w:val="21"/>
                      <w:szCs w:val="21"/>
                      <w:highlight w:val="none"/>
                    </w:rPr>
                  </w:pPr>
                  <w:r>
                    <w:rPr>
                      <w:rFonts w:ascii="Times New Roman" w:hAnsi="Times New Roman" w:cs="Times New Roman"/>
                      <w:b/>
                      <w:bCs/>
                      <w:color w:val="auto"/>
                      <w:spacing w:val="1"/>
                      <w:sz w:val="21"/>
                      <w:szCs w:val="21"/>
                      <w:highlight w:val="none"/>
                    </w:rPr>
                    <w:t>污染物</w:t>
                  </w:r>
                </w:p>
              </w:tc>
              <w:tc>
                <w:tcPr>
                  <w:tcW w:w="1782" w:type="pct"/>
                  <w:vAlign w:val="center"/>
                </w:tcPr>
                <w:p w14:paraId="25907C9C">
                  <w:pPr>
                    <w:pStyle w:val="22"/>
                    <w:jc w:val="center"/>
                    <w:rPr>
                      <w:rFonts w:ascii="Times New Roman" w:hAnsi="Times New Roman" w:cs="Times New Roman"/>
                      <w:b/>
                      <w:bCs/>
                      <w:color w:val="auto"/>
                      <w:spacing w:val="1"/>
                      <w:sz w:val="21"/>
                      <w:szCs w:val="21"/>
                      <w:highlight w:val="none"/>
                    </w:rPr>
                  </w:pPr>
                  <w:r>
                    <w:rPr>
                      <w:rFonts w:ascii="Times New Roman" w:hAnsi="Times New Roman" w:cs="Times New Roman"/>
                      <w:b/>
                      <w:bCs/>
                      <w:color w:val="auto"/>
                      <w:spacing w:val="1"/>
                      <w:sz w:val="21"/>
                      <w:szCs w:val="21"/>
                      <w:highlight w:val="none"/>
                    </w:rPr>
                    <w:t>评价指标</w:t>
                  </w:r>
                </w:p>
              </w:tc>
              <w:tc>
                <w:tcPr>
                  <w:tcW w:w="650" w:type="pct"/>
                  <w:vAlign w:val="center"/>
                </w:tcPr>
                <w:p w14:paraId="3309459D">
                  <w:pPr>
                    <w:pStyle w:val="22"/>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1"/>
                      <w:sz w:val="21"/>
                      <w:szCs w:val="21"/>
                      <w:highlight w:val="none"/>
                    </w:rPr>
                    <w:t>现状浓度(μ</w:t>
                  </w:r>
                  <w:r>
                    <w:rPr>
                      <w:rFonts w:ascii="Times New Roman" w:hAnsi="Times New Roman" w:cs="Times New Roman"/>
                      <w:b/>
                      <w:bCs/>
                      <w:color w:val="auto"/>
                      <w:spacing w:val="2"/>
                      <w:sz w:val="21"/>
                      <w:szCs w:val="21"/>
                      <w:highlight w:val="none"/>
                    </w:rPr>
                    <w:t>g/m</w:t>
                  </w:r>
                  <w:r>
                    <w:rPr>
                      <w:rFonts w:ascii="Times New Roman" w:hAnsi="Times New Roman" w:cs="Times New Roman"/>
                      <w:b/>
                      <w:bCs/>
                      <w:color w:val="auto"/>
                      <w:spacing w:val="2"/>
                      <w:sz w:val="21"/>
                      <w:szCs w:val="21"/>
                      <w:highlight w:val="none"/>
                      <w:vertAlign w:val="superscript"/>
                      <w:lang w:eastAsia="zh-CN"/>
                    </w:rPr>
                    <w:t>3</w:t>
                  </w:r>
                  <w:r>
                    <w:rPr>
                      <w:rFonts w:ascii="Times New Roman" w:hAnsi="Times New Roman" w:cs="Times New Roman"/>
                      <w:b/>
                      <w:bCs/>
                      <w:color w:val="auto"/>
                      <w:spacing w:val="2"/>
                      <w:sz w:val="21"/>
                      <w:szCs w:val="21"/>
                      <w:highlight w:val="none"/>
                    </w:rPr>
                    <w:t>）</w:t>
                  </w:r>
                </w:p>
              </w:tc>
              <w:tc>
                <w:tcPr>
                  <w:tcW w:w="726" w:type="pct"/>
                  <w:vAlign w:val="center"/>
                </w:tcPr>
                <w:p w14:paraId="05C062D1">
                  <w:pPr>
                    <w:pStyle w:val="22"/>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1"/>
                      <w:sz w:val="21"/>
                      <w:szCs w:val="21"/>
                      <w:highlight w:val="none"/>
                    </w:rPr>
                    <w:t>标准值(μg/</w:t>
                  </w:r>
                  <w:r>
                    <w:rPr>
                      <w:rFonts w:ascii="Times New Roman" w:hAnsi="Times New Roman" w:cs="Times New Roman"/>
                      <w:b/>
                      <w:bCs/>
                      <w:color w:val="auto"/>
                      <w:spacing w:val="3"/>
                      <w:position w:val="-1"/>
                      <w:sz w:val="21"/>
                      <w:szCs w:val="21"/>
                      <w:highlight w:val="none"/>
                    </w:rPr>
                    <w:t>m</w:t>
                  </w:r>
                  <w:r>
                    <w:rPr>
                      <w:rFonts w:ascii="Times New Roman" w:hAnsi="Times New Roman" w:cs="Times New Roman"/>
                      <w:b/>
                      <w:bCs/>
                      <w:color w:val="auto"/>
                      <w:spacing w:val="3"/>
                      <w:position w:val="-1"/>
                      <w:sz w:val="21"/>
                      <w:szCs w:val="21"/>
                      <w:highlight w:val="none"/>
                      <w:vertAlign w:val="superscript"/>
                      <w:lang w:eastAsia="zh-CN"/>
                    </w:rPr>
                    <w:t>3</w:t>
                  </w:r>
                  <w:r>
                    <w:rPr>
                      <w:rFonts w:ascii="Times New Roman" w:hAnsi="Times New Roman" w:cs="Times New Roman"/>
                      <w:b/>
                      <w:bCs/>
                      <w:color w:val="auto"/>
                      <w:spacing w:val="3"/>
                      <w:position w:val="-1"/>
                      <w:sz w:val="21"/>
                      <w:szCs w:val="21"/>
                      <w:highlight w:val="none"/>
                    </w:rPr>
                    <w:t>）</w:t>
                  </w:r>
                </w:p>
              </w:tc>
              <w:tc>
                <w:tcPr>
                  <w:tcW w:w="727" w:type="pct"/>
                  <w:vAlign w:val="center"/>
                </w:tcPr>
                <w:p w14:paraId="409BAA0B">
                  <w:pPr>
                    <w:pStyle w:val="22"/>
                    <w:jc w:val="center"/>
                    <w:rPr>
                      <w:rFonts w:ascii="Times New Roman" w:hAnsi="Times New Roman" w:cs="Times New Roman"/>
                      <w:b/>
                      <w:bCs/>
                      <w:color w:val="auto"/>
                      <w:spacing w:val="-5"/>
                      <w:sz w:val="21"/>
                      <w:szCs w:val="21"/>
                      <w:highlight w:val="none"/>
                    </w:rPr>
                  </w:pPr>
                  <w:r>
                    <w:rPr>
                      <w:rFonts w:ascii="Times New Roman" w:hAnsi="Times New Roman" w:cs="Times New Roman"/>
                      <w:b/>
                      <w:bCs/>
                      <w:color w:val="auto"/>
                      <w:spacing w:val="-5"/>
                      <w:sz w:val="21"/>
                      <w:szCs w:val="21"/>
                      <w:highlight w:val="none"/>
                    </w:rPr>
                    <w:t>占标率</w:t>
                  </w:r>
                </w:p>
                <w:p w14:paraId="2ED731BA">
                  <w:pPr>
                    <w:pStyle w:val="22"/>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1"/>
                      <w:sz w:val="21"/>
                      <w:szCs w:val="21"/>
                      <w:highlight w:val="none"/>
                    </w:rPr>
                    <w:t>（%）</w:t>
                  </w:r>
                </w:p>
              </w:tc>
              <w:tc>
                <w:tcPr>
                  <w:tcW w:w="558" w:type="pct"/>
                  <w:tcBorders>
                    <w:right w:val="single" w:color="000000" w:sz="4" w:space="0"/>
                  </w:tcBorders>
                  <w:vAlign w:val="center"/>
                </w:tcPr>
                <w:p w14:paraId="109B7C39">
                  <w:pPr>
                    <w:pStyle w:val="22"/>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5"/>
                      <w:sz w:val="21"/>
                      <w:szCs w:val="21"/>
                      <w:highlight w:val="none"/>
                    </w:rPr>
                    <w:t>达标</w:t>
                  </w:r>
                  <w:r>
                    <w:rPr>
                      <w:rFonts w:ascii="Times New Roman" w:hAnsi="Times New Roman" w:cs="Times New Roman"/>
                      <w:b/>
                      <w:bCs/>
                      <w:color w:val="auto"/>
                      <w:spacing w:val="4"/>
                      <w:sz w:val="21"/>
                      <w:szCs w:val="21"/>
                      <w:highlight w:val="none"/>
                    </w:rPr>
                    <w:t>情况</w:t>
                  </w:r>
                </w:p>
              </w:tc>
            </w:tr>
            <w:tr w14:paraId="1969E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721B592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SO</w:t>
                  </w:r>
                  <w:r>
                    <w:rPr>
                      <w:rFonts w:ascii="Times New Roman" w:hAnsi="Times New Roman" w:eastAsia="宋体" w:cs="Times New Roman"/>
                      <w:color w:val="auto"/>
                      <w:spacing w:val="3"/>
                      <w:position w:val="-1"/>
                      <w:highlight w:val="none"/>
                      <w:vertAlign w:val="subscript"/>
                    </w:rPr>
                    <w:t>2</w:t>
                  </w:r>
                </w:p>
              </w:tc>
              <w:tc>
                <w:tcPr>
                  <w:tcW w:w="1782" w:type="pct"/>
                  <w:vAlign w:val="center"/>
                </w:tcPr>
                <w:p w14:paraId="1E394814">
                  <w:pPr>
                    <w:pStyle w:val="22"/>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年平均质量浓度</w:t>
                  </w:r>
                </w:p>
              </w:tc>
              <w:tc>
                <w:tcPr>
                  <w:tcW w:w="650" w:type="pct"/>
                  <w:vAlign w:val="center"/>
                </w:tcPr>
                <w:p w14:paraId="168EDF3D">
                  <w:pPr>
                    <w:pStyle w:val="27"/>
                    <w:spacing w:line="240" w:lineRule="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8</w:t>
                  </w:r>
                </w:p>
              </w:tc>
              <w:tc>
                <w:tcPr>
                  <w:tcW w:w="726" w:type="pct"/>
                  <w:vAlign w:val="center"/>
                </w:tcPr>
                <w:p w14:paraId="0216F4F1">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60</w:t>
                  </w:r>
                </w:p>
              </w:tc>
              <w:tc>
                <w:tcPr>
                  <w:tcW w:w="727" w:type="pct"/>
                  <w:vAlign w:val="center"/>
                </w:tcPr>
                <w:p w14:paraId="45BF637E">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11.67</w:t>
                  </w:r>
                </w:p>
              </w:tc>
              <w:tc>
                <w:tcPr>
                  <w:tcW w:w="558" w:type="pct"/>
                  <w:tcBorders>
                    <w:right w:val="single" w:color="000000" w:sz="4" w:space="0"/>
                  </w:tcBorders>
                  <w:vAlign w:val="center"/>
                </w:tcPr>
                <w:p w14:paraId="5A58BD7A">
                  <w:pPr>
                    <w:pStyle w:val="22"/>
                    <w:jc w:val="center"/>
                    <w:rPr>
                      <w:rFonts w:ascii="Times New Roman" w:hAnsi="Times New Roman" w:cs="Times New Roman"/>
                      <w:color w:val="auto"/>
                      <w:sz w:val="21"/>
                      <w:szCs w:val="21"/>
                      <w:highlight w:val="none"/>
                    </w:rPr>
                  </w:pPr>
                  <w:r>
                    <w:rPr>
                      <w:rFonts w:ascii="Times New Roman" w:hAnsi="Times New Roman" w:cs="Times New Roman"/>
                      <w:color w:val="auto"/>
                      <w:spacing w:val="5"/>
                      <w:sz w:val="21"/>
                      <w:szCs w:val="21"/>
                      <w:highlight w:val="none"/>
                    </w:rPr>
                    <w:t>达标</w:t>
                  </w:r>
                </w:p>
              </w:tc>
            </w:tr>
            <w:tr w14:paraId="02871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0ECE2597">
                  <w:pPr>
                    <w:jc w:val="center"/>
                    <w:rPr>
                      <w:rFonts w:ascii="Times New Roman" w:hAnsi="Times New Roman" w:eastAsia="宋体" w:cs="Times New Roman"/>
                      <w:color w:val="auto"/>
                      <w:highlight w:val="none"/>
                    </w:rPr>
                  </w:pPr>
                  <w:r>
                    <w:rPr>
                      <w:rFonts w:ascii="Times New Roman" w:hAnsi="Times New Roman" w:eastAsia="宋体" w:cs="Times New Roman"/>
                      <w:color w:val="auto"/>
                      <w:spacing w:val="6"/>
                      <w:highlight w:val="none"/>
                    </w:rPr>
                    <w:t>NO</w:t>
                  </w:r>
                  <w:r>
                    <w:rPr>
                      <w:rFonts w:ascii="Times New Roman" w:hAnsi="Times New Roman" w:eastAsia="宋体" w:cs="Times New Roman"/>
                      <w:color w:val="auto"/>
                      <w:spacing w:val="6"/>
                      <w:position w:val="-1"/>
                      <w:highlight w:val="none"/>
                      <w:vertAlign w:val="subscript"/>
                    </w:rPr>
                    <w:t>2</w:t>
                  </w:r>
                </w:p>
              </w:tc>
              <w:tc>
                <w:tcPr>
                  <w:tcW w:w="1782" w:type="pct"/>
                  <w:vAlign w:val="center"/>
                </w:tcPr>
                <w:p w14:paraId="1584CA81">
                  <w:pPr>
                    <w:pStyle w:val="22"/>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年平均质量浓度</w:t>
                  </w:r>
                </w:p>
              </w:tc>
              <w:tc>
                <w:tcPr>
                  <w:tcW w:w="650" w:type="pct"/>
                  <w:vAlign w:val="center"/>
                </w:tcPr>
                <w:p w14:paraId="225976A1">
                  <w:pPr>
                    <w:pStyle w:val="27"/>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24</w:t>
                  </w:r>
                </w:p>
              </w:tc>
              <w:tc>
                <w:tcPr>
                  <w:tcW w:w="726" w:type="pct"/>
                  <w:vAlign w:val="center"/>
                </w:tcPr>
                <w:p w14:paraId="5D28C811">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40</w:t>
                  </w:r>
                </w:p>
              </w:tc>
              <w:tc>
                <w:tcPr>
                  <w:tcW w:w="727" w:type="pct"/>
                  <w:vAlign w:val="center"/>
                </w:tcPr>
                <w:p w14:paraId="00901C41">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75.00</w:t>
                  </w:r>
                </w:p>
              </w:tc>
              <w:tc>
                <w:tcPr>
                  <w:tcW w:w="558" w:type="pct"/>
                  <w:tcBorders>
                    <w:right w:val="single" w:color="000000" w:sz="4" w:space="0"/>
                  </w:tcBorders>
                  <w:vAlign w:val="center"/>
                </w:tcPr>
                <w:p w14:paraId="3398A88E">
                  <w:pPr>
                    <w:pStyle w:val="22"/>
                    <w:jc w:val="center"/>
                    <w:rPr>
                      <w:rFonts w:ascii="Times New Roman" w:hAnsi="Times New Roman" w:cs="Times New Roman"/>
                      <w:color w:val="auto"/>
                      <w:sz w:val="21"/>
                      <w:szCs w:val="21"/>
                      <w:highlight w:val="none"/>
                    </w:rPr>
                  </w:pPr>
                  <w:r>
                    <w:rPr>
                      <w:rFonts w:ascii="Times New Roman" w:hAnsi="Times New Roman" w:cs="Times New Roman"/>
                      <w:color w:val="auto"/>
                      <w:spacing w:val="5"/>
                      <w:sz w:val="21"/>
                      <w:szCs w:val="21"/>
                      <w:highlight w:val="none"/>
                    </w:rPr>
                    <w:t>达标</w:t>
                  </w:r>
                </w:p>
              </w:tc>
            </w:tr>
            <w:tr w14:paraId="5AEA3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13E033B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PM</w:t>
                  </w:r>
                  <w:r>
                    <w:rPr>
                      <w:rFonts w:ascii="Times New Roman" w:hAnsi="Times New Roman" w:eastAsia="宋体" w:cs="Times New Roman"/>
                      <w:color w:val="auto"/>
                      <w:spacing w:val="8"/>
                      <w:position w:val="-1"/>
                      <w:highlight w:val="none"/>
                      <w:vertAlign w:val="subscript"/>
                    </w:rPr>
                    <w:t>10</w:t>
                  </w:r>
                </w:p>
              </w:tc>
              <w:tc>
                <w:tcPr>
                  <w:tcW w:w="1782" w:type="pct"/>
                  <w:vAlign w:val="center"/>
                </w:tcPr>
                <w:p w14:paraId="1B2C703A">
                  <w:pPr>
                    <w:pStyle w:val="22"/>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年平均质量浓度</w:t>
                  </w:r>
                </w:p>
              </w:tc>
              <w:tc>
                <w:tcPr>
                  <w:tcW w:w="650" w:type="pct"/>
                  <w:vAlign w:val="center"/>
                </w:tcPr>
                <w:p w14:paraId="12DA1C28">
                  <w:pPr>
                    <w:pStyle w:val="27"/>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67</w:t>
                  </w:r>
                </w:p>
              </w:tc>
              <w:tc>
                <w:tcPr>
                  <w:tcW w:w="726" w:type="pct"/>
                  <w:vAlign w:val="center"/>
                </w:tcPr>
                <w:p w14:paraId="5476D367">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70</w:t>
                  </w:r>
                </w:p>
              </w:tc>
              <w:tc>
                <w:tcPr>
                  <w:tcW w:w="727" w:type="pct"/>
                  <w:vAlign w:val="center"/>
                </w:tcPr>
                <w:p w14:paraId="6D9906B2">
                  <w:pPr>
                    <w:pStyle w:val="27"/>
                    <w:spacing w:line="240" w:lineRule="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107.14</w:t>
                  </w:r>
                </w:p>
              </w:tc>
              <w:tc>
                <w:tcPr>
                  <w:tcW w:w="558" w:type="pct"/>
                  <w:tcBorders>
                    <w:right w:val="single" w:color="000000" w:sz="4" w:space="0"/>
                  </w:tcBorders>
                  <w:vAlign w:val="center"/>
                </w:tcPr>
                <w:p w14:paraId="22A2CEF4">
                  <w:pPr>
                    <w:pStyle w:val="22"/>
                    <w:jc w:val="center"/>
                    <w:rPr>
                      <w:rFonts w:ascii="Times New Roman" w:hAnsi="Times New Roman" w:cs="Times New Roman"/>
                      <w:color w:val="auto"/>
                      <w:sz w:val="21"/>
                      <w:szCs w:val="21"/>
                      <w:highlight w:val="none"/>
                    </w:rPr>
                  </w:pPr>
                  <w:r>
                    <w:rPr>
                      <w:rFonts w:ascii="Times New Roman" w:hAnsi="Times New Roman" w:cs="Times New Roman"/>
                      <w:color w:val="auto"/>
                      <w:spacing w:val="5"/>
                      <w:sz w:val="21"/>
                      <w:szCs w:val="21"/>
                      <w:highlight w:val="none"/>
                    </w:rPr>
                    <w:t>达标</w:t>
                  </w:r>
                </w:p>
              </w:tc>
            </w:tr>
            <w:tr w14:paraId="769D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672E869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PM</w:t>
                  </w:r>
                  <w:r>
                    <w:rPr>
                      <w:rFonts w:ascii="Times New Roman" w:hAnsi="Times New Roman" w:eastAsia="宋体" w:cs="Times New Roman"/>
                      <w:color w:val="auto"/>
                      <w:spacing w:val="6"/>
                      <w:position w:val="-1"/>
                      <w:highlight w:val="none"/>
                      <w:vertAlign w:val="subscript"/>
                    </w:rPr>
                    <w:t>2.5</w:t>
                  </w:r>
                </w:p>
              </w:tc>
              <w:tc>
                <w:tcPr>
                  <w:tcW w:w="1782" w:type="pct"/>
                  <w:vAlign w:val="center"/>
                </w:tcPr>
                <w:p w14:paraId="7EED21B1">
                  <w:pPr>
                    <w:pStyle w:val="22"/>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年平均质量浓度</w:t>
                  </w:r>
                </w:p>
              </w:tc>
              <w:tc>
                <w:tcPr>
                  <w:tcW w:w="650" w:type="pct"/>
                  <w:vAlign w:val="center"/>
                </w:tcPr>
                <w:p w14:paraId="6A328C44">
                  <w:pPr>
                    <w:pStyle w:val="27"/>
                    <w:spacing w:line="240" w:lineRule="auto"/>
                    <w:rPr>
                      <w:rFonts w:hint="default" w:ascii="Times New Roman" w:hAnsi="Times New Roman" w:eastAsia="宋体" w:cs="Times New Roman"/>
                      <w:color w:val="auto"/>
                      <w:spacing w:val="7"/>
                      <w:highlight w:val="none"/>
                      <w:lang w:val="en-US" w:eastAsia="zh-CN"/>
                    </w:rPr>
                  </w:pPr>
                  <w:r>
                    <w:rPr>
                      <w:rFonts w:hint="eastAsia" w:ascii="Times New Roman" w:hAnsi="Times New Roman" w:eastAsia="宋体" w:cs="Times New Roman"/>
                      <w:color w:val="auto"/>
                      <w:highlight w:val="none"/>
                      <w:lang w:val="en-US" w:eastAsia="zh-CN"/>
                    </w:rPr>
                    <w:t>37</w:t>
                  </w:r>
                </w:p>
              </w:tc>
              <w:tc>
                <w:tcPr>
                  <w:tcW w:w="726" w:type="pct"/>
                  <w:vAlign w:val="center"/>
                </w:tcPr>
                <w:p w14:paraId="303C0E68">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35</w:t>
                  </w:r>
                </w:p>
              </w:tc>
              <w:tc>
                <w:tcPr>
                  <w:tcW w:w="727" w:type="pct"/>
                  <w:vAlign w:val="center"/>
                </w:tcPr>
                <w:p w14:paraId="0B016F5F">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114.29</w:t>
                  </w:r>
                </w:p>
              </w:tc>
              <w:tc>
                <w:tcPr>
                  <w:tcW w:w="558" w:type="pct"/>
                  <w:tcBorders>
                    <w:right w:val="single" w:color="000000" w:sz="4" w:space="0"/>
                  </w:tcBorders>
                  <w:vAlign w:val="center"/>
                </w:tcPr>
                <w:p w14:paraId="511A3CD8">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b/>
                      <w:color w:val="auto"/>
                      <w:highlight w:val="none"/>
                    </w:rPr>
                    <w:t>超标</w:t>
                  </w:r>
                </w:p>
              </w:tc>
            </w:tr>
            <w:tr w14:paraId="78EA2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001D037D">
                  <w:pPr>
                    <w:jc w:val="center"/>
                    <w:rPr>
                      <w:rFonts w:ascii="Times New Roman" w:hAnsi="Times New Roman" w:eastAsia="宋体" w:cs="Times New Roman"/>
                      <w:color w:val="auto"/>
                      <w:highlight w:val="none"/>
                    </w:rPr>
                  </w:pPr>
                  <w:r>
                    <w:rPr>
                      <w:rFonts w:ascii="Times New Roman" w:hAnsi="Times New Roman" w:eastAsia="宋体" w:cs="Times New Roman"/>
                      <w:color w:val="auto"/>
                      <w:spacing w:val="2"/>
                      <w:highlight w:val="none"/>
                    </w:rPr>
                    <w:t>CO</w:t>
                  </w:r>
                </w:p>
              </w:tc>
              <w:tc>
                <w:tcPr>
                  <w:tcW w:w="1782" w:type="pct"/>
                  <w:vAlign w:val="center"/>
                </w:tcPr>
                <w:p w14:paraId="741B81FD">
                  <w:pPr>
                    <w:pStyle w:val="22"/>
                    <w:jc w:val="center"/>
                    <w:rPr>
                      <w:rFonts w:ascii="Times New Roman" w:hAnsi="Times New Roman" w:cs="Times New Roman"/>
                      <w:color w:val="auto"/>
                      <w:spacing w:val="8"/>
                      <w:sz w:val="21"/>
                      <w:szCs w:val="21"/>
                      <w:highlight w:val="none"/>
                    </w:rPr>
                  </w:pPr>
                  <w:r>
                    <w:rPr>
                      <w:rFonts w:ascii="Times New Roman" w:hAnsi="Times New Roman" w:cs="Times New Roman"/>
                      <w:color w:val="auto"/>
                      <w:spacing w:val="8"/>
                      <w:sz w:val="21"/>
                      <w:szCs w:val="21"/>
                      <w:highlight w:val="none"/>
                    </w:rPr>
                    <w:t>24小时平均第95百分位数</w:t>
                  </w:r>
                </w:p>
              </w:tc>
              <w:tc>
                <w:tcPr>
                  <w:tcW w:w="650" w:type="pct"/>
                  <w:vAlign w:val="center"/>
                </w:tcPr>
                <w:p w14:paraId="5E56ADDD">
                  <w:pPr>
                    <w:pStyle w:val="27"/>
                    <w:spacing w:line="240" w:lineRule="auto"/>
                    <w:rPr>
                      <w:rFonts w:ascii="Times New Roman" w:hAnsi="Times New Roman" w:eastAsia="宋体" w:cs="Times New Roman"/>
                      <w:color w:val="auto"/>
                      <w:spacing w:val="7"/>
                      <w:highlight w:val="none"/>
                      <w:lang w:eastAsia="zh-CN"/>
                    </w:rPr>
                  </w:pPr>
                  <w:r>
                    <w:rPr>
                      <w:rFonts w:ascii="Times New Roman" w:hAnsi="Times New Roman" w:eastAsia="宋体" w:cs="Times New Roman"/>
                      <w:color w:val="auto"/>
                      <w:highlight w:val="none"/>
                    </w:rPr>
                    <w:t>0.8(mg/m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p>
              </w:tc>
              <w:tc>
                <w:tcPr>
                  <w:tcW w:w="726" w:type="pct"/>
                  <w:vAlign w:val="center"/>
                </w:tcPr>
                <w:p w14:paraId="3E58CF2D">
                  <w:pPr>
                    <w:pStyle w:val="27"/>
                    <w:spacing w:line="240" w:lineRule="auto"/>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4(mg/m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p>
              </w:tc>
              <w:tc>
                <w:tcPr>
                  <w:tcW w:w="727" w:type="pct"/>
                  <w:vAlign w:val="center"/>
                </w:tcPr>
                <w:p w14:paraId="7010CDA8">
                  <w:pPr>
                    <w:pStyle w:val="27"/>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20.00</w:t>
                  </w:r>
                </w:p>
              </w:tc>
              <w:tc>
                <w:tcPr>
                  <w:tcW w:w="558" w:type="pct"/>
                  <w:tcBorders>
                    <w:right w:val="single" w:color="000000" w:sz="4" w:space="0"/>
                  </w:tcBorders>
                  <w:vAlign w:val="center"/>
                </w:tcPr>
                <w:p w14:paraId="4FAE9DD7">
                  <w:pPr>
                    <w:pStyle w:val="27"/>
                    <w:spacing w:line="240" w:lineRule="auto"/>
                    <w:rPr>
                      <w:rFonts w:ascii="Times New Roman" w:hAnsi="Times New Roman" w:eastAsia="宋体" w:cs="Times New Roman"/>
                      <w:color w:val="auto"/>
                      <w:spacing w:val="5"/>
                      <w:highlight w:val="none"/>
                    </w:rPr>
                  </w:pPr>
                  <w:r>
                    <w:rPr>
                      <w:rFonts w:ascii="Times New Roman" w:hAnsi="Times New Roman" w:eastAsia="宋体" w:cs="Times New Roman"/>
                      <w:color w:val="auto"/>
                      <w:spacing w:val="5"/>
                      <w:highlight w:val="none"/>
                    </w:rPr>
                    <w:t>达标</w:t>
                  </w:r>
                </w:p>
              </w:tc>
            </w:tr>
            <w:tr w14:paraId="29379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554" w:type="pct"/>
                  <w:vAlign w:val="center"/>
                </w:tcPr>
                <w:p w14:paraId="4AA7EA1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O</w:t>
                  </w:r>
                  <w:r>
                    <w:rPr>
                      <w:rFonts w:ascii="Times New Roman" w:hAnsi="Times New Roman" w:eastAsia="宋体" w:cs="Times New Roman"/>
                      <w:color w:val="auto"/>
                      <w:position w:val="-1"/>
                      <w:highlight w:val="none"/>
                      <w:vertAlign w:val="subscript"/>
                    </w:rPr>
                    <w:t>3</w:t>
                  </w:r>
                </w:p>
              </w:tc>
              <w:tc>
                <w:tcPr>
                  <w:tcW w:w="1782" w:type="pct"/>
                  <w:vAlign w:val="center"/>
                </w:tcPr>
                <w:p w14:paraId="26CCAE1B">
                  <w:pPr>
                    <w:pStyle w:val="22"/>
                    <w:jc w:val="center"/>
                    <w:rPr>
                      <w:rFonts w:ascii="Times New Roman" w:hAnsi="Times New Roman" w:cs="Times New Roman"/>
                      <w:color w:val="auto"/>
                      <w:spacing w:val="8"/>
                      <w:sz w:val="21"/>
                      <w:szCs w:val="21"/>
                      <w:highlight w:val="none"/>
                      <w:lang w:eastAsia="zh-CN"/>
                    </w:rPr>
                  </w:pPr>
                  <w:r>
                    <w:rPr>
                      <w:rFonts w:ascii="Times New Roman" w:hAnsi="Times New Roman" w:cs="Times New Roman"/>
                      <w:color w:val="auto"/>
                      <w:spacing w:val="8"/>
                      <w:sz w:val="21"/>
                      <w:szCs w:val="21"/>
                      <w:highlight w:val="none"/>
                      <w:lang w:eastAsia="zh-CN"/>
                    </w:rPr>
                    <w:t>最大8小时平均第90百分位数</w:t>
                  </w:r>
                </w:p>
              </w:tc>
              <w:tc>
                <w:tcPr>
                  <w:tcW w:w="650" w:type="pct"/>
                  <w:vAlign w:val="center"/>
                </w:tcPr>
                <w:p w14:paraId="1540004D">
                  <w:pPr>
                    <w:pStyle w:val="27"/>
                    <w:spacing w:line="240" w:lineRule="auto"/>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highlight w:val="none"/>
                      <w:lang w:eastAsia="zh-CN"/>
                    </w:rPr>
                    <w:t>92</w:t>
                  </w:r>
                </w:p>
              </w:tc>
              <w:tc>
                <w:tcPr>
                  <w:tcW w:w="726" w:type="pct"/>
                  <w:vAlign w:val="center"/>
                </w:tcPr>
                <w:p w14:paraId="5358502E">
                  <w:pPr>
                    <w:pStyle w:val="27"/>
                    <w:spacing w:line="240" w:lineRule="auto"/>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highlight w:val="none"/>
                      <w:lang w:eastAsia="zh-CN"/>
                    </w:rPr>
                    <w:t>160</w:t>
                  </w:r>
                </w:p>
              </w:tc>
              <w:tc>
                <w:tcPr>
                  <w:tcW w:w="727" w:type="pct"/>
                  <w:vAlign w:val="center"/>
                </w:tcPr>
                <w:p w14:paraId="7E08D61D">
                  <w:pPr>
                    <w:pStyle w:val="27"/>
                    <w:spacing w:line="240" w:lineRule="auto"/>
                    <w:rPr>
                      <w:rFonts w:ascii="Times New Roman" w:hAnsi="Times New Roman" w:eastAsia="宋体" w:cs="Times New Roman"/>
                      <w:color w:val="auto"/>
                      <w:spacing w:val="2"/>
                      <w:highlight w:val="none"/>
                      <w:lang w:eastAsia="zh-CN"/>
                    </w:rPr>
                  </w:pPr>
                  <w:r>
                    <w:rPr>
                      <w:rFonts w:ascii="Times New Roman" w:hAnsi="Times New Roman" w:eastAsia="宋体" w:cs="Times New Roman"/>
                      <w:color w:val="auto"/>
                      <w:highlight w:val="none"/>
                      <w:lang w:eastAsia="zh-CN"/>
                    </w:rPr>
                    <w:t>57.50</w:t>
                  </w:r>
                </w:p>
              </w:tc>
              <w:tc>
                <w:tcPr>
                  <w:tcW w:w="558" w:type="pct"/>
                  <w:tcBorders>
                    <w:right w:val="single" w:color="000000" w:sz="4" w:space="0"/>
                  </w:tcBorders>
                  <w:vAlign w:val="center"/>
                </w:tcPr>
                <w:p w14:paraId="340B1BD5">
                  <w:pPr>
                    <w:pStyle w:val="22"/>
                    <w:jc w:val="center"/>
                    <w:rPr>
                      <w:rFonts w:ascii="Times New Roman" w:hAnsi="Times New Roman" w:cs="Times New Roman"/>
                      <w:color w:val="auto"/>
                      <w:spacing w:val="5"/>
                      <w:sz w:val="21"/>
                      <w:szCs w:val="21"/>
                      <w:highlight w:val="none"/>
                      <w:lang w:eastAsia="zh-CN"/>
                    </w:rPr>
                  </w:pPr>
                  <w:r>
                    <w:rPr>
                      <w:rFonts w:ascii="Times New Roman" w:hAnsi="Times New Roman" w:cs="Times New Roman"/>
                      <w:color w:val="auto"/>
                      <w:spacing w:val="5"/>
                      <w:sz w:val="21"/>
                      <w:szCs w:val="21"/>
                      <w:highlight w:val="none"/>
                      <w:lang w:eastAsia="zh-CN"/>
                    </w:rPr>
                    <w:t>达标</w:t>
                  </w:r>
                </w:p>
              </w:tc>
            </w:tr>
          </w:tbl>
          <w:p w14:paraId="550CF0B4">
            <w:pPr>
              <w:pStyle w:val="6"/>
              <w:kinsoku/>
              <w:spacing w:line="240" w:lineRule="auto"/>
              <w:rPr>
                <w:rFonts w:ascii="Times New Roman" w:hAnsi="Times New Roman" w:eastAsia="宋体" w:cs="Times New Roman"/>
                <w:b/>
                <w:bCs/>
                <w:color w:val="auto"/>
                <w:highlight w:val="none"/>
                <w:lang w:eastAsia="zh-CN"/>
              </w:rPr>
            </w:pPr>
          </w:p>
          <w:bookmarkEnd w:id="17"/>
          <w:p w14:paraId="6C7B0CF8">
            <w:pPr>
              <w:pStyle w:val="22"/>
              <w:kinsoku/>
              <w:spacing w:before="38" w:line="356" w:lineRule="auto"/>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3.声环境质量现状</w:t>
            </w:r>
          </w:p>
          <w:p w14:paraId="47AD6F4B">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根据《建设项目环境影响报告表编制技术指南（生态影响类）（试行）》本项目50m范围内无声环境保护目标，因此，本项目可不开展声环境质量现状监测评价。</w:t>
            </w:r>
          </w:p>
          <w:p w14:paraId="63936AFB">
            <w:pPr>
              <w:pStyle w:val="22"/>
              <w:kinsoku/>
              <w:spacing w:before="38" w:line="360" w:lineRule="auto"/>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4.地表水和地下水环境质量现状</w:t>
            </w:r>
          </w:p>
          <w:p w14:paraId="297C1E1D">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本项目钻井期间钻井废水循环利用，本工程区周边5km范围内无常年天然地表水体分布，与地表水体无水力联系，本次未对地表水环境进行现状评价。</w:t>
            </w:r>
          </w:p>
          <w:p w14:paraId="199C0CD7">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工程行业类别是矿产资源地质勘查（含油气资源勘探），按照《环境影响评价技术导则-地下水环境》（HJ610-2016）标准划分，本工程为地下水环境影响评价中Ⅳ类项目，Ⅳ类建设项目不开展地下水环境影响评价，因此不进行地下水现状评价。</w:t>
            </w:r>
          </w:p>
          <w:p w14:paraId="12A54077">
            <w:pPr>
              <w:pStyle w:val="22"/>
              <w:kinsoku/>
              <w:spacing w:before="38" w:line="356" w:lineRule="auto"/>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5.土壤环境质量现状</w:t>
            </w:r>
          </w:p>
          <w:p w14:paraId="68A6DD16">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根据《环境影响评价技术导则 土壤环境（试行）》（HJ964-2018）中4.2.2“根据行业特征、工艺特点或规模大小等将建设项目类别分为Ⅰ类、Ⅱ类、Ⅲ类、Ⅳ类，其中Ⅳ类建设项目可不展开土壤环境影响评价；自身为敏感目标的建设项目，可根据需要仅对土壤现状进行调查”，本项目属于附录A中的其他行业项目，即为Ⅳ类建设项目可不开展土壤环境影响评价，钻井期采用泥浆不落地、罐区进行防渗，本次环评未开展土壤现状调查。</w:t>
            </w:r>
          </w:p>
        </w:tc>
      </w:tr>
      <w:tr w14:paraId="1F43D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jc w:val="center"/>
        </w:trPr>
        <w:tc>
          <w:tcPr>
            <w:tcW w:w="991" w:type="dxa"/>
            <w:tcBorders>
              <w:left w:val="single" w:color="000000" w:sz="4" w:space="0"/>
            </w:tcBorders>
            <w:vAlign w:val="center"/>
          </w:tcPr>
          <w:p w14:paraId="15D14640">
            <w:pPr>
              <w:pStyle w:val="22"/>
              <w:kinsoku/>
              <w:spacing w:before="171" w:line="228" w:lineRule="auto"/>
              <w:ind w:left="30"/>
              <w:jc w:val="center"/>
              <w:rPr>
                <w:rFonts w:ascii="Times New Roman" w:hAnsi="Times New Roman" w:cs="Times New Roman"/>
                <w:color w:val="auto"/>
                <w:highlight w:val="none"/>
                <w:lang w:eastAsia="zh-CN"/>
              </w:rPr>
            </w:pPr>
            <w:r>
              <w:rPr>
                <w:rFonts w:ascii="Times New Roman" w:hAnsi="Times New Roman" w:cs="Times New Roman"/>
                <w:color w:val="auto"/>
                <w:spacing w:val="14"/>
                <w:sz w:val="24"/>
                <w:szCs w:val="24"/>
                <w:highlight w:val="none"/>
                <w:lang w:eastAsia="zh-CN"/>
              </w:rPr>
              <w:t>与项目有关的原有</w:t>
            </w:r>
            <w:r>
              <w:rPr>
                <w:rFonts w:ascii="Times New Roman" w:hAnsi="Times New Roman" w:cs="Times New Roman"/>
                <w:color w:val="auto"/>
                <w:spacing w:val="15"/>
                <w:sz w:val="24"/>
                <w:szCs w:val="24"/>
                <w:highlight w:val="none"/>
                <w:lang w:eastAsia="zh-CN"/>
              </w:rPr>
              <w:t>环境污染</w:t>
            </w:r>
            <w:r>
              <w:rPr>
                <w:rFonts w:ascii="Times New Roman" w:hAnsi="Times New Roman" w:cs="Times New Roman"/>
                <w:color w:val="auto"/>
                <w:spacing w:val="14"/>
                <w:sz w:val="24"/>
                <w:szCs w:val="24"/>
                <w:highlight w:val="none"/>
                <w:lang w:eastAsia="zh-CN"/>
              </w:rPr>
              <w:t>和生态破</w:t>
            </w:r>
            <w:r>
              <w:rPr>
                <w:rFonts w:ascii="Times New Roman" w:hAnsi="Times New Roman" w:cs="Times New Roman"/>
                <w:color w:val="auto"/>
                <w:spacing w:val="13"/>
                <w:sz w:val="24"/>
                <w:szCs w:val="24"/>
                <w:highlight w:val="none"/>
                <w:lang w:eastAsia="zh-CN"/>
              </w:rPr>
              <w:t>坏问题</w:t>
            </w:r>
          </w:p>
        </w:tc>
        <w:tc>
          <w:tcPr>
            <w:tcW w:w="8108" w:type="dxa"/>
            <w:tcBorders>
              <w:right w:val="single" w:color="000000" w:sz="4" w:space="0"/>
            </w:tcBorders>
            <w:vAlign w:val="center"/>
          </w:tcPr>
          <w:p w14:paraId="1880C64A">
            <w:pPr>
              <w:pStyle w:val="22"/>
              <w:kinsoku/>
              <w:spacing w:before="78" w:line="219" w:lineRule="auto"/>
              <w:jc w:val="center"/>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本项目为新建项目，不存在原有环境污染和生态破坏问题。</w:t>
            </w:r>
          </w:p>
        </w:tc>
      </w:tr>
      <w:tr w14:paraId="0982A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jc w:val="center"/>
        </w:trPr>
        <w:tc>
          <w:tcPr>
            <w:tcW w:w="991" w:type="dxa"/>
            <w:tcBorders>
              <w:left w:val="single" w:color="000000" w:sz="4" w:space="0"/>
            </w:tcBorders>
            <w:vAlign w:val="center"/>
          </w:tcPr>
          <w:p w14:paraId="07D5C720">
            <w:pPr>
              <w:pStyle w:val="22"/>
              <w:kinsoku/>
              <w:spacing w:before="171" w:line="228" w:lineRule="auto"/>
              <w:ind w:left="30"/>
              <w:jc w:val="center"/>
              <w:rPr>
                <w:rFonts w:ascii="Times New Roman" w:hAnsi="Times New Roman" w:cs="Times New Roman"/>
                <w:color w:val="auto"/>
                <w:spacing w:val="13"/>
                <w:highlight w:val="none"/>
              </w:rPr>
            </w:pPr>
            <w:r>
              <w:rPr>
                <w:rFonts w:ascii="Times New Roman" w:hAnsi="Times New Roman" w:cs="Times New Roman"/>
                <w:color w:val="auto"/>
                <w:spacing w:val="14"/>
                <w:sz w:val="24"/>
                <w:szCs w:val="24"/>
                <w:highlight w:val="none"/>
              </w:rPr>
              <w:t>生态环境保护目标</w:t>
            </w:r>
          </w:p>
        </w:tc>
        <w:tc>
          <w:tcPr>
            <w:tcW w:w="8108" w:type="dxa"/>
            <w:tcBorders>
              <w:right w:val="single" w:color="000000" w:sz="4" w:space="0"/>
            </w:tcBorders>
          </w:tcPr>
          <w:p w14:paraId="2F44DBEF">
            <w:pPr>
              <w:pStyle w:val="22"/>
              <w:kinsoku/>
              <w:spacing w:before="38" w:line="356"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1.环境保护目标</w:t>
            </w:r>
          </w:p>
          <w:p w14:paraId="7FB63A56">
            <w:pPr>
              <w:pStyle w:val="22"/>
              <w:kinsoku/>
              <w:spacing w:before="38" w:line="356"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根据现场调查，项目周边500m范围内无自然保护区、风景名胜区、居住区、文化区、人群较集中的区域，周边50m范围内无声环境保护目标，项目占地范围内无地下水集中式饮用水水源和热水、矿泉水、温泉等特殊地下水资源。生态环境评价范围内的野生动植物保护要求为禁止随意踩踏碾压、砍伐，保护野生动植物生境不被破坏，禁止随意踩踏碾压野生植被，车辆行驶及物料堆放等禁止占用周边的耕地。根据本项目特性和所在地环境特征，本项目环境保护目标具体情况见表3-4，项目与永久基本农田位置关系见附图10。</w:t>
            </w:r>
          </w:p>
          <w:p w14:paraId="0CE8DF45">
            <w:pPr>
              <w:pStyle w:val="22"/>
              <w:kinsoku/>
              <w:spacing w:before="38"/>
              <w:jc w:val="center"/>
              <w:rPr>
                <w:rFonts w:ascii="Times New Roman" w:hAnsi="Times New Roman" w:cs="Times New Roman"/>
                <w:b/>
                <w:bCs/>
                <w:color w:val="auto"/>
                <w:spacing w:val="-2"/>
                <w:sz w:val="21"/>
                <w:szCs w:val="21"/>
                <w:highlight w:val="none"/>
                <w:lang w:eastAsia="zh-CN"/>
              </w:rPr>
            </w:pPr>
            <w:r>
              <w:rPr>
                <w:rFonts w:ascii="Times New Roman" w:hAnsi="Times New Roman" w:cs="Times New Roman"/>
                <w:b/>
                <w:bCs/>
                <w:color w:val="auto"/>
                <w:spacing w:val="-2"/>
                <w:sz w:val="21"/>
                <w:szCs w:val="21"/>
                <w:highlight w:val="none"/>
                <w:lang w:eastAsia="zh-CN"/>
              </w:rPr>
              <w:t>表3-4 主要环境敏感目标一览表</w:t>
            </w:r>
          </w:p>
          <w:tbl>
            <w:tblPr>
              <w:tblStyle w:val="15"/>
              <w:tblW w:w="7958" w:type="dxa"/>
              <w:jc w:val="center"/>
              <w:tblLayout w:type="fixed"/>
              <w:tblCellMar>
                <w:top w:w="0" w:type="dxa"/>
                <w:left w:w="108" w:type="dxa"/>
                <w:bottom w:w="0" w:type="dxa"/>
                <w:right w:w="108" w:type="dxa"/>
              </w:tblCellMar>
            </w:tblPr>
            <w:tblGrid>
              <w:gridCol w:w="1127"/>
              <w:gridCol w:w="1255"/>
              <w:gridCol w:w="682"/>
              <w:gridCol w:w="4894"/>
            </w:tblGrid>
            <w:tr w14:paraId="7B26629A">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5CCA0E71">
                  <w:pPr>
                    <w:kinsoku/>
                    <w:jc w:val="center"/>
                    <w:textAlignment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lang w:eastAsia="zh-CN" w:bidi="ar"/>
                    </w:rPr>
                    <w:t>保护要素</w:t>
                  </w:r>
                </w:p>
              </w:tc>
              <w:tc>
                <w:tcPr>
                  <w:tcW w:w="1255" w:type="dxa"/>
                  <w:tcBorders>
                    <w:top w:val="single" w:color="000000" w:sz="4" w:space="0"/>
                    <w:left w:val="single" w:color="000000" w:sz="4" w:space="0"/>
                    <w:bottom w:val="single" w:color="000000" w:sz="4" w:space="0"/>
                    <w:right w:val="single" w:color="000000" w:sz="4" w:space="0"/>
                  </w:tcBorders>
                  <w:vAlign w:val="center"/>
                </w:tcPr>
                <w:p w14:paraId="4E98DD9E">
                  <w:pPr>
                    <w:kinsoku/>
                    <w:jc w:val="center"/>
                    <w:textAlignment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lang w:eastAsia="zh-CN" w:bidi="ar"/>
                    </w:rPr>
                    <w:t>保护对象</w:t>
                  </w:r>
                </w:p>
              </w:tc>
              <w:tc>
                <w:tcPr>
                  <w:tcW w:w="682" w:type="dxa"/>
                  <w:tcBorders>
                    <w:top w:val="single" w:color="000000" w:sz="4" w:space="0"/>
                    <w:left w:val="single" w:color="000000" w:sz="4" w:space="0"/>
                    <w:bottom w:val="single" w:color="000000" w:sz="4" w:space="0"/>
                    <w:right w:val="single" w:color="000000" w:sz="4" w:space="0"/>
                  </w:tcBorders>
                  <w:vAlign w:val="center"/>
                </w:tcPr>
                <w:p w14:paraId="597AC4B3">
                  <w:pPr>
                    <w:kinsoku/>
                    <w:jc w:val="center"/>
                    <w:textAlignment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lang w:eastAsia="zh-CN" w:bidi="ar"/>
                    </w:rPr>
                    <w:t>规模</w:t>
                  </w:r>
                </w:p>
              </w:tc>
              <w:tc>
                <w:tcPr>
                  <w:tcW w:w="4894" w:type="dxa"/>
                  <w:tcBorders>
                    <w:top w:val="single" w:color="000000" w:sz="4" w:space="0"/>
                    <w:left w:val="single" w:color="000000" w:sz="4" w:space="0"/>
                    <w:bottom w:val="single" w:color="000000" w:sz="4" w:space="0"/>
                    <w:right w:val="single" w:color="000000" w:sz="4" w:space="0"/>
                  </w:tcBorders>
                  <w:vAlign w:val="center"/>
                </w:tcPr>
                <w:p w14:paraId="55D8D9BF">
                  <w:pPr>
                    <w:kinsoku/>
                    <w:jc w:val="center"/>
                    <w:textAlignment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lang w:eastAsia="zh-CN" w:bidi="ar"/>
                    </w:rPr>
                    <w:t>保护级别</w:t>
                  </w:r>
                </w:p>
              </w:tc>
            </w:tr>
            <w:tr w14:paraId="59F66F66">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0AA1B592">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环境空气</w:t>
                  </w:r>
                </w:p>
              </w:tc>
              <w:tc>
                <w:tcPr>
                  <w:tcW w:w="1255" w:type="dxa"/>
                  <w:tcBorders>
                    <w:top w:val="single" w:color="000000" w:sz="4" w:space="0"/>
                    <w:left w:val="single" w:color="000000" w:sz="4" w:space="0"/>
                    <w:bottom w:val="single" w:color="000000" w:sz="4" w:space="0"/>
                    <w:right w:val="single" w:color="000000" w:sz="4" w:space="0"/>
                  </w:tcBorders>
                  <w:vAlign w:val="center"/>
                </w:tcPr>
                <w:p w14:paraId="78BF4CD2">
                  <w:pPr>
                    <w:kinsoku/>
                    <w:jc w:val="center"/>
                    <w:textAlignment w:val="top"/>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项目区周边大气环境</w:t>
                  </w:r>
                </w:p>
              </w:tc>
              <w:tc>
                <w:tcPr>
                  <w:tcW w:w="682" w:type="dxa"/>
                  <w:tcBorders>
                    <w:top w:val="single" w:color="000000" w:sz="4" w:space="0"/>
                    <w:left w:val="single" w:color="000000" w:sz="4" w:space="0"/>
                    <w:bottom w:val="single" w:color="000000" w:sz="4" w:space="0"/>
                    <w:right w:val="single" w:color="000000" w:sz="4" w:space="0"/>
                  </w:tcBorders>
                  <w:vAlign w:val="center"/>
                </w:tcPr>
                <w:p w14:paraId="5DF309A0">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4FC52A59">
                  <w:pPr>
                    <w:kinsoku/>
                    <w:jc w:val="center"/>
                    <w:textAlignment w:val="top"/>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符合《环境空气质量标准》(GB3095-2012)的二级标准</w:t>
                  </w:r>
                </w:p>
              </w:tc>
            </w:tr>
            <w:tr w14:paraId="717C4C33">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5E1C7871">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声环境</w:t>
                  </w:r>
                </w:p>
              </w:tc>
              <w:tc>
                <w:tcPr>
                  <w:tcW w:w="1255" w:type="dxa"/>
                  <w:tcBorders>
                    <w:top w:val="single" w:color="000000" w:sz="4" w:space="0"/>
                    <w:left w:val="single" w:color="000000" w:sz="4" w:space="0"/>
                    <w:bottom w:val="single" w:color="000000" w:sz="4" w:space="0"/>
                    <w:right w:val="single" w:color="000000" w:sz="4" w:space="0"/>
                  </w:tcBorders>
                  <w:vAlign w:val="center"/>
                </w:tcPr>
                <w:p w14:paraId="05455F78">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无</w:t>
                  </w:r>
                </w:p>
              </w:tc>
              <w:tc>
                <w:tcPr>
                  <w:tcW w:w="682" w:type="dxa"/>
                  <w:tcBorders>
                    <w:top w:val="single" w:color="000000" w:sz="4" w:space="0"/>
                    <w:left w:val="single" w:color="000000" w:sz="4" w:space="0"/>
                    <w:bottom w:val="single" w:color="000000" w:sz="4" w:space="0"/>
                    <w:right w:val="single" w:color="000000" w:sz="4" w:space="0"/>
                  </w:tcBorders>
                  <w:vAlign w:val="center"/>
                </w:tcPr>
                <w:p w14:paraId="516C3EF5">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40B817F8">
                  <w:pPr>
                    <w:kinsoku/>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《声环境质量标准》(GB3096—2008)2类标准。</w:t>
                  </w:r>
                </w:p>
              </w:tc>
            </w:tr>
            <w:tr w14:paraId="44CC05BB">
              <w:tblPrEx>
                <w:tblCellMar>
                  <w:top w:w="0" w:type="dxa"/>
                  <w:left w:w="108" w:type="dxa"/>
                  <w:bottom w:w="0" w:type="dxa"/>
                  <w:right w:w="108" w:type="dxa"/>
                </w:tblCellMar>
              </w:tblPrEx>
              <w:trPr>
                <w:trHeight w:val="193" w:hRule="atLeast"/>
                <w:jc w:val="center"/>
              </w:trPr>
              <w:tc>
                <w:tcPr>
                  <w:tcW w:w="1127" w:type="dxa"/>
                  <w:vMerge w:val="restart"/>
                  <w:tcBorders>
                    <w:top w:val="single" w:color="000000" w:sz="4" w:space="0"/>
                    <w:left w:val="single" w:color="000000" w:sz="4" w:space="0"/>
                    <w:bottom w:val="single" w:color="000000" w:sz="4" w:space="0"/>
                    <w:right w:val="single" w:color="000000" w:sz="4" w:space="0"/>
                  </w:tcBorders>
                  <w:vAlign w:val="center"/>
                </w:tcPr>
                <w:p w14:paraId="488428D4">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生态环境</w:t>
                  </w:r>
                </w:p>
              </w:tc>
              <w:tc>
                <w:tcPr>
                  <w:tcW w:w="1255" w:type="dxa"/>
                  <w:tcBorders>
                    <w:top w:val="single" w:color="000000" w:sz="4" w:space="0"/>
                    <w:left w:val="single" w:color="000000" w:sz="4" w:space="0"/>
                    <w:bottom w:val="single" w:color="000000" w:sz="4" w:space="0"/>
                    <w:right w:val="single" w:color="000000" w:sz="4" w:space="0"/>
                  </w:tcBorders>
                  <w:vAlign w:val="center"/>
                </w:tcPr>
                <w:p w14:paraId="111F20DD">
                  <w:pPr>
                    <w:kinsoku/>
                    <w:jc w:val="center"/>
                    <w:textAlignment w:val="top"/>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荒漠植被、野生动物</w:t>
                  </w:r>
                </w:p>
              </w:tc>
              <w:tc>
                <w:tcPr>
                  <w:tcW w:w="682" w:type="dxa"/>
                  <w:tcBorders>
                    <w:top w:val="single" w:color="000000" w:sz="4" w:space="0"/>
                    <w:left w:val="single" w:color="000000" w:sz="4" w:space="0"/>
                    <w:bottom w:val="single" w:color="000000" w:sz="4" w:space="0"/>
                    <w:right w:val="single" w:color="000000" w:sz="4" w:space="0"/>
                  </w:tcBorders>
                  <w:vAlign w:val="center"/>
                </w:tcPr>
                <w:p w14:paraId="723C7B93">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155DA693">
                  <w:pPr>
                    <w:kinsoku/>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保护生境不被破坏，保护植被，禁止捕杀野生动物。</w:t>
                  </w:r>
                </w:p>
              </w:tc>
            </w:tr>
            <w:tr w14:paraId="2DEC6F3D">
              <w:tblPrEx>
                <w:tblCellMar>
                  <w:top w:w="0" w:type="dxa"/>
                  <w:left w:w="108" w:type="dxa"/>
                  <w:bottom w:w="0" w:type="dxa"/>
                  <w:right w:w="108" w:type="dxa"/>
                </w:tblCellMar>
              </w:tblPrEx>
              <w:trPr>
                <w:trHeight w:val="193" w:hRule="atLeast"/>
                <w:jc w:val="center"/>
              </w:trPr>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6204B6D7">
                  <w:pPr>
                    <w:kinsoku/>
                    <w:jc w:val="center"/>
                    <w:rPr>
                      <w:rFonts w:ascii="Times New Roman" w:hAnsi="Times New Roman" w:eastAsia="宋体" w:cs="Times New Roman"/>
                      <w:color w:val="auto"/>
                      <w:highlight w:val="none"/>
                      <w:lang w:eastAsia="zh-CN"/>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69E74320">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水土流失预防</w:t>
                  </w:r>
                </w:p>
              </w:tc>
              <w:tc>
                <w:tcPr>
                  <w:tcW w:w="682" w:type="dxa"/>
                  <w:tcBorders>
                    <w:top w:val="single" w:color="000000" w:sz="4" w:space="0"/>
                    <w:left w:val="single" w:color="000000" w:sz="4" w:space="0"/>
                    <w:bottom w:val="single" w:color="000000" w:sz="4" w:space="0"/>
                    <w:right w:val="single" w:color="000000" w:sz="4" w:space="0"/>
                  </w:tcBorders>
                  <w:vAlign w:val="center"/>
                </w:tcPr>
                <w:p w14:paraId="6807077A">
                  <w:pPr>
                    <w:kinsoku/>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bidi="ar"/>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70B6BFE4">
                  <w:pPr>
                    <w:kinsoku/>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保护项目区域生态系统完整性和稳定性，做好植被恢复与水土保持工作。</w:t>
                  </w:r>
                </w:p>
              </w:tc>
            </w:tr>
            <w:tr w14:paraId="6EEBE7DC">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62742FBB">
                  <w:pPr>
                    <w:kinsoku/>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水环境</w:t>
                  </w:r>
                </w:p>
              </w:tc>
              <w:tc>
                <w:tcPr>
                  <w:tcW w:w="1255" w:type="dxa"/>
                  <w:tcBorders>
                    <w:top w:val="single" w:color="000000" w:sz="4" w:space="0"/>
                    <w:left w:val="single" w:color="000000" w:sz="4" w:space="0"/>
                    <w:bottom w:val="single" w:color="000000" w:sz="4" w:space="0"/>
                    <w:right w:val="single" w:color="000000" w:sz="4" w:space="0"/>
                  </w:tcBorders>
                  <w:vAlign w:val="center"/>
                </w:tcPr>
                <w:p w14:paraId="1E57F818">
                  <w:pPr>
                    <w:kinsoku/>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区域地下水</w:t>
                  </w:r>
                </w:p>
              </w:tc>
              <w:tc>
                <w:tcPr>
                  <w:tcW w:w="682" w:type="dxa"/>
                  <w:tcBorders>
                    <w:top w:val="single" w:color="000000" w:sz="4" w:space="0"/>
                    <w:left w:val="single" w:color="000000" w:sz="4" w:space="0"/>
                    <w:bottom w:val="single" w:color="000000" w:sz="4" w:space="0"/>
                    <w:right w:val="single" w:color="000000" w:sz="4" w:space="0"/>
                  </w:tcBorders>
                  <w:vAlign w:val="center"/>
                </w:tcPr>
                <w:p w14:paraId="2FD57E6C">
                  <w:pPr>
                    <w:kinsoku/>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2C5FB693">
                  <w:pPr>
                    <w:kinsoku/>
                    <w:jc w:val="center"/>
                    <w:textAlignment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确保地下水不受污染</w:t>
                  </w:r>
                </w:p>
              </w:tc>
            </w:tr>
            <w:tr w14:paraId="4FAA48E4">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6B2AE78B">
                  <w:pPr>
                    <w:pStyle w:val="22"/>
                    <w:kinsoku/>
                    <w:spacing w:before="170" w:line="240" w:lineRule="atLeast"/>
                    <w:jc w:val="center"/>
                    <w:rPr>
                      <w:rFonts w:ascii="Times New Roman" w:hAnsi="Times New Roman" w:cs="Times New Roman"/>
                      <w:color w:val="auto"/>
                      <w:sz w:val="21"/>
                      <w:szCs w:val="21"/>
                      <w:highlight w:val="none"/>
                      <w:lang w:eastAsia="zh-CN" w:bidi="ar"/>
                    </w:rPr>
                  </w:pPr>
                  <w:r>
                    <w:rPr>
                      <w:rFonts w:ascii="Times New Roman" w:hAnsi="Times New Roman" w:cs="Times New Roman"/>
                      <w:color w:val="auto"/>
                      <w:spacing w:val="7"/>
                      <w:sz w:val="21"/>
                      <w:szCs w:val="21"/>
                      <w:highlight w:val="none"/>
                    </w:rPr>
                    <w:t>土壤环境</w:t>
                  </w:r>
                </w:p>
              </w:tc>
              <w:tc>
                <w:tcPr>
                  <w:tcW w:w="1255" w:type="dxa"/>
                  <w:tcBorders>
                    <w:top w:val="single" w:color="000000" w:sz="4" w:space="0"/>
                    <w:left w:val="single" w:color="000000" w:sz="4" w:space="0"/>
                    <w:bottom w:val="single" w:color="000000" w:sz="4" w:space="0"/>
                    <w:right w:val="single" w:color="000000" w:sz="4" w:space="0"/>
                  </w:tcBorders>
                  <w:vAlign w:val="center"/>
                </w:tcPr>
                <w:p w14:paraId="6801ACD0">
                  <w:pPr>
                    <w:pStyle w:val="22"/>
                    <w:kinsoku/>
                    <w:spacing w:before="169" w:line="240" w:lineRule="atLeast"/>
                    <w:jc w:val="center"/>
                    <w:rPr>
                      <w:rFonts w:hint="default" w:ascii="Times New Roman" w:hAnsi="Times New Roman" w:eastAsia="宋体" w:cs="Times New Roman"/>
                      <w:color w:val="auto"/>
                      <w:sz w:val="21"/>
                      <w:szCs w:val="21"/>
                      <w:highlight w:val="none"/>
                      <w:lang w:val="en-US" w:eastAsia="zh-CN" w:bidi="ar"/>
                    </w:rPr>
                  </w:pPr>
                  <w:r>
                    <w:rPr>
                      <w:rFonts w:ascii="Times New Roman" w:hAnsi="Times New Roman" w:cs="Times New Roman"/>
                      <w:color w:val="auto"/>
                      <w:spacing w:val="4"/>
                      <w:sz w:val="21"/>
                      <w:szCs w:val="21"/>
                      <w:highlight w:val="none"/>
                    </w:rPr>
                    <w:t>耕地</w:t>
                  </w:r>
                  <w:r>
                    <w:rPr>
                      <w:rFonts w:hint="eastAsia" w:ascii="Times New Roman" w:hAnsi="Times New Roman" w:cs="Times New Roman"/>
                      <w:color w:val="auto"/>
                      <w:spacing w:val="4"/>
                      <w:sz w:val="21"/>
                      <w:szCs w:val="21"/>
                      <w:highlight w:val="none"/>
                      <w:lang w:val="en-US" w:eastAsia="zh-CN"/>
                    </w:rPr>
                    <w:t>/基本农田</w:t>
                  </w:r>
                </w:p>
              </w:tc>
              <w:tc>
                <w:tcPr>
                  <w:tcW w:w="682" w:type="dxa"/>
                  <w:tcBorders>
                    <w:top w:val="single" w:color="000000" w:sz="4" w:space="0"/>
                    <w:left w:val="single" w:color="000000" w:sz="4" w:space="0"/>
                    <w:bottom w:val="single" w:color="000000" w:sz="4" w:space="0"/>
                    <w:right w:val="single" w:color="000000" w:sz="4" w:space="0"/>
                  </w:tcBorders>
                  <w:vAlign w:val="center"/>
                </w:tcPr>
                <w:p w14:paraId="234FA85E">
                  <w:pPr>
                    <w:kinsoku/>
                    <w:spacing w:line="240" w:lineRule="atLeast"/>
                    <w:jc w:val="center"/>
                    <w:textAlignment w:val="center"/>
                    <w:rPr>
                      <w:rFonts w:ascii="Times New Roman" w:hAnsi="Times New Roman" w:eastAsia="宋体" w:cs="Times New Roman"/>
                      <w:color w:val="auto"/>
                      <w:highlight w:val="none"/>
                      <w:lang w:eastAsia="zh-CN" w:bidi="ar"/>
                    </w:rPr>
                  </w:pPr>
                </w:p>
              </w:tc>
              <w:tc>
                <w:tcPr>
                  <w:tcW w:w="4894" w:type="dxa"/>
                  <w:tcBorders>
                    <w:top w:val="single" w:color="000000" w:sz="4" w:space="0"/>
                    <w:left w:val="single" w:color="000000" w:sz="4" w:space="0"/>
                    <w:bottom w:val="single" w:color="000000" w:sz="4" w:space="0"/>
                    <w:right w:val="single" w:color="000000" w:sz="4" w:space="0"/>
                  </w:tcBorders>
                  <w:vAlign w:val="center"/>
                </w:tcPr>
                <w:p w14:paraId="41FADAD7">
                  <w:pPr>
                    <w:kinsoku/>
                    <w:spacing w:line="240" w:lineRule="atLeast"/>
                    <w:jc w:val="center"/>
                    <w:textAlignment w:val="center"/>
                    <w:rPr>
                      <w:rFonts w:ascii="Times New Roman" w:hAnsi="Times New Roman" w:eastAsia="宋体" w:cs="Times New Roman"/>
                      <w:color w:val="auto"/>
                      <w:highlight w:val="none"/>
                      <w:lang w:eastAsia="zh-CN" w:bidi="ar"/>
                    </w:rPr>
                  </w:pPr>
                  <w:r>
                    <w:rPr>
                      <w:rFonts w:ascii="Times New Roman" w:hAnsi="Times New Roman" w:eastAsia="宋体" w:cs="Times New Roman"/>
                      <w:color w:val="auto"/>
                      <w:spacing w:val="9"/>
                      <w:highlight w:val="none"/>
                      <w:lang w:eastAsia="zh-CN"/>
                    </w:rPr>
                    <w:t>避开农作物种植季节，保护农作</w:t>
                  </w:r>
                  <w:r>
                    <w:rPr>
                      <w:rFonts w:ascii="Times New Roman" w:hAnsi="Times New Roman" w:eastAsia="宋体" w:cs="Times New Roman"/>
                      <w:color w:val="auto"/>
                      <w:spacing w:val="8"/>
                      <w:highlight w:val="none"/>
                      <w:lang w:eastAsia="zh-CN"/>
                    </w:rPr>
                    <w:t>物和土壤不受污染</w:t>
                  </w:r>
                </w:p>
              </w:tc>
            </w:tr>
          </w:tbl>
          <w:p w14:paraId="52BB240D">
            <w:pPr>
              <w:pStyle w:val="22"/>
              <w:kinsoku/>
              <w:spacing w:before="38" w:line="356"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2.保护要求</w:t>
            </w:r>
          </w:p>
          <w:p w14:paraId="7062DCAA">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（1）保护项目所在区域的空气质量，保持现有空气质量级别，不因本项目的建设降低环境空气质量；</w:t>
            </w:r>
          </w:p>
          <w:p w14:paraId="1BB84CB6">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（2）保护项目所在区域地下水质量保持在现有水平，不受本项目所排废水的影响；</w:t>
            </w:r>
          </w:p>
          <w:p w14:paraId="0863ABC7">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（3）保护项目区声环境质量现状，符合《声环境质量标准》（GB3096-2008）的2类声环境功能限值；</w:t>
            </w:r>
          </w:p>
          <w:p w14:paraId="72C1939B">
            <w:pPr>
              <w:pStyle w:val="22"/>
              <w:kinsoku/>
              <w:spacing w:before="38" w:line="356" w:lineRule="auto"/>
              <w:ind w:firstLine="482"/>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（4）生态环境保护目标：本工程需保护项目区生态环境，使项目的建成对项目区生态环境影响较小；</w:t>
            </w:r>
          </w:p>
          <w:p w14:paraId="0748A8DC">
            <w:pPr>
              <w:pStyle w:val="22"/>
              <w:kinsoku/>
              <w:spacing w:before="38" w:line="356" w:lineRule="auto"/>
              <w:ind w:firstLine="482"/>
              <w:jc w:val="both"/>
              <w:rPr>
                <w:rFonts w:ascii="Times New Roman" w:hAnsi="Times New Roman" w:cs="Times New Roman"/>
                <w:b/>
                <w:bCs/>
                <w:color w:val="auto"/>
                <w:spacing w:val="5"/>
                <w:highlight w:val="none"/>
                <w:lang w:eastAsia="zh-CN"/>
              </w:rPr>
            </w:pPr>
            <w:r>
              <w:rPr>
                <w:rFonts w:ascii="Times New Roman" w:hAnsi="Times New Roman" w:cs="Times New Roman"/>
                <w:color w:val="auto"/>
                <w:spacing w:val="-2"/>
                <w:sz w:val="24"/>
                <w:szCs w:val="24"/>
                <w:highlight w:val="none"/>
                <w:lang w:eastAsia="zh-CN"/>
              </w:rPr>
              <w:t>（5）土壤环境质量项目范围内按照《土壤环境质量建设用地土壤污染风险管控标准（试行）》第二类用地筛选值标准执行。项目区占地范围外耕地按照《土壤环境质量 农用地土壤污染风险管控标准（试行）》（GB15618-2018 ) 执行。</w:t>
            </w:r>
          </w:p>
        </w:tc>
      </w:tr>
      <w:tr w14:paraId="2B16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2" w:hRule="atLeast"/>
          <w:jc w:val="center"/>
        </w:trPr>
        <w:tc>
          <w:tcPr>
            <w:tcW w:w="991" w:type="dxa"/>
            <w:tcBorders>
              <w:left w:val="single" w:color="000000" w:sz="4" w:space="0"/>
              <w:bottom w:val="single" w:color="auto" w:sz="4" w:space="0"/>
            </w:tcBorders>
            <w:vAlign w:val="center"/>
          </w:tcPr>
          <w:p w14:paraId="73CD7CE2">
            <w:pPr>
              <w:pStyle w:val="22"/>
              <w:kinsoku/>
              <w:spacing w:before="65" w:line="228" w:lineRule="auto"/>
              <w:jc w:val="center"/>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评价标准</w:t>
            </w:r>
          </w:p>
        </w:tc>
        <w:tc>
          <w:tcPr>
            <w:tcW w:w="8108" w:type="dxa"/>
            <w:tcBorders>
              <w:bottom w:val="single" w:color="auto" w:sz="4" w:space="0"/>
              <w:right w:val="single" w:color="000000" w:sz="4" w:space="0"/>
            </w:tcBorders>
            <w:vAlign w:val="center"/>
          </w:tcPr>
          <w:p w14:paraId="2D3CD8EC">
            <w:pPr>
              <w:pStyle w:val="22"/>
              <w:kinsoku/>
              <w:spacing w:line="360" w:lineRule="auto"/>
              <w:ind w:firstLine="422" w:firstLineChars="200"/>
              <w:jc w:val="both"/>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z w:val="21"/>
                <w:szCs w:val="21"/>
                <w:highlight w:val="none"/>
                <w:lang w:eastAsia="zh-CN"/>
              </w:rPr>
              <w:t xml:space="preserve"> </w:t>
            </w:r>
            <w:r>
              <w:rPr>
                <w:rFonts w:ascii="Times New Roman" w:hAnsi="Times New Roman" w:cs="Times New Roman"/>
                <w:color w:val="auto"/>
                <w:spacing w:val="-2"/>
                <w:sz w:val="24"/>
                <w:szCs w:val="24"/>
                <w:highlight w:val="none"/>
                <w:lang w:eastAsia="zh-CN"/>
              </w:rPr>
              <w:t>项目施工期执行标准见表3-5。</w:t>
            </w:r>
          </w:p>
          <w:p w14:paraId="125AA217">
            <w:pPr>
              <w:pStyle w:val="22"/>
              <w:kinsoku/>
              <w:jc w:val="center"/>
              <w:rPr>
                <w:rFonts w:ascii="Times New Roman" w:hAnsi="Times New Roman" w:cs="Times New Roman"/>
                <w:color w:val="auto"/>
                <w:spacing w:val="-2"/>
                <w:sz w:val="24"/>
                <w:szCs w:val="24"/>
                <w:highlight w:val="none"/>
                <w:lang w:eastAsia="zh-CN"/>
              </w:rPr>
            </w:pPr>
            <w:r>
              <w:rPr>
                <w:rFonts w:ascii="Times New Roman" w:hAnsi="Times New Roman" w:cs="Times New Roman"/>
                <w:b/>
                <w:bCs/>
                <w:color w:val="auto"/>
                <w:sz w:val="21"/>
                <w:szCs w:val="21"/>
                <w:highlight w:val="none"/>
              </w:rPr>
              <w:t>表3-</w:t>
            </w:r>
            <w:r>
              <w:rPr>
                <w:rFonts w:ascii="Times New Roman" w:hAnsi="Times New Roman" w:cs="Times New Roman"/>
                <w:b/>
                <w:bCs/>
                <w:color w:val="auto"/>
                <w:sz w:val="21"/>
                <w:szCs w:val="21"/>
                <w:highlight w:val="none"/>
                <w:lang w:eastAsia="zh-CN"/>
              </w:rPr>
              <w:t>5 执行标准及限值</w:t>
            </w:r>
          </w:p>
          <w:tbl>
            <w:tblPr>
              <w:tblStyle w:val="21"/>
              <w:tblW w:w="79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9"/>
              <w:gridCol w:w="717"/>
              <w:gridCol w:w="668"/>
              <w:gridCol w:w="5955"/>
            </w:tblGrid>
            <w:tr w14:paraId="539E1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84" w:type="dxa"/>
                  <w:gridSpan w:val="3"/>
                  <w:vAlign w:val="center"/>
                </w:tcPr>
                <w:p w14:paraId="3A09035B">
                  <w:pPr>
                    <w:pStyle w:val="22"/>
                    <w:kinsoku/>
                    <w:spacing w:before="45" w:line="209"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7"/>
                      <w:sz w:val="21"/>
                      <w:szCs w:val="21"/>
                      <w:highlight w:val="none"/>
                    </w:rPr>
                    <w:t>环境要素</w:t>
                  </w:r>
                </w:p>
              </w:tc>
              <w:tc>
                <w:tcPr>
                  <w:tcW w:w="5955" w:type="dxa"/>
                  <w:tcBorders>
                    <w:right w:val="single" w:color="000000" w:sz="4" w:space="0"/>
                  </w:tcBorders>
                  <w:vAlign w:val="center"/>
                </w:tcPr>
                <w:p w14:paraId="06D279FA">
                  <w:pPr>
                    <w:pStyle w:val="22"/>
                    <w:kinsoku/>
                    <w:spacing w:before="45" w:line="209"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7"/>
                      <w:sz w:val="21"/>
                      <w:szCs w:val="21"/>
                      <w:highlight w:val="none"/>
                    </w:rPr>
                    <w:t>执行标准</w:t>
                  </w:r>
                </w:p>
              </w:tc>
            </w:tr>
            <w:tr w14:paraId="0F8D7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73CA5C4A">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4"/>
                      <w:sz w:val="21"/>
                      <w:szCs w:val="21"/>
                      <w:highlight w:val="none"/>
                    </w:rPr>
                    <w:t>环境质量标准</w:t>
                  </w:r>
                </w:p>
              </w:tc>
              <w:tc>
                <w:tcPr>
                  <w:tcW w:w="717" w:type="dxa"/>
                  <w:vAlign w:val="center"/>
                </w:tcPr>
                <w:p w14:paraId="354368F0">
                  <w:pPr>
                    <w:pStyle w:val="22"/>
                    <w:kinsoku/>
                    <w:spacing w:before="150" w:line="216"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大气环境</w:t>
                  </w:r>
                </w:p>
              </w:tc>
              <w:tc>
                <w:tcPr>
                  <w:tcW w:w="668" w:type="dxa"/>
                  <w:vAlign w:val="center"/>
                </w:tcPr>
                <w:p w14:paraId="761D81F2">
                  <w:pPr>
                    <w:pStyle w:val="22"/>
                    <w:kinsoku/>
                    <w:spacing w:before="65" w:line="227"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7"/>
                      <w:sz w:val="21"/>
                      <w:szCs w:val="21"/>
                      <w:highlight w:val="none"/>
                    </w:rPr>
                    <w:t>基本污染</w:t>
                  </w:r>
                  <w:r>
                    <w:rPr>
                      <w:rFonts w:ascii="Times New Roman" w:hAnsi="Times New Roman" w:cs="Times New Roman"/>
                      <w:color w:val="auto"/>
                      <w:sz w:val="21"/>
                      <w:szCs w:val="21"/>
                      <w:highlight w:val="none"/>
                    </w:rPr>
                    <w:t>物</w:t>
                  </w:r>
                </w:p>
              </w:tc>
              <w:tc>
                <w:tcPr>
                  <w:tcW w:w="5955" w:type="dxa"/>
                  <w:tcBorders>
                    <w:right w:val="single" w:color="000000" w:sz="4" w:space="0"/>
                  </w:tcBorders>
                  <w:vAlign w:val="center"/>
                </w:tcPr>
                <w:p w14:paraId="650F1B0C">
                  <w:pPr>
                    <w:pStyle w:val="22"/>
                    <w:kinsoku/>
                    <w:spacing w:before="65" w:line="221" w:lineRule="auto"/>
                    <w:jc w:val="both"/>
                    <w:rPr>
                      <w:rFonts w:ascii="Times New Roman" w:hAnsi="Times New Roman" w:cs="Times New Roman"/>
                      <w:color w:val="auto"/>
                      <w:sz w:val="21"/>
                      <w:szCs w:val="21"/>
                      <w:highlight w:val="none"/>
                    </w:rPr>
                  </w:pPr>
                  <w:r>
                    <w:rPr>
                      <w:rFonts w:ascii="Times New Roman" w:hAnsi="Times New Roman" w:cs="Times New Roman"/>
                      <w:color w:val="auto"/>
                      <w:spacing w:val="-5"/>
                      <w:sz w:val="21"/>
                      <w:szCs w:val="21"/>
                      <w:highlight w:val="none"/>
                    </w:rPr>
                    <w:t>《环境空气质量标准》（GB3095-2012）二级（年平均值SO</w:t>
                  </w:r>
                  <w:r>
                    <w:rPr>
                      <w:rFonts w:ascii="Times New Roman" w:hAnsi="Times New Roman" w:cs="Times New Roman"/>
                      <w:color w:val="auto"/>
                      <w:spacing w:val="-5"/>
                      <w:position w:val="-1"/>
                      <w:sz w:val="21"/>
                      <w:szCs w:val="21"/>
                      <w:highlight w:val="none"/>
                      <w:vertAlign w:val="subscript"/>
                    </w:rPr>
                    <w:t>2</w:t>
                  </w:r>
                  <w:r>
                    <w:rPr>
                      <w:rFonts w:ascii="Times New Roman" w:hAnsi="Times New Roman" w:cs="Times New Roman"/>
                      <w:color w:val="auto"/>
                      <w:spacing w:val="-7"/>
                      <w:sz w:val="21"/>
                      <w:szCs w:val="21"/>
                      <w:highlight w:val="none"/>
                    </w:rPr>
                    <w:t>：60μg/m</w:t>
                  </w:r>
                  <w:r>
                    <w:rPr>
                      <w:rFonts w:ascii="Times New Roman" w:hAnsi="Times New Roman" w:cs="Times New Roman"/>
                      <w:color w:val="auto"/>
                      <w:spacing w:val="-7"/>
                      <w:sz w:val="21"/>
                      <w:szCs w:val="21"/>
                      <w:highlight w:val="none"/>
                      <w:vertAlign w:val="superscript"/>
                      <w:lang w:eastAsia="zh-CN"/>
                    </w:rPr>
                    <w:t>3</w:t>
                  </w:r>
                  <w:r>
                    <w:rPr>
                      <w:rFonts w:ascii="Times New Roman" w:hAnsi="Times New Roman" w:cs="Times New Roman"/>
                      <w:color w:val="auto"/>
                      <w:spacing w:val="2"/>
                      <w:sz w:val="21"/>
                      <w:szCs w:val="21"/>
                      <w:highlight w:val="none"/>
                    </w:rPr>
                    <w:t>、</w:t>
                  </w:r>
                  <w:r>
                    <w:rPr>
                      <w:rFonts w:ascii="Times New Roman" w:hAnsi="Times New Roman" w:cs="Times New Roman"/>
                      <w:color w:val="auto"/>
                      <w:sz w:val="21"/>
                      <w:szCs w:val="21"/>
                      <w:highlight w:val="none"/>
                    </w:rPr>
                    <w:t>NO</w:t>
                  </w:r>
                  <w:r>
                    <w:rPr>
                      <w:rFonts w:ascii="Times New Roman" w:hAnsi="Times New Roman" w:cs="Times New Roman"/>
                      <w:color w:val="auto"/>
                      <w:spacing w:val="2"/>
                      <w:position w:val="-1"/>
                      <w:sz w:val="21"/>
                      <w:szCs w:val="21"/>
                      <w:highlight w:val="none"/>
                      <w:vertAlign w:val="subscript"/>
                    </w:rPr>
                    <w:t>2</w:t>
                  </w:r>
                  <w:r>
                    <w:rPr>
                      <w:rFonts w:ascii="Times New Roman" w:hAnsi="Times New Roman" w:cs="Times New Roman"/>
                      <w:color w:val="auto"/>
                      <w:spacing w:val="2"/>
                      <w:sz w:val="21"/>
                      <w:szCs w:val="21"/>
                      <w:highlight w:val="none"/>
                    </w:rPr>
                    <w:t>：40μg/m</w:t>
                  </w:r>
                  <w:r>
                    <w:rPr>
                      <w:rFonts w:ascii="Times New Roman" w:hAnsi="Times New Roman" w:cs="Times New Roman"/>
                      <w:color w:val="auto"/>
                      <w:spacing w:val="2"/>
                      <w:sz w:val="21"/>
                      <w:szCs w:val="21"/>
                      <w:highlight w:val="none"/>
                      <w:vertAlign w:val="superscript"/>
                      <w:lang w:eastAsia="zh-CN"/>
                    </w:rPr>
                    <w:t>3</w:t>
                  </w:r>
                  <w:r>
                    <w:rPr>
                      <w:rFonts w:ascii="Times New Roman" w:hAnsi="Times New Roman" w:cs="Times New Roman"/>
                      <w:color w:val="auto"/>
                      <w:spacing w:val="2"/>
                      <w:sz w:val="21"/>
                      <w:szCs w:val="21"/>
                      <w:highlight w:val="none"/>
                    </w:rPr>
                    <w:t>、</w:t>
                  </w:r>
                  <w:r>
                    <w:rPr>
                      <w:rFonts w:ascii="Times New Roman" w:hAnsi="Times New Roman" w:cs="Times New Roman"/>
                      <w:color w:val="auto"/>
                      <w:sz w:val="21"/>
                      <w:szCs w:val="21"/>
                      <w:highlight w:val="none"/>
                    </w:rPr>
                    <w:t>PM</w:t>
                  </w:r>
                  <w:r>
                    <w:rPr>
                      <w:rFonts w:ascii="Times New Roman" w:hAnsi="Times New Roman" w:cs="Times New Roman"/>
                      <w:color w:val="auto"/>
                      <w:spacing w:val="2"/>
                      <w:position w:val="-1"/>
                      <w:sz w:val="21"/>
                      <w:szCs w:val="21"/>
                      <w:highlight w:val="none"/>
                      <w:vertAlign w:val="subscript"/>
                    </w:rPr>
                    <w:t>10</w:t>
                  </w:r>
                  <w:r>
                    <w:rPr>
                      <w:rFonts w:ascii="Times New Roman" w:hAnsi="Times New Roman" w:cs="Times New Roman"/>
                      <w:color w:val="auto"/>
                      <w:spacing w:val="2"/>
                      <w:sz w:val="21"/>
                      <w:szCs w:val="21"/>
                      <w:highlight w:val="none"/>
                    </w:rPr>
                    <w:t>：70μg/m</w:t>
                  </w:r>
                  <w:r>
                    <w:rPr>
                      <w:rFonts w:ascii="Times New Roman" w:hAnsi="Times New Roman" w:cs="Times New Roman"/>
                      <w:color w:val="auto"/>
                      <w:spacing w:val="2"/>
                      <w:sz w:val="21"/>
                      <w:szCs w:val="21"/>
                      <w:highlight w:val="none"/>
                      <w:vertAlign w:val="superscript"/>
                      <w:lang w:eastAsia="zh-CN"/>
                    </w:rPr>
                    <w:t>3</w:t>
                  </w:r>
                  <w:r>
                    <w:rPr>
                      <w:rFonts w:ascii="Times New Roman" w:hAnsi="Times New Roman" w:cs="Times New Roman"/>
                      <w:color w:val="auto"/>
                      <w:spacing w:val="2"/>
                      <w:sz w:val="21"/>
                      <w:szCs w:val="21"/>
                      <w:highlight w:val="none"/>
                    </w:rPr>
                    <w:t>、</w:t>
                  </w:r>
                  <w:r>
                    <w:rPr>
                      <w:rFonts w:ascii="Times New Roman" w:hAnsi="Times New Roman" w:cs="Times New Roman"/>
                      <w:color w:val="auto"/>
                      <w:sz w:val="21"/>
                      <w:szCs w:val="21"/>
                      <w:highlight w:val="none"/>
                    </w:rPr>
                    <w:t>PM</w:t>
                  </w:r>
                  <w:r>
                    <w:rPr>
                      <w:rFonts w:ascii="Times New Roman" w:hAnsi="Times New Roman" w:cs="Times New Roman"/>
                      <w:color w:val="auto"/>
                      <w:spacing w:val="2"/>
                      <w:position w:val="-1"/>
                      <w:sz w:val="21"/>
                      <w:szCs w:val="21"/>
                      <w:highlight w:val="none"/>
                      <w:vertAlign w:val="subscript"/>
                    </w:rPr>
                    <w:t>2.5</w:t>
                  </w:r>
                  <w:r>
                    <w:rPr>
                      <w:rFonts w:ascii="Times New Roman" w:hAnsi="Times New Roman" w:cs="Times New Roman"/>
                      <w:color w:val="auto"/>
                      <w:spacing w:val="2"/>
                      <w:sz w:val="21"/>
                      <w:szCs w:val="21"/>
                      <w:highlight w:val="none"/>
                    </w:rPr>
                    <w:t>：35μg/m</w:t>
                  </w:r>
                  <w:r>
                    <w:rPr>
                      <w:rFonts w:ascii="Times New Roman" w:hAnsi="Times New Roman" w:cs="Times New Roman"/>
                      <w:color w:val="auto"/>
                      <w:spacing w:val="2"/>
                      <w:sz w:val="21"/>
                      <w:szCs w:val="21"/>
                      <w:highlight w:val="none"/>
                      <w:vertAlign w:val="superscript"/>
                      <w:lang w:eastAsia="zh-CN"/>
                    </w:rPr>
                    <w:t>3</w:t>
                  </w:r>
                  <w:r>
                    <w:rPr>
                      <w:rFonts w:ascii="Times New Roman" w:hAnsi="Times New Roman" w:cs="Times New Roman"/>
                      <w:color w:val="auto"/>
                      <w:spacing w:val="2"/>
                      <w:sz w:val="21"/>
                      <w:szCs w:val="21"/>
                      <w:highlight w:val="none"/>
                    </w:rPr>
                    <w:t>；O</w:t>
                  </w:r>
                  <w:r>
                    <w:rPr>
                      <w:rFonts w:ascii="Times New Roman" w:hAnsi="Times New Roman" w:cs="Times New Roman"/>
                      <w:color w:val="auto"/>
                      <w:spacing w:val="2"/>
                      <w:position w:val="-1"/>
                      <w:sz w:val="21"/>
                      <w:szCs w:val="21"/>
                      <w:highlight w:val="none"/>
                      <w:vertAlign w:val="subscript"/>
                    </w:rPr>
                    <w:t>3</w:t>
                  </w:r>
                  <w:r>
                    <w:rPr>
                      <w:rFonts w:ascii="Times New Roman" w:hAnsi="Times New Roman" w:cs="Times New Roman"/>
                      <w:color w:val="auto"/>
                      <w:spacing w:val="2"/>
                      <w:sz w:val="21"/>
                      <w:szCs w:val="21"/>
                      <w:highlight w:val="none"/>
                    </w:rPr>
                    <w:t>日最大</w:t>
                  </w:r>
                  <w:r>
                    <w:rPr>
                      <w:rFonts w:ascii="Times New Roman" w:hAnsi="Times New Roman" w:cs="Times New Roman"/>
                      <w:color w:val="auto"/>
                      <w:spacing w:val="1"/>
                      <w:sz w:val="21"/>
                      <w:szCs w:val="21"/>
                      <w:highlight w:val="none"/>
                    </w:rPr>
                    <w:t>8h</w:t>
                  </w:r>
                  <w:r>
                    <w:rPr>
                      <w:rFonts w:ascii="Times New Roman" w:hAnsi="Times New Roman" w:cs="Times New Roman"/>
                      <w:color w:val="auto"/>
                      <w:spacing w:val="6"/>
                      <w:sz w:val="21"/>
                      <w:szCs w:val="21"/>
                      <w:highlight w:val="none"/>
                    </w:rPr>
                    <w:t>平均值：160μg/m</w:t>
                  </w:r>
                  <w:r>
                    <w:rPr>
                      <w:rFonts w:ascii="Times New Roman" w:hAnsi="Times New Roman" w:cs="Times New Roman"/>
                      <w:color w:val="auto"/>
                      <w:spacing w:val="2"/>
                      <w:sz w:val="21"/>
                      <w:szCs w:val="21"/>
                      <w:highlight w:val="none"/>
                      <w:vertAlign w:val="superscript"/>
                      <w:lang w:eastAsia="zh-CN"/>
                    </w:rPr>
                    <w:t>3</w:t>
                  </w:r>
                  <w:r>
                    <w:rPr>
                      <w:rFonts w:ascii="Times New Roman" w:hAnsi="Times New Roman" w:cs="Times New Roman"/>
                      <w:color w:val="auto"/>
                      <w:spacing w:val="6"/>
                      <w:sz w:val="21"/>
                      <w:szCs w:val="21"/>
                      <w:highlight w:val="none"/>
                    </w:rPr>
                    <w:t>；</w:t>
                  </w:r>
                  <w:r>
                    <w:rPr>
                      <w:rFonts w:ascii="Times New Roman" w:hAnsi="Times New Roman" w:cs="Times New Roman"/>
                      <w:color w:val="auto"/>
                      <w:sz w:val="21"/>
                      <w:szCs w:val="21"/>
                      <w:highlight w:val="none"/>
                    </w:rPr>
                    <w:t>CO</w:t>
                  </w:r>
                  <w:r>
                    <w:rPr>
                      <w:rFonts w:ascii="Times New Roman" w:hAnsi="Times New Roman" w:cs="Times New Roman"/>
                      <w:color w:val="auto"/>
                      <w:spacing w:val="6"/>
                      <w:sz w:val="21"/>
                      <w:szCs w:val="21"/>
                      <w:highlight w:val="none"/>
                    </w:rPr>
                    <w:t>24h平均值：4</w:t>
                  </w:r>
                  <w:r>
                    <w:rPr>
                      <w:rFonts w:ascii="Times New Roman" w:hAnsi="Times New Roman" w:cs="Times New Roman"/>
                      <w:color w:val="auto"/>
                      <w:sz w:val="21"/>
                      <w:szCs w:val="21"/>
                      <w:highlight w:val="none"/>
                    </w:rPr>
                    <w:t>mg</w:t>
                  </w:r>
                  <w:r>
                    <w:rPr>
                      <w:rFonts w:ascii="Times New Roman" w:hAnsi="Times New Roman" w:cs="Times New Roman"/>
                      <w:color w:val="auto"/>
                      <w:spacing w:val="6"/>
                      <w:sz w:val="21"/>
                      <w:szCs w:val="21"/>
                      <w:highlight w:val="none"/>
                    </w:rPr>
                    <w:t>/m</w:t>
                  </w:r>
                  <w:r>
                    <w:rPr>
                      <w:rFonts w:ascii="Times New Roman" w:hAnsi="Times New Roman" w:cs="Times New Roman"/>
                      <w:color w:val="auto"/>
                      <w:spacing w:val="2"/>
                      <w:sz w:val="21"/>
                      <w:szCs w:val="21"/>
                      <w:highlight w:val="none"/>
                      <w:vertAlign w:val="superscript"/>
                      <w:lang w:eastAsia="zh-CN"/>
                    </w:rPr>
                    <w:t>3</w:t>
                  </w:r>
                  <w:r>
                    <w:rPr>
                      <w:rFonts w:ascii="Times New Roman" w:hAnsi="Times New Roman" w:cs="Times New Roman"/>
                      <w:color w:val="auto"/>
                      <w:spacing w:val="6"/>
                      <w:sz w:val="21"/>
                      <w:szCs w:val="21"/>
                      <w:highlight w:val="none"/>
                    </w:rPr>
                    <w:t>）</w:t>
                  </w:r>
                </w:p>
              </w:tc>
            </w:tr>
            <w:tr w14:paraId="11075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4148F207">
                  <w:pPr>
                    <w:kinsoku/>
                    <w:jc w:val="center"/>
                    <w:rPr>
                      <w:rFonts w:ascii="Times New Roman" w:hAnsi="Times New Roman" w:eastAsia="宋体" w:cs="Times New Roman"/>
                      <w:color w:val="auto"/>
                      <w:highlight w:val="none"/>
                    </w:rPr>
                  </w:pPr>
                </w:p>
              </w:tc>
              <w:tc>
                <w:tcPr>
                  <w:tcW w:w="717" w:type="dxa"/>
                  <w:vAlign w:val="center"/>
                </w:tcPr>
                <w:p w14:paraId="2679C48C">
                  <w:pPr>
                    <w:pStyle w:val="22"/>
                    <w:kinsoku/>
                    <w:spacing w:before="150" w:line="216"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声环境</w:t>
                  </w:r>
                </w:p>
              </w:tc>
              <w:tc>
                <w:tcPr>
                  <w:tcW w:w="668" w:type="dxa"/>
                  <w:vAlign w:val="center"/>
                </w:tcPr>
                <w:p w14:paraId="2875E5B5">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1"/>
                      <w:sz w:val="21"/>
                      <w:szCs w:val="21"/>
                      <w:highlight w:val="none"/>
                    </w:rPr>
                    <w:t>噪声</w:t>
                  </w:r>
                </w:p>
              </w:tc>
              <w:tc>
                <w:tcPr>
                  <w:tcW w:w="5955" w:type="dxa"/>
                  <w:tcBorders>
                    <w:right w:val="single" w:color="000000" w:sz="4" w:space="0"/>
                  </w:tcBorders>
                  <w:vAlign w:val="center"/>
                </w:tcPr>
                <w:p w14:paraId="4DFA2918">
                  <w:pPr>
                    <w:pStyle w:val="22"/>
                    <w:kinsoku/>
                    <w:spacing w:before="192" w:line="228" w:lineRule="auto"/>
                    <w:jc w:val="both"/>
                    <w:rPr>
                      <w:rFonts w:ascii="Times New Roman" w:hAnsi="Times New Roman" w:cs="Times New Roman"/>
                      <w:color w:val="auto"/>
                      <w:sz w:val="21"/>
                      <w:szCs w:val="21"/>
                      <w:highlight w:val="none"/>
                      <w:lang w:eastAsia="zh-CN"/>
                    </w:rPr>
                  </w:pPr>
                  <w:r>
                    <w:rPr>
                      <w:rFonts w:ascii="Times New Roman" w:hAnsi="Times New Roman" w:cs="Times New Roman"/>
                      <w:color w:val="auto"/>
                      <w:spacing w:val="8"/>
                      <w:sz w:val="21"/>
                      <w:szCs w:val="21"/>
                      <w:highlight w:val="none"/>
                      <w:lang w:eastAsia="zh-CN"/>
                    </w:rPr>
                    <w:t>《声环境质量标准》（</w:t>
                  </w:r>
                  <w:r>
                    <w:rPr>
                      <w:rFonts w:ascii="Times New Roman" w:hAnsi="Times New Roman" w:cs="Times New Roman"/>
                      <w:color w:val="auto"/>
                      <w:sz w:val="21"/>
                      <w:szCs w:val="21"/>
                      <w:highlight w:val="none"/>
                      <w:lang w:eastAsia="zh-CN"/>
                    </w:rPr>
                    <w:t>GB</w:t>
                  </w:r>
                  <w:r>
                    <w:rPr>
                      <w:rFonts w:ascii="Times New Roman" w:hAnsi="Times New Roman" w:cs="Times New Roman"/>
                      <w:color w:val="auto"/>
                      <w:spacing w:val="8"/>
                      <w:sz w:val="21"/>
                      <w:szCs w:val="21"/>
                      <w:highlight w:val="none"/>
                      <w:lang w:eastAsia="zh-CN"/>
                    </w:rPr>
                    <w:t>3096-2008）2类（昼间：60</w:t>
                  </w:r>
                  <w:r>
                    <w:rPr>
                      <w:rFonts w:ascii="Times New Roman" w:hAnsi="Times New Roman" w:cs="Times New Roman"/>
                      <w:color w:val="auto"/>
                      <w:sz w:val="21"/>
                      <w:szCs w:val="21"/>
                      <w:highlight w:val="none"/>
                      <w:lang w:eastAsia="zh-CN"/>
                    </w:rPr>
                    <w:t>dB</w:t>
                  </w:r>
                  <w:r>
                    <w:rPr>
                      <w:rFonts w:ascii="Times New Roman" w:hAnsi="Times New Roman" w:cs="Times New Roman"/>
                      <w:color w:val="auto"/>
                      <w:spacing w:val="8"/>
                      <w:sz w:val="21"/>
                      <w:szCs w:val="21"/>
                      <w:highlight w:val="none"/>
                      <w:lang w:eastAsia="zh-CN"/>
                    </w:rPr>
                    <w:t>（A</w:t>
                  </w:r>
                  <w:r>
                    <w:rPr>
                      <w:rFonts w:ascii="Times New Roman" w:hAnsi="Times New Roman" w:cs="Times New Roman"/>
                      <w:color w:val="auto"/>
                      <w:sz w:val="21"/>
                      <w:szCs w:val="21"/>
                      <w:highlight w:val="none"/>
                      <w:lang w:eastAsia="zh-CN"/>
                    </w:rPr>
                    <w:t>），</w:t>
                  </w:r>
                  <w:r>
                    <w:rPr>
                      <w:rFonts w:ascii="Times New Roman" w:hAnsi="Times New Roman" w:cs="Times New Roman"/>
                      <w:color w:val="auto"/>
                      <w:spacing w:val="8"/>
                      <w:sz w:val="21"/>
                      <w:szCs w:val="21"/>
                      <w:highlight w:val="none"/>
                      <w:lang w:eastAsia="zh-CN"/>
                    </w:rPr>
                    <w:t>夜间：50</w:t>
                  </w:r>
                  <w:r>
                    <w:rPr>
                      <w:rFonts w:ascii="Times New Roman" w:hAnsi="Times New Roman" w:cs="Times New Roman"/>
                      <w:color w:val="auto"/>
                      <w:sz w:val="21"/>
                      <w:szCs w:val="21"/>
                      <w:highlight w:val="none"/>
                      <w:lang w:eastAsia="zh-CN"/>
                    </w:rPr>
                    <w:t>dB</w:t>
                  </w:r>
                  <w:r>
                    <w:rPr>
                      <w:rFonts w:ascii="Times New Roman" w:hAnsi="Times New Roman" w:cs="Times New Roman"/>
                      <w:color w:val="auto"/>
                      <w:spacing w:val="8"/>
                      <w:sz w:val="21"/>
                      <w:szCs w:val="21"/>
                      <w:highlight w:val="none"/>
                      <w:lang w:eastAsia="zh-CN"/>
                    </w:rPr>
                    <w:t>（A</w:t>
                  </w:r>
                  <w:r>
                    <w:rPr>
                      <w:rFonts w:ascii="Times New Roman" w:hAnsi="Times New Roman" w:cs="Times New Roman"/>
                      <w:color w:val="auto"/>
                      <w:sz w:val="21"/>
                      <w:szCs w:val="21"/>
                      <w:highlight w:val="none"/>
                      <w:lang w:eastAsia="zh-CN"/>
                    </w:rPr>
                    <w:t>））</w:t>
                  </w:r>
                </w:p>
              </w:tc>
            </w:tr>
            <w:tr w14:paraId="2F35A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6299F067">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污染</w:t>
                  </w:r>
                  <w:r>
                    <w:rPr>
                      <w:rFonts w:ascii="Times New Roman" w:hAnsi="Times New Roman" w:cs="Times New Roman"/>
                      <w:color w:val="auto"/>
                      <w:spacing w:val="4"/>
                      <w:sz w:val="21"/>
                      <w:szCs w:val="21"/>
                      <w:highlight w:val="none"/>
                    </w:rPr>
                    <w:t>排放标准</w:t>
                  </w:r>
                </w:p>
              </w:tc>
              <w:tc>
                <w:tcPr>
                  <w:tcW w:w="717" w:type="dxa"/>
                  <w:vMerge w:val="restart"/>
                  <w:vAlign w:val="center"/>
                </w:tcPr>
                <w:p w14:paraId="46A88C83">
                  <w:pPr>
                    <w:pStyle w:val="22"/>
                    <w:kinsoku/>
                    <w:spacing w:before="150" w:line="217"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废气</w:t>
                  </w:r>
                </w:p>
              </w:tc>
              <w:tc>
                <w:tcPr>
                  <w:tcW w:w="668" w:type="dxa"/>
                  <w:vAlign w:val="center"/>
                </w:tcPr>
                <w:p w14:paraId="4B236969">
                  <w:pPr>
                    <w:pStyle w:val="22"/>
                    <w:kinsoku/>
                    <w:spacing w:before="183"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施工期发电机废气</w:t>
                  </w:r>
                </w:p>
              </w:tc>
              <w:tc>
                <w:tcPr>
                  <w:tcW w:w="5955" w:type="dxa"/>
                  <w:tcBorders>
                    <w:right w:val="single" w:color="000000" w:sz="4" w:space="0"/>
                  </w:tcBorders>
                  <w:vAlign w:val="center"/>
                </w:tcPr>
                <w:p w14:paraId="288FC999">
                  <w:pPr>
                    <w:pStyle w:val="22"/>
                    <w:kinsoku/>
                    <w:spacing w:before="46" w:line="221" w:lineRule="auto"/>
                    <w:jc w:val="both"/>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《非道路移动机械用柴油机排气污染物排放限值及测量方法（中国第三、四阶段）》(GB20891-2014）中的标准要求</w:t>
                  </w:r>
                </w:p>
              </w:tc>
            </w:tr>
            <w:tr w14:paraId="1F836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3961116A">
                  <w:pPr>
                    <w:kinsoku/>
                    <w:jc w:val="center"/>
                    <w:rPr>
                      <w:rFonts w:ascii="Times New Roman" w:hAnsi="Times New Roman" w:eastAsia="宋体" w:cs="Times New Roman"/>
                      <w:color w:val="auto"/>
                      <w:highlight w:val="none"/>
                      <w:lang w:eastAsia="zh-CN"/>
                    </w:rPr>
                  </w:pPr>
                </w:p>
              </w:tc>
              <w:tc>
                <w:tcPr>
                  <w:tcW w:w="717" w:type="dxa"/>
                  <w:vMerge w:val="continue"/>
                  <w:vAlign w:val="center"/>
                </w:tcPr>
                <w:p w14:paraId="5BE5DA0F">
                  <w:pPr>
                    <w:kinsoku/>
                    <w:jc w:val="center"/>
                    <w:rPr>
                      <w:rFonts w:ascii="Times New Roman" w:hAnsi="Times New Roman" w:eastAsia="宋体" w:cs="Times New Roman"/>
                      <w:color w:val="auto"/>
                      <w:highlight w:val="none"/>
                      <w:lang w:eastAsia="zh-CN"/>
                    </w:rPr>
                  </w:pPr>
                </w:p>
              </w:tc>
              <w:tc>
                <w:tcPr>
                  <w:tcW w:w="668" w:type="dxa"/>
                  <w:vAlign w:val="center"/>
                </w:tcPr>
                <w:p w14:paraId="1BEB6764">
                  <w:pPr>
                    <w:pStyle w:val="22"/>
                    <w:kinsoku/>
                    <w:spacing w:before="65" w:line="228" w:lineRule="auto"/>
                    <w:jc w:val="center"/>
                    <w:rPr>
                      <w:rFonts w:ascii="Times New Roman" w:hAnsi="Times New Roman" w:cs="Times New Roman"/>
                      <w:color w:val="auto"/>
                      <w:spacing w:val="6"/>
                      <w:sz w:val="21"/>
                      <w:szCs w:val="21"/>
                      <w:highlight w:val="none"/>
                    </w:rPr>
                  </w:pPr>
                  <w:r>
                    <w:rPr>
                      <w:rFonts w:ascii="Times New Roman" w:hAnsi="Times New Roman" w:cs="Times New Roman"/>
                      <w:color w:val="auto"/>
                      <w:spacing w:val="6"/>
                      <w:sz w:val="21"/>
                      <w:szCs w:val="21"/>
                      <w:highlight w:val="none"/>
                    </w:rPr>
                    <w:t>施工扬尘</w:t>
                  </w:r>
                </w:p>
              </w:tc>
              <w:tc>
                <w:tcPr>
                  <w:tcW w:w="5955" w:type="dxa"/>
                  <w:tcBorders>
                    <w:right w:val="single" w:color="000000" w:sz="4" w:space="0"/>
                  </w:tcBorders>
                  <w:vAlign w:val="center"/>
                </w:tcPr>
                <w:p w14:paraId="30EA170F">
                  <w:pPr>
                    <w:pStyle w:val="22"/>
                    <w:kinsoku/>
                    <w:spacing w:before="65" w:line="228" w:lineRule="auto"/>
                    <w:jc w:val="both"/>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《大气污染物综合排放标准》（GB16297-1996）中表2其他无组织排放监控浓度限值要求（TSP：1.0mg/m</w:t>
                  </w:r>
                  <w:r>
                    <w:rPr>
                      <w:rFonts w:ascii="Times New Roman" w:hAnsi="Times New Roman" w:cs="Times New Roman"/>
                      <w:color w:val="auto"/>
                      <w:spacing w:val="6"/>
                      <w:sz w:val="21"/>
                      <w:szCs w:val="21"/>
                      <w:highlight w:val="none"/>
                      <w:vertAlign w:val="superscript"/>
                      <w:lang w:eastAsia="zh-CN"/>
                    </w:rPr>
                    <w:t>3</w:t>
                  </w:r>
                  <w:r>
                    <w:rPr>
                      <w:rFonts w:ascii="Times New Roman" w:hAnsi="Times New Roman" w:cs="Times New Roman"/>
                      <w:color w:val="auto"/>
                      <w:spacing w:val="6"/>
                      <w:sz w:val="21"/>
                      <w:szCs w:val="21"/>
                      <w:highlight w:val="none"/>
                      <w:lang w:eastAsia="zh-CN"/>
                    </w:rPr>
                    <w:t>）</w:t>
                  </w:r>
                </w:p>
              </w:tc>
            </w:tr>
            <w:tr w14:paraId="336F7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0F5F0016">
                  <w:pPr>
                    <w:kinsoku/>
                    <w:jc w:val="center"/>
                    <w:rPr>
                      <w:rFonts w:ascii="Times New Roman" w:hAnsi="Times New Roman" w:eastAsia="宋体" w:cs="Times New Roman"/>
                      <w:color w:val="auto"/>
                      <w:highlight w:val="none"/>
                      <w:lang w:eastAsia="zh-CN"/>
                    </w:rPr>
                  </w:pPr>
                </w:p>
              </w:tc>
              <w:tc>
                <w:tcPr>
                  <w:tcW w:w="717" w:type="dxa"/>
                  <w:vMerge w:val="continue"/>
                  <w:vAlign w:val="center"/>
                </w:tcPr>
                <w:p w14:paraId="4A93077C">
                  <w:pPr>
                    <w:kinsoku/>
                    <w:jc w:val="center"/>
                    <w:rPr>
                      <w:rFonts w:ascii="Times New Roman" w:hAnsi="Times New Roman" w:eastAsia="宋体" w:cs="Times New Roman"/>
                      <w:color w:val="auto"/>
                      <w:highlight w:val="none"/>
                      <w:lang w:eastAsia="zh-CN"/>
                    </w:rPr>
                  </w:pPr>
                </w:p>
              </w:tc>
              <w:tc>
                <w:tcPr>
                  <w:tcW w:w="668" w:type="dxa"/>
                  <w:vAlign w:val="center"/>
                </w:tcPr>
                <w:p w14:paraId="0593026E">
                  <w:pPr>
                    <w:pStyle w:val="22"/>
                    <w:kinsoku/>
                    <w:spacing w:before="180"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7"/>
                      <w:sz w:val="21"/>
                      <w:szCs w:val="21"/>
                      <w:highlight w:val="none"/>
                    </w:rPr>
                    <w:t>非</w:t>
                  </w:r>
                  <w:r>
                    <w:rPr>
                      <w:rFonts w:ascii="Times New Roman" w:hAnsi="Times New Roman" w:cs="Times New Roman"/>
                      <w:color w:val="auto"/>
                      <w:sz w:val="21"/>
                      <w:szCs w:val="21"/>
                      <w:highlight w:val="none"/>
                    </w:rPr>
                    <w:t>甲烷总烃</w:t>
                  </w:r>
                </w:p>
              </w:tc>
              <w:tc>
                <w:tcPr>
                  <w:tcW w:w="5955" w:type="dxa"/>
                  <w:tcBorders>
                    <w:right w:val="single" w:color="000000" w:sz="4" w:space="0"/>
                  </w:tcBorders>
                  <w:vAlign w:val="center"/>
                </w:tcPr>
                <w:p w14:paraId="73D0FC64">
                  <w:pPr>
                    <w:pStyle w:val="22"/>
                    <w:kinsoku/>
                    <w:spacing w:before="180" w:line="227" w:lineRule="auto"/>
                    <w:jc w:val="both"/>
                    <w:rPr>
                      <w:rFonts w:ascii="Times New Roman" w:hAnsi="Times New Roman" w:cs="Times New Roman"/>
                      <w:color w:val="auto"/>
                      <w:sz w:val="21"/>
                      <w:szCs w:val="21"/>
                      <w:highlight w:val="none"/>
                      <w:lang w:eastAsia="zh-CN"/>
                    </w:rPr>
                  </w:pPr>
                  <w:r>
                    <w:rPr>
                      <w:rFonts w:ascii="Times New Roman" w:hAnsi="Times New Roman" w:cs="Times New Roman"/>
                      <w:color w:val="auto"/>
                      <w:spacing w:val="3"/>
                      <w:sz w:val="21"/>
                      <w:szCs w:val="21"/>
                      <w:highlight w:val="none"/>
                      <w:lang w:eastAsia="zh-CN"/>
                    </w:rPr>
                    <w:t>《陆上石油天然气开采工业大气污染物排放标准》（</w:t>
                  </w:r>
                  <w:r>
                    <w:rPr>
                      <w:rFonts w:ascii="Times New Roman" w:hAnsi="Times New Roman" w:cs="Times New Roman"/>
                      <w:color w:val="auto"/>
                      <w:sz w:val="21"/>
                      <w:szCs w:val="21"/>
                      <w:highlight w:val="none"/>
                      <w:lang w:eastAsia="zh-CN"/>
                    </w:rPr>
                    <w:t>GB</w:t>
                  </w:r>
                  <w:r>
                    <w:rPr>
                      <w:rFonts w:ascii="Times New Roman" w:hAnsi="Times New Roman" w:cs="Times New Roman"/>
                      <w:color w:val="auto"/>
                      <w:spacing w:val="3"/>
                      <w:sz w:val="21"/>
                      <w:szCs w:val="21"/>
                      <w:highlight w:val="none"/>
                      <w:lang w:eastAsia="zh-CN"/>
                    </w:rPr>
                    <w:t>39728</w:t>
                  </w:r>
                  <w:r>
                    <w:rPr>
                      <w:rFonts w:ascii="Times New Roman" w:hAnsi="Times New Roman" w:cs="Times New Roman"/>
                      <w:color w:val="auto"/>
                      <w:spacing w:val="2"/>
                      <w:sz w:val="21"/>
                      <w:szCs w:val="21"/>
                      <w:highlight w:val="none"/>
                      <w:lang w:eastAsia="zh-CN"/>
                    </w:rPr>
                    <w:t>-2020</w:t>
                  </w:r>
                  <w:r>
                    <w:rPr>
                      <w:rFonts w:ascii="Times New Roman" w:hAnsi="Times New Roman" w:cs="Times New Roman"/>
                      <w:color w:val="auto"/>
                      <w:spacing w:val="5"/>
                      <w:sz w:val="21"/>
                      <w:szCs w:val="21"/>
                      <w:highlight w:val="none"/>
                      <w:lang w:eastAsia="zh-CN"/>
                    </w:rPr>
                    <w:t>)（非甲烷总烃：4</w:t>
                  </w:r>
                  <w:r>
                    <w:rPr>
                      <w:rFonts w:ascii="Times New Roman" w:hAnsi="Times New Roman" w:cs="Times New Roman"/>
                      <w:color w:val="auto"/>
                      <w:sz w:val="21"/>
                      <w:szCs w:val="21"/>
                      <w:highlight w:val="none"/>
                      <w:lang w:eastAsia="zh-CN"/>
                    </w:rPr>
                    <w:t>mg</w:t>
                  </w:r>
                  <w:r>
                    <w:rPr>
                      <w:rFonts w:ascii="Times New Roman" w:hAnsi="Times New Roman" w:cs="Times New Roman"/>
                      <w:color w:val="auto"/>
                      <w:spacing w:val="5"/>
                      <w:sz w:val="21"/>
                      <w:szCs w:val="21"/>
                      <w:highlight w:val="none"/>
                      <w:lang w:eastAsia="zh-CN"/>
                    </w:rPr>
                    <w:t>/m</w:t>
                  </w:r>
                  <w:r>
                    <w:rPr>
                      <w:rFonts w:ascii="Times New Roman" w:hAnsi="Times New Roman" w:cs="Times New Roman"/>
                      <w:color w:val="auto"/>
                      <w:spacing w:val="5"/>
                      <w:sz w:val="21"/>
                      <w:szCs w:val="21"/>
                      <w:highlight w:val="none"/>
                      <w:vertAlign w:val="superscript"/>
                      <w:lang w:eastAsia="zh-CN"/>
                    </w:rPr>
                    <w:t>3</w:t>
                  </w:r>
                  <w:r>
                    <w:rPr>
                      <w:rFonts w:ascii="Times New Roman" w:hAnsi="Times New Roman" w:cs="Times New Roman"/>
                      <w:color w:val="auto"/>
                      <w:spacing w:val="5"/>
                      <w:sz w:val="21"/>
                      <w:szCs w:val="21"/>
                      <w:highlight w:val="none"/>
                      <w:lang w:eastAsia="zh-CN"/>
                    </w:rPr>
                    <w:t>）</w:t>
                  </w:r>
                </w:p>
              </w:tc>
            </w:tr>
            <w:tr w14:paraId="6A37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575A2C39">
                  <w:pPr>
                    <w:kinsoku/>
                    <w:jc w:val="center"/>
                    <w:rPr>
                      <w:rFonts w:ascii="Times New Roman" w:hAnsi="Times New Roman" w:eastAsia="宋体" w:cs="Times New Roman"/>
                      <w:color w:val="auto"/>
                      <w:highlight w:val="none"/>
                      <w:lang w:eastAsia="zh-CN"/>
                    </w:rPr>
                  </w:pPr>
                </w:p>
              </w:tc>
              <w:tc>
                <w:tcPr>
                  <w:tcW w:w="717" w:type="dxa"/>
                  <w:vMerge w:val="continue"/>
                  <w:vAlign w:val="center"/>
                </w:tcPr>
                <w:p w14:paraId="395F6DF5">
                  <w:pPr>
                    <w:kinsoku/>
                    <w:jc w:val="center"/>
                    <w:rPr>
                      <w:rFonts w:ascii="Times New Roman" w:hAnsi="Times New Roman" w:eastAsia="宋体" w:cs="Times New Roman"/>
                      <w:color w:val="auto"/>
                      <w:highlight w:val="none"/>
                      <w:lang w:eastAsia="zh-CN"/>
                    </w:rPr>
                  </w:pPr>
                </w:p>
              </w:tc>
              <w:tc>
                <w:tcPr>
                  <w:tcW w:w="668" w:type="dxa"/>
                  <w:vAlign w:val="center"/>
                </w:tcPr>
                <w:p w14:paraId="1D0A3562">
                  <w:pPr>
                    <w:pStyle w:val="22"/>
                    <w:kinsoku/>
                    <w:spacing w:before="65" w:line="228" w:lineRule="auto"/>
                    <w:jc w:val="center"/>
                    <w:rPr>
                      <w:rFonts w:ascii="Times New Roman" w:hAnsi="Times New Roman" w:cs="Times New Roman"/>
                      <w:color w:val="auto"/>
                      <w:spacing w:val="6"/>
                      <w:sz w:val="21"/>
                      <w:szCs w:val="21"/>
                      <w:highlight w:val="none"/>
                    </w:rPr>
                  </w:pPr>
                  <w:r>
                    <w:rPr>
                      <w:rFonts w:ascii="Times New Roman" w:hAnsi="Times New Roman" w:cs="Times New Roman"/>
                      <w:color w:val="auto"/>
                      <w:spacing w:val="6"/>
                      <w:sz w:val="21"/>
                      <w:szCs w:val="21"/>
                      <w:highlight w:val="none"/>
                    </w:rPr>
                    <w:t>H</w:t>
                  </w:r>
                  <w:r>
                    <w:rPr>
                      <w:rFonts w:ascii="Times New Roman" w:hAnsi="Times New Roman" w:cs="Times New Roman"/>
                      <w:color w:val="auto"/>
                      <w:spacing w:val="6"/>
                      <w:sz w:val="21"/>
                      <w:szCs w:val="21"/>
                      <w:highlight w:val="none"/>
                      <w:vertAlign w:val="subscript"/>
                    </w:rPr>
                    <w:t>2</w:t>
                  </w:r>
                  <w:r>
                    <w:rPr>
                      <w:rFonts w:ascii="Times New Roman" w:hAnsi="Times New Roman" w:cs="Times New Roman"/>
                      <w:color w:val="auto"/>
                      <w:spacing w:val="6"/>
                      <w:sz w:val="21"/>
                      <w:szCs w:val="21"/>
                      <w:highlight w:val="none"/>
                    </w:rPr>
                    <w:t>S</w:t>
                  </w:r>
                </w:p>
              </w:tc>
              <w:tc>
                <w:tcPr>
                  <w:tcW w:w="5955" w:type="dxa"/>
                  <w:tcBorders>
                    <w:right w:val="single" w:color="000000" w:sz="4" w:space="0"/>
                  </w:tcBorders>
                  <w:vAlign w:val="center"/>
                </w:tcPr>
                <w:p w14:paraId="2BAEC13A">
                  <w:pPr>
                    <w:pStyle w:val="22"/>
                    <w:kinsoku/>
                    <w:spacing w:before="180" w:line="228" w:lineRule="auto"/>
                    <w:jc w:val="both"/>
                    <w:rPr>
                      <w:rFonts w:ascii="Times New Roman" w:hAnsi="Times New Roman" w:cs="Times New Roman"/>
                      <w:color w:val="auto"/>
                      <w:spacing w:val="7"/>
                      <w:sz w:val="21"/>
                      <w:szCs w:val="21"/>
                      <w:highlight w:val="none"/>
                      <w:lang w:eastAsia="zh-CN"/>
                    </w:rPr>
                  </w:pPr>
                  <w:r>
                    <w:rPr>
                      <w:rFonts w:ascii="Times New Roman" w:hAnsi="Times New Roman" w:cs="Times New Roman"/>
                      <w:color w:val="auto"/>
                      <w:spacing w:val="7"/>
                      <w:sz w:val="21"/>
                      <w:szCs w:val="21"/>
                      <w:highlight w:val="none"/>
                      <w:lang w:eastAsia="zh-CN"/>
                    </w:rPr>
                    <w:t>《恶臭污染物排放标准》（GB14554-93）中表1恶臭污染物厂界标准值二级新扩改建限值（H</w:t>
                  </w:r>
                  <w:r>
                    <w:rPr>
                      <w:rFonts w:ascii="Times New Roman" w:hAnsi="Times New Roman" w:cs="Times New Roman"/>
                      <w:color w:val="auto"/>
                      <w:spacing w:val="7"/>
                      <w:sz w:val="21"/>
                      <w:szCs w:val="21"/>
                      <w:highlight w:val="none"/>
                      <w:vertAlign w:val="subscript"/>
                      <w:lang w:eastAsia="zh-CN"/>
                    </w:rPr>
                    <w:t>2</w:t>
                  </w:r>
                  <w:r>
                    <w:rPr>
                      <w:rFonts w:ascii="Times New Roman" w:hAnsi="Times New Roman" w:cs="Times New Roman"/>
                      <w:color w:val="auto"/>
                      <w:spacing w:val="7"/>
                      <w:sz w:val="21"/>
                      <w:szCs w:val="21"/>
                      <w:highlight w:val="none"/>
                      <w:lang w:eastAsia="zh-CN"/>
                    </w:rPr>
                    <w:t>S厂界：0.06mg/m</w:t>
                  </w:r>
                  <w:r>
                    <w:rPr>
                      <w:rFonts w:ascii="Times New Roman" w:hAnsi="Times New Roman" w:cs="Times New Roman"/>
                      <w:color w:val="auto"/>
                      <w:spacing w:val="7"/>
                      <w:sz w:val="21"/>
                      <w:szCs w:val="21"/>
                      <w:highlight w:val="none"/>
                      <w:vertAlign w:val="superscript"/>
                      <w:lang w:eastAsia="zh-CN"/>
                    </w:rPr>
                    <w:t>3</w:t>
                  </w:r>
                  <w:r>
                    <w:rPr>
                      <w:rFonts w:ascii="Times New Roman" w:hAnsi="Times New Roman" w:cs="Times New Roman"/>
                      <w:color w:val="auto"/>
                      <w:spacing w:val="7"/>
                      <w:sz w:val="21"/>
                      <w:szCs w:val="21"/>
                      <w:highlight w:val="none"/>
                      <w:lang w:eastAsia="zh-CN"/>
                    </w:rPr>
                    <w:t>）</w:t>
                  </w:r>
                </w:p>
              </w:tc>
            </w:tr>
            <w:tr w14:paraId="7863B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71010C0B">
                  <w:pPr>
                    <w:kinsoku/>
                    <w:jc w:val="center"/>
                    <w:rPr>
                      <w:rFonts w:ascii="Times New Roman" w:hAnsi="Times New Roman" w:eastAsia="宋体" w:cs="Times New Roman"/>
                      <w:color w:val="auto"/>
                      <w:highlight w:val="none"/>
                      <w:lang w:eastAsia="zh-CN"/>
                    </w:rPr>
                  </w:pPr>
                </w:p>
              </w:tc>
              <w:tc>
                <w:tcPr>
                  <w:tcW w:w="717" w:type="dxa"/>
                  <w:vMerge w:val="continue"/>
                  <w:vAlign w:val="center"/>
                </w:tcPr>
                <w:p w14:paraId="5037EEDE">
                  <w:pPr>
                    <w:kinsoku/>
                    <w:jc w:val="center"/>
                    <w:rPr>
                      <w:rFonts w:ascii="Times New Roman" w:hAnsi="Times New Roman" w:eastAsia="宋体" w:cs="Times New Roman"/>
                      <w:color w:val="auto"/>
                      <w:highlight w:val="none"/>
                      <w:lang w:eastAsia="zh-CN"/>
                    </w:rPr>
                  </w:pPr>
                </w:p>
              </w:tc>
              <w:tc>
                <w:tcPr>
                  <w:tcW w:w="668" w:type="dxa"/>
                  <w:vAlign w:val="center"/>
                </w:tcPr>
                <w:p w14:paraId="0CD391A5">
                  <w:pPr>
                    <w:pStyle w:val="22"/>
                    <w:kinsoku/>
                    <w:spacing w:before="65" w:line="228" w:lineRule="auto"/>
                    <w:jc w:val="center"/>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锅炉废气</w:t>
                  </w:r>
                </w:p>
              </w:tc>
              <w:tc>
                <w:tcPr>
                  <w:tcW w:w="5955" w:type="dxa"/>
                  <w:tcBorders>
                    <w:right w:val="single" w:color="000000" w:sz="4" w:space="0"/>
                  </w:tcBorders>
                  <w:vAlign w:val="center"/>
                </w:tcPr>
                <w:p w14:paraId="2B8715FF">
                  <w:pPr>
                    <w:pStyle w:val="22"/>
                    <w:kinsoku/>
                    <w:spacing w:before="180" w:line="228" w:lineRule="auto"/>
                    <w:jc w:val="both"/>
                    <w:rPr>
                      <w:rFonts w:ascii="Times New Roman" w:hAnsi="Times New Roman" w:cs="Times New Roman"/>
                      <w:color w:val="auto"/>
                      <w:spacing w:val="7"/>
                      <w:sz w:val="21"/>
                      <w:szCs w:val="21"/>
                      <w:highlight w:val="none"/>
                      <w:lang w:eastAsia="zh-CN"/>
                    </w:rPr>
                  </w:pPr>
                  <w:r>
                    <w:rPr>
                      <w:rFonts w:ascii="Times New Roman" w:hAnsi="Times New Roman" w:cs="Times New Roman"/>
                      <w:color w:val="auto"/>
                      <w:spacing w:val="7"/>
                      <w:sz w:val="21"/>
                      <w:szCs w:val="21"/>
                      <w:highlight w:val="none"/>
                      <w:lang w:eastAsia="zh-CN"/>
                    </w:rPr>
                    <w:t>《锅炉大气污染物排放标准》（GB13271-2014）中表</w:t>
                  </w:r>
                  <w:r>
                    <w:rPr>
                      <w:rFonts w:hint="eastAsia" w:ascii="Times New Roman" w:hAnsi="Times New Roman" w:cs="Times New Roman"/>
                      <w:color w:val="auto"/>
                      <w:spacing w:val="7"/>
                      <w:sz w:val="21"/>
                      <w:szCs w:val="21"/>
                      <w:highlight w:val="none"/>
                      <w:lang w:val="en-US" w:eastAsia="zh-CN"/>
                    </w:rPr>
                    <w:t>3燃煤</w:t>
                  </w:r>
                  <w:r>
                    <w:rPr>
                      <w:rFonts w:ascii="Times New Roman" w:hAnsi="Times New Roman" w:cs="Times New Roman"/>
                      <w:color w:val="auto"/>
                      <w:spacing w:val="7"/>
                      <w:sz w:val="21"/>
                      <w:szCs w:val="21"/>
                      <w:highlight w:val="none"/>
                      <w:lang w:eastAsia="zh-CN"/>
                    </w:rPr>
                    <w:t>锅炉排放限值</w:t>
                  </w:r>
                </w:p>
              </w:tc>
            </w:tr>
            <w:tr w14:paraId="57E2E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2403E257">
                  <w:pPr>
                    <w:kinsoku/>
                    <w:jc w:val="center"/>
                    <w:rPr>
                      <w:rFonts w:ascii="Times New Roman" w:hAnsi="Times New Roman" w:eastAsia="宋体" w:cs="Times New Roman"/>
                      <w:color w:val="auto"/>
                      <w:highlight w:val="none"/>
                      <w:lang w:eastAsia="zh-CN"/>
                    </w:rPr>
                  </w:pPr>
                </w:p>
              </w:tc>
              <w:tc>
                <w:tcPr>
                  <w:tcW w:w="717" w:type="dxa"/>
                  <w:vAlign w:val="center"/>
                </w:tcPr>
                <w:p w14:paraId="440EDBE0">
                  <w:pPr>
                    <w:pStyle w:val="22"/>
                    <w:kinsoku/>
                    <w:spacing w:before="149" w:line="213"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噪声</w:t>
                  </w:r>
                </w:p>
              </w:tc>
              <w:tc>
                <w:tcPr>
                  <w:tcW w:w="668" w:type="dxa"/>
                  <w:vAlign w:val="center"/>
                </w:tcPr>
                <w:p w14:paraId="09160A07">
                  <w:pPr>
                    <w:pStyle w:val="22"/>
                    <w:kinsoku/>
                    <w:spacing w:before="65" w:line="228" w:lineRule="auto"/>
                    <w:jc w:val="center"/>
                    <w:rPr>
                      <w:rFonts w:ascii="Times New Roman" w:hAnsi="Times New Roman" w:cs="Times New Roman"/>
                      <w:color w:val="auto"/>
                      <w:spacing w:val="6"/>
                      <w:sz w:val="21"/>
                      <w:szCs w:val="21"/>
                      <w:highlight w:val="none"/>
                    </w:rPr>
                  </w:pPr>
                  <w:r>
                    <w:rPr>
                      <w:rFonts w:ascii="Times New Roman" w:hAnsi="Times New Roman" w:cs="Times New Roman"/>
                      <w:color w:val="auto"/>
                      <w:spacing w:val="6"/>
                      <w:sz w:val="21"/>
                      <w:szCs w:val="21"/>
                      <w:highlight w:val="none"/>
                    </w:rPr>
                    <w:t>施工期井场噪声</w:t>
                  </w:r>
                </w:p>
              </w:tc>
              <w:tc>
                <w:tcPr>
                  <w:tcW w:w="5955" w:type="dxa"/>
                  <w:tcBorders>
                    <w:right w:val="single" w:color="000000" w:sz="4" w:space="0"/>
                  </w:tcBorders>
                  <w:vAlign w:val="center"/>
                </w:tcPr>
                <w:p w14:paraId="2D8B665E">
                  <w:pPr>
                    <w:pStyle w:val="22"/>
                    <w:kinsoku/>
                    <w:spacing w:before="65" w:line="228" w:lineRule="auto"/>
                    <w:jc w:val="both"/>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《建筑施工噪声排放标准》（GB12523-2025）（昼间：70dB（A）、夜间：55dB（A））</w:t>
                  </w:r>
                </w:p>
              </w:tc>
            </w:tr>
            <w:tr w14:paraId="29603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36513176">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污染</w:t>
                  </w:r>
                  <w:r>
                    <w:rPr>
                      <w:rFonts w:ascii="Times New Roman" w:hAnsi="Times New Roman" w:cs="Times New Roman"/>
                      <w:color w:val="auto"/>
                      <w:spacing w:val="5"/>
                      <w:sz w:val="21"/>
                      <w:szCs w:val="21"/>
                      <w:highlight w:val="none"/>
                    </w:rPr>
                    <w:t>控制</w:t>
                  </w:r>
                  <w:r>
                    <w:rPr>
                      <w:rFonts w:ascii="Times New Roman" w:hAnsi="Times New Roman" w:cs="Times New Roman"/>
                      <w:color w:val="auto"/>
                      <w:spacing w:val="4"/>
                      <w:sz w:val="21"/>
                      <w:szCs w:val="21"/>
                      <w:highlight w:val="none"/>
                    </w:rPr>
                    <w:t>标准</w:t>
                  </w:r>
                </w:p>
              </w:tc>
              <w:tc>
                <w:tcPr>
                  <w:tcW w:w="717" w:type="dxa"/>
                  <w:vAlign w:val="center"/>
                </w:tcPr>
                <w:p w14:paraId="63E33975">
                  <w:pPr>
                    <w:pStyle w:val="22"/>
                    <w:kinsoku/>
                    <w:spacing w:before="138" w:line="217"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一般固废</w:t>
                  </w:r>
                </w:p>
              </w:tc>
              <w:tc>
                <w:tcPr>
                  <w:tcW w:w="668" w:type="dxa"/>
                  <w:vAlign w:val="center"/>
                </w:tcPr>
                <w:p w14:paraId="1F20232F">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6"/>
                      <w:sz w:val="21"/>
                      <w:szCs w:val="21"/>
                      <w:highlight w:val="none"/>
                    </w:rPr>
                    <w:t>水基岩屑</w:t>
                  </w:r>
                </w:p>
              </w:tc>
              <w:tc>
                <w:tcPr>
                  <w:tcW w:w="5955" w:type="dxa"/>
                  <w:tcBorders>
                    <w:right w:val="single" w:color="000000" w:sz="4" w:space="0"/>
                  </w:tcBorders>
                  <w:vAlign w:val="center"/>
                </w:tcPr>
                <w:p w14:paraId="2EF28835">
                  <w:pPr>
                    <w:pStyle w:val="22"/>
                    <w:kinsoku/>
                    <w:spacing w:before="65" w:line="228" w:lineRule="auto"/>
                    <w:jc w:val="both"/>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《一般工业固体废物贮存和填埋污染控制标准》（GB18599-2020)</w:t>
                  </w:r>
                </w:p>
              </w:tc>
            </w:tr>
            <w:tr w14:paraId="6672F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6AABF05B">
                  <w:pPr>
                    <w:kinsoku/>
                    <w:jc w:val="center"/>
                    <w:rPr>
                      <w:rFonts w:ascii="Times New Roman" w:hAnsi="Times New Roman" w:eastAsia="宋体" w:cs="Times New Roman"/>
                      <w:color w:val="auto"/>
                      <w:highlight w:val="none"/>
                      <w:lang w:eastAsia="zh-CN"/>
                    </w:rPr>
                  </w:pPr>
                </w:p>
              </w:tc>
              <w:tc>
                <w:tcPr>
                  <w:tcW w:w="717" w:type="dxa"/>
                  <w:vAlign w:val="center"/>
                </w:tcPr>
                <w:p w14:paraId="6130B1D7">
                  <w:pPr>
                    <w:pStyle w:val="22"/>
                    <w:kinsoku/>
                    <w:spacing w:before="138" w:line="217"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rPr>
                    <w:t>危险废物</w:t>
                  </w:r>
                </w:p>
              </w:tc>
              <w:tc>
                <w:tcPr>
                  <w:tcW w:w="668" w:type="dxa"/>
                  <w:vAlign w:val="center"/>
                </w:tcPr>
                <w:p w14:paraId="24237CB1">
                  <w:pPr>
                    <w:pStyle w:val="22"/>
                    <w:kinsoku/>
                    <w:spacing w:before="168" w:line="228"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3"/>
                      <w:sz w:val="21"/>
                      <w:szCs w:val="21"/>
                      <w:highlight w:val="none"/>
                      <w:lang w:eastAsia="zh-CN"/>
                    </w:rPr>
                    <w:t>废防渗</w:t>
                  </w:r>
                  <w:r>
                    <w:rPr>
                      <w:rFonts w:ascii="Times New Roman" w:hAnsi="Times New Roman" w:cs="Times New Roman"/>
                      <w:color w:val="auto"/>
                      <w:spacing w:val="4"/>
                      <w:sz w:val="21"/>
                      <w:szCs w:val="21"/>
                      <w:highlight w:val="none"/>
                      <w:lang w:eastAsia="zh-CN"/>
                    </w:rPr>
                    <w:t>材料</w:t>
                  </w:r>
                </w:p>
              </w:tc>
              <w:tc>
                <w:tcPr>
                  <w:tcW w:w="5955" w:type="dxa"/>
                  <w:tcBorders>
                    <w:right w:val="single" w:color="000000" w:sz="4" w:space="0"/>
                  </w:tcBorders>
                  <w:vAlign w:val="center"/>
                </w:tcPr>
                <w:p w14:paraId="0073683F">
                  <w:pPr>
                    <w:pStyle w:val="22"/>
                    <w:kinsoku/>
                    <w:spacing w:before="32" w:line="228" w:lineRule="auto"/>
                    <w:jc w:val="both"/>
                    <w:rPr>
                      <w:rFonts w:ascii="Times New Roman" w:hAnsi="Times New Roman" w:cs="Times New Roman"/>
                      <w:color w:val="auto"/>
                      <w:sz w:val="21"/>
                      <w:szCs w:val="21"/>
                      <w:highlight w:val="none"/>
                      <w:lang w:eastAsia="zh-CN"/>
                    </w:rPr>
                  </w:pPr>
                  <w:r>
                    <w:rPr>
                      <w:rFonts w:ascii="Times New Roman" w:hAnsi="Times New Roman" w:cs="Times New Roman"/>
                      <w:color w:val="auto"/>
                      <w:spacing w:val="3"/>
                      <w:sz w:val="21"/>
                      <w:szCs w:val="21"/>
                      <w:highlight w:val="none"/>
                      <w:lang w:eastAsia="zh-CN"/>
                    </w:rPr>
                    <w:t>《油气田钻井固体废弃物综合利用污染物控</w:t>
                  </w:r>
                  <w:r>
                    <w:rPr>
                      <w:rFonts w:ascii="Times New Roman" w:hAnsi="Times New Roman" w:cs="Times New Roman"/>
                      <w:color w:val="auto"/>
                      <w:spacing w:val="2"/>
                      <w:sz w:val="21"/>
                      <w:szCs w:val="21"/>
                      <w:highlight w:val="none"/>
                      <w:lang w:eastAsia="zh-CN"/>
                    </w:rPr>
                    <w:t>制要求》（</w:t>
                  </w:r>
                  <w:r>
                    <w:rPr>
                      <w:rFonts w:ascii="Times New Roman" w:hAnsi="Times New Roman" w:cs="Times New Roman"/>
                      <w:color w:val="auto"/>
                      <w:sz w:val="21"/>
                      <w:szCs w:val="21"/>
                      <w:highlight w:val="none"/>
                      <w:lang w:eastAsia="zh-CN"/>
                    </w:rPr>
                    <w:t>DB 65/T 3997-2017</w:t>
                  </w:r>
                  <w:r>
                    <w:rPr>
                      <w:rFonts w:ascii="Times New Roman" w:hAnsi="Times New Roman" w:cs="Times New Roman"/>
                      <w:color w:val="auto"/>
                      <w:spacing w:val="2"/>
                      <w:sz w:val="21"/>
                      <w:szCs w:val="21"/>
                      <w:highlight w:val="none"/>
                      <w:lang w:eastAsia="zh-CN"/>
                    </w:rPr>
                    <w:t>）</w:t>
                  </w:r>
                  <w:r>
                    <w:rPr>
                      <w:rFonts w:ascii="Times New Roman" w:hAnsi="Times New Roman" w:cs="Times New Roman"/>
                      <w:color w:val="auto"/>
                      <w:spacing w:val="7"/>
                      <w:sz w:val="21"/>
                      <w:szCs w:val="21"/>
                      <w:highlight w:val="none"/>
                      <w:lang w:eastAsia="zh-CN"/>
                    </w:rPr>
                    <w:t>《危险废物贮存污染控制标准》（</w:t>
                  </w:r>
                  <w:r>
                    <w:rPr>
                      <w:rFonts w:ascii="Times New Roman" w:hAnsi="Times New Roman" w:cs="Times New Roman"/>
                      <w:color w:val="auto"/>
                      <w:sz w:val="21"/>
                      <w:szCs w:val="21"/>
                      <w:highlight w:val="none"/>
                      <w:lang w:eastAsia="zh-CN"/>
                    </w:rPr>
                    <w:t>GB</w:t>
                  </w:r>
                  <w:r>
                    <w:rPr>
                      <w:rFonts w:ascii="Times New Roman" w:hAnsi="Times New Roman" w:cs="Times New Roman"/>
                      <w:color w:val="auto"/>
                      <w:spacing w:val="7"/>
                      <w:sz w:val="21"/>
                      <w:szCs w:val="21"/>
                      <w:highlight w:val="none"/>
                      <w:lang w:eastAsia="zh-CN"/>
                    </w:rPr>
                    <w:t>18597-2023）《危险废物收集贮存运输技术规范》（HJ2025-2012）</w:t>
                  </w:r>
                  <w:r>
                    <w:rPr>
                      <w:rFonts w:hint="eastAsia" w:ascii="Times New Roman" w:hAnsi="Times New Roman" w:cs="Times New Roman"/>
                      <w:color w:val="auto"/>
                      <w:spacing w:val="7"/>
                      <w:sz w:val="21"/>
                      <w:szCs w:val="21"/>
                      <w:highlight w:val="none"/>
                      <w:lang w:eastAsia="zh-CN"/>
                    </w:rPr>
                    <w:t>；</w:t>
                  </w:r>
                  <w:r>
                    <w:rPr>
                      <w:rFonts w:ascii="Times New Roman" w:hAnsi="Times New Roman" w:cs="Times New Roman"/>
                      <w:color w:val="auto"/>
                      <w:spacing w:val="7"/>
                      <w:sz w:val="21"/>
                      <w:szCs w:val="21"/>
                      <w:highlight w:val="none"/>
                      <w:lang w:eastAsia="zh-CN"/>
                    </w:rPr>
                    <w:t>《危险废物转移管理办法》（生态环境部 公安部 交通运输部 部令 第23号）</w:t>
                  </w:r>
                </w:p>
              </w:tc>
            </w:tr>
          </w:tbl>
          <w:p w14:paraId="63D986D3">
            <w:pPr>
              <w:pStyle w:val="22"/>
              <w:kinsoku/>
              <w:spacing w:before="65" w:line="228" w:lineRule="auto"/>
              <w:jc w:val="both"/>
              <w:rPr>
                <w:rFonts w:ascii="Times New Roman" w:hAnsi="Times New Roman" w:cs="Times New Roman"/>
                <w:color w:val="auto"/>
                <w:spacing w:val="-4"/>
                <w:sz w:val="24"/>
                <w:szCs w:val="24"/>
                <w:highlight w:val="none"/>
                <w:lang w:eastAsia="zh-CN"/>
              </w:rPr>
            </w:pPr>
          </w:p>
        </w:tc>
      </w:tr>
      <w:tr w14:paraId="0EB8B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jc w:val="center"/>
        </w:trPr>
        <w:tc>
          <w:tcPr>
            <w:tcW w:w="991" w:type="dxa"/>
            <w:tcBorders>
              <w:top w:val="single" w:color="auto" w:sz="4" w:space="0"/>
              <w:left w:val="single" w:color="auto" w:sz="4" w:space="0"/>
              <w:bottom w:val="single" w:color="auto" w:sz="4" w:space="0"/>
            </w:tcBorders>
            <w:vAlign w:val="center"/>
          </w:tcPr>
          <w:p w14:paraId="0E9E211E">
            <w:pPr>
              <w:pStyle w:val="22"/>
              <w:kinsoku/>
              <w:spacing w:before="65" w:line="228" w:lineRule="auto"/>
              <w:jc w:val="center"/>
              <w:rPr>
                <w:rFonts w:ascii="Times New Roman" w:hAnsi="Times New Roman" w:cs="Times New Roman"/>
                <w:color w:val="auto"/>
                <w:sz w:val="24"/>
                <w:szCs w:val="24"/>
                <w:highlight w:val="none"/>
              </w:rPr>
            </w:pPr>
            <w:r>
              <w:rPr>
                <w:rFonts w:ascii="Times New Roman" w:hAnsi="Times New Roman" w:cs="Times New Roman"/>
                <w:color w:val="auto"/>
                <w:spacing w:val="10"/>
                <w:sz w:val="24"/>
                <w:szCs w:val="24"/>
                <w:highlight w:val="none"/>
              </w:rPr>
              <w:t>其他</w:t>
            </w:r>
          </w:p>
        </w:tc>
        <w:tc>
          <w:tcPr>
            <w:tcW w:w="8108" w:type="dxa"/>
            <w:tcBorders>
              <w:top w:val="single" w:color="auto" w:sz="4" w:space="0"/>
              <w:bottom w:val="single" w:color="auto" w:sz="4" w:space="0"/>
              <w:right w:val="single" w:color="auto" w:sz="4" w:space="0"/>
            </w:tcBorders>
            <w:vAlign w:val="center"/>
          </w:tcPr>
          <w:p w14:paraId="560EBEC0">
            <w:pPr>
              <w:pStyle w:val="22"/>
              <w:kinsoku/>
              <w:spacing w:line="360" w:lineRule="auto"/>
              <w:ind w:firstLine="480" w:firstLineChars="200"/>
              <w:jc w:val="both"/>
              <w:rPr>
                <w:rFonts w:ascii="Times New Roman" w:hAnsi="Times New Roman" w:cs="Times New Roman"/>
                <w:color w:val="auto"/>
                <w:spacing w:val="10"/>
                <w:sz w:val="24"/>
                <w:szCs w:val="24"/>
                <w:highlight w:val="none"/>
                <w:lang w:eastAsia="zh-CN"/>
              </w:rPr>
            </w:pPr>
            <w:r>
              <w:rPr>
                <w:rFonts w:ascii="宋体" w:hAnsi="宋体" w:eastAsia="宋体" w:cs="宋体"/>
                <w:color w:val="auto"/>
                <w:sz w:val="24"/>
                <w:szCs w:val="24"/>
              </w:rPr>
              <w:t>本项目为油气资源勘探性质，具有显著的临时性和流动性。项目冬季施工期配置的生物质锅炉仅用于井场临时供暖及设备保温，使用周期短（约60天），且随钻试工程结束即行拆除，不属于永久性固定污染源。根据《建设项目主要污染物排放总量指标审核及管理暂行办法》及相关环评管理惯例，本项目施工期产生的污染物即便纳入统计，也不占用区域长期的主要污染物排放总量指标。因此，本项目不设置需通过区域削减替代获取的长期总量控制指标，建设单位承诺严格落实废气治理措施，确保施工期污染物达标排放，施工结束后及时拆除相关设施，恢复环境本底</w:t>
            </w:r>
            <w:r>
              <w:rPr>
                <w:rFonts w:ascii="Times New Roman" w:hAnsi="Times New Roman" w:cs="Times New Roman"/>
                <w:color w:val="auto"/>
                <w:spacing w:val="10"/>
                <w:sz w:val="24"/>
                <w:szCs w:val="24"/>
                <w:highlight w:val="none"/>
                <w:lang w:eastAsia="zh-CN"/>
              </w:rPr>
              <w:t>。</w:t>
            </w:r>
          </w:p>
        </w:tc>
      </w:tr>
    </w:tbl>
    <w:p w14:paraId="60A37643">
      <w:pPr>
        <w:kinsoku/>
        <w:spacing w:before="101" w:line="360" w:lineRule="auto"/>
        <w:jc w:val="center"/>
        <w:outlineLvl w:val="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3"/>
          <w:sz w:val="30"/>
          <w:szCs w:val="30"/>
          <w:highlight w:val="none"/>
          <w:lang w:eastAsia="zh-CN"/>
        </w:rPr>
        <w:br w:type="column"/>
      </w:r>
      <w:r>
        <w:rPr>
          <w:rFonts w:ascii="Times New Roman" w:hAnsi="Times New Roman" w:eastAsia="宋体" w:cs="Times New Roman"/>
          <w:b/>
          <w:bCs/>
          <w:color w:val="auto"/>
          <w:spacing w:val="3"/>
          <w:sz w:val="30"/>
          <w:szCs w:val="30"/>
          <w:highlight w:val="none"/>
        </w:rPr>
        <w:t>四、生态环境影响分析</w:t>
      </w:r>
    </w:p>
    <w:tbl>
      <w:tblPr>
        <w:tblStyle w:val="16"/>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316"/>
      </w:tblGrid>
      <w:tr w14:paraId="29F0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578" w:type="dxa"/>
            <w:vAlign w:val="center"/>
          </w:tcPr>
          <w:p w14:paraId="79FCD129">
            <w:pPr>
              <w:widowControl w:val="0"/>
              <w:kinsoku/>
              <w:spacing w:line="360" w:lineRule="auto"/>
              <w:jc w:val="center"/>
              <w:rPr>
                <w:rFonts w:ascii="Times New Roman" w:hAnsi="Times New Roman" w:eastAsia="宋体" w:cs="Times New Roman"/>
                <w:color w:val="auto"/>
                <w:sz w:val="24"/>
                <w:szCs w:val="24"/>
                <w:highlight w:val="none"/>
                <w:lang w:eastAsia="zh-CN"/>
              </w:rPr>
            </w:pPr>
            <w:bookmarkStart w:id="18" w:name="OLE_LINK45"/>
            <w:r>
              <w:rPr>
                <w:rFonts w:ascii="Times New Roman" w:hAnsi="Times New Roman" w:eastAsia="宋体" w:cs="Times New Roman"/>
                <w:color w:val="auto"/>
                <w:sz w:val="24"/>
                <w:szCs w:val="24"/>
                <w:highlight w:val="none"/>
                <w:lang w:eastAsia="zh-CN"/>
              </w:rPr>
              <w:t>施工期生态环境影响分析</w:t>
            </w:r>
            <w:bookmarkEnd w:id="18"/>
          </w:p>
        </w:tc>
        <w:tc>
          <w:tcPr>
            <w:tcW w:w="8290" w:type="dxa"/>
          </w:tcPr>
          <w:p w14:paraId="72F11684">
            <w:pPr>
              <w:pStyle w:val="22"/>
              <w:widowControl w:val="0"/>
              <w:kinsoku/>
              <w:spacing w:before="39" w:line="360" w:lineRule="auto"/>
              <w:ind w:left="13"/>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6"/>
                <w:sz w:val="24"/>
                <w:szCs w:val="24"/>
                <w:highlight w:val="none"/>
                <w:lang w:eastAsia="zh-CN"/>
              </w:rPr>
              <w:t>1</w:t>
            </w:r>
            <w:r>
              <w:rPr>
                <w:rFonts w:ascii="Times New Roman" w:hAnsi="Times New Roman" w:cs="Times New Roman"/>
                <w:b/>
                <w:bCs/>
                <w:color w:val="auto"/>
                <w:spacing w:val="-34"/>
                <w:sz w:val="24"/>
                <w:szCs w:val="24"/>
                <w:highlight w:val="none"/>
                <w:lang w:eastAsia="zh-CN"/>
              </w:rPr>
              <w:t>.</w:t>
            </w:r>
            <w:r>
              <w:rPr>
                <w:rFonts w:ascii="Times New Roman" w:hAnsi="Times New Roman" w:cs="Times New Roman"/>
                <w:b/>
                <w:bCs/>
                <w:color w:val="auto"/>
                <w:spacing w:val="-6"/>
                <w:sz w:val="24"/>
                <w:szCs w:val="24"/>
                <w:highlight w:val="none"/>
                <w:lang w:eastAsia="zh-CN"/>
              </w:rPr>
              <w:t>生态环境影响分析</w:t>
            </w:r>
          </w:p>
          <w:p w14:paraId="25F9B347">
            <w:pPr>
              <w:pStyle w:val="22"/>
              <w:widowControl w:val="0"/>
              <w:kinsoku/>
              <w:spacing w:line="360" w:lineRule="auto"/>
              <w:ind w:left="11"/>
              <w:jc w:val="both"/>
              <w:rPr>
                <w:rFonts w:ascii="Times New Roman" w:hAnsi="Times New Roman" w:cs="Times New Roman"/>
                <w:b/>
                <w:bCs/>
                <w:color w:val="auto"/>
                <w:spacing w:val="-3"/>
                <w:sz w:val="24"/>
                <w:szCs w:val="24"/>
                <w:highlight w:val="none"/>
                <w:lang w:eastAsia="zh-CN"/>
              </w:rPr>
            </w:pPr>
            <w:r>
              <w:rPr>
                <w:rFonts w:ascii="Times New Roman" w:hAnsi="Times New Roman" w:cs="Times New Roman"/>
                <w:b/>
                <w:bCs/>
                <w:color w:val="auto"/>
                <w:spacing w:val="-3"/>
                <w:sz w:val="24"/>
                <w:szCs w:val="24"/>
                <w:highlight w:val="none"/>
                <w:lang w:eastAsia="zh-CN"/>
              </w:rPr>
              <w:t>1.1生态环境影响因素及类型</w:t>
            </w:r>
          </w:p>
          <w:p w14:paraId="775F5EDD">
            <w:pPr>
              <w:pStyle w:val="22"/>
              <w:widowControl w:val="0"/>
              <w:kinsoku/>
              <w:spacing w:line="360" w:lineRule="auto"/>
              <w:ind w:left="11"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本项目道路施工过程中不可避免地会对周围生</w:t>
            </w:r>
            <w:r>
              <w:rPr>
                <w:rFonts w:ascii="Times New Roman" w:hAnsi="Times New Roman" w:cs="Times New Roman"/>
                <w:color w:val="auto"/>
                <w:spacing w:val="-1"/>
                <w:sz w:val="24"/>
                <w:szCs w:val="24"/>
                <w:highlight w:val="none"/>
                <w:lang w:eastAsia="zh-CN"/>
              </w:rPr>
              <w:t>态环境造成不同程度的污染</w:t>
            </w:r>
            <w:r>
              <w:rPr>
                <w:rFonts w:ascii="Times New Roman" w:hAnsi="Times New Roman" w:cs="Times New Roman"/>
                <w:color w:val="auto"/>
                <w:spacing w:val="-3"/>
                <w:sz w:val="24"/>
                <w:szCs w:val="24"/>
                <w:highlight w:val="none"/>
                <w:lang w:eastAsia="zh-CN"/>
              </w:rPr>
              <w:t>和破坏。</w:t>
            </w:r>
          </w:p>
          <w:p w14:paraId="20C74DB5">
            <w:pPr>
              <w:pStyle w:val="22"/>
              <w:widowControl w:val="0"/>
              <w:kinsoku/>
              <w:spacing w:before="1" w:line="360" w:lineRule="auto"/>
              <w:ind w:left="496"/>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2"/>
                <w:sz w:val="24"/>
                <w:szCs w:val="24"/>
                <w:highlight w:val="none"/>
                <w:lang w:eastAsia="zh-CN"/>
              </w:rPr>
              <w:t>（1）生态环境影响类型</w:t>
            </w:r>
          </w:p>
          <w:p w14:paraId="18FCD154">
            <w:pPr>
              <w:pStyle w:val="22"/>
              <w:widowControl w:val="0"/>
              <w:kinsoku/>
              <w:spacing w:before="35" w:line="360" w:lineRule="auto"/>
              <w:ind w:left="5" w:right="4" w:firstLine="483" w:firstLineChars="205"/>
              <w:jc w:val="both"/>
              <w:rPr>
                <w:rFonts w:ascii="Times New Roman" w:hAnsi="Times New Roman" w:cs="Times New Roman"/>
                <w:color w:val="auto"/>
                <w:spacing w:val="-2"/>
                <w:sz w:val="24"/>
                <w:szCs w:val="24"/>
                <w:highlight w:val="none"/>
                <w:lang w:eastAsia="zh-CN"/>
              </w:rPr>
            </w:pPr>
            <w:r>
              <w:rPr>
                <w:rFonts w:ascii="Cambria Math" w:hAnsi="Cambria Math" w:cs="Cambria Math"/>
                <w:color w:val="auto"/>
                <w:spacing w:val="-2"/>
                <w:sz w:val="24"/>
                <w:szCs w:val="24"/>
                <w:highlight w:val="none"/>
                <w:lang w:eastAsia="zh-CN"/>
              </w:rPr>
              <w:t>①</w:t>
            </w:r>
            <w:r>
              <w:rPr>
                <w:rFonts w:ascii="Times New Roman" w:hAnsi="Times New Roman" w:cs="Times New Roman"/>
                <w:color w:val="auto"/>
                <w:spacing w:val="-2"/>
                <w:sz w:val="24"/>
                <w:szCs w:val="24"/>
                <w:highlight w:val="none"/>
                <w:lang w:eastAsia="zh-CN"/>
              </w:rPr>
              <w:t>占地对地表土壤、植被影响</w:t>
            </w:r>
          </w:p>
          <w:p w14:paraId="35F73C50">
            <w:pPr>
              <w:pStyle w:val="22"/>
              <w:widowControl w:val="0"/>
              <w:kinsoku/>
              <w:spacing w:before="35" w:line="360" w:lineRule="auto"/>
              <w:ind w:left="5" w:right="4" w:firstLine="483" w:firstLineChars="205"/>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2"/>
                <w:sz w:val="24"/>
                <w:szCs w:val="24"/>
                <w:highlight w:val="none"/>
                <w:lang w:eastAsia="zh-CN"/>
              </w:rPr>
              <w:t>井场、道路施工占地范围内土壤翻出、植被清除，将破坏地表原有稳定砾石层，加剧风蚀，改变原有生态系统结构</w:t>
            </w:r>
            <w:r>
              <w:rPr>
                <w:rFonts w:ascii="Times New Roman" w:hAnsi="Times New Roman" w:cs="Times New Roman"/>
                <w:color w:val="auto"/>
                <w:spacing w:val="-3"/>
                <w:sz w:val="24"/>
                <w:szCs w:val="24"/>
                <w:highlight w:val="none"/>
                <w:lang w:eastAsia="zh-CN"/>
              </w:rPr>
              <w:t>和功能，属</w:t>
            </w:r>
            <w:r>
              <w:rPr>
                <w:rFonts w:ascii="Times New Roman" w:hAnsi="Times New Roman" w:cs="Times New Roman"/>
                <w:color w:val="auto"/>
                <w:spacing w:val="-2"/>
                <w:sz w:val="24"/>
                <w:szCs w:val="24"/>
                <w:highlight w:val="none"/>
                <w:lang w:eastAsia="zh-CN"/>
              </w:rPr>
              <w:t>暂时性影响。施工完成后，临时性占地和影响将消除，使被破坏的生态环境逐步恢复。评价井和产能井封井前井场将会在原来连续分布的生态环境中形成生态斑点，产生地表温度、水分等物理异常，以及干扰地面植被和野生动物繁殖、迁移</w:t>
            </w:r>
            <w:r>
              <w:rPr>
                <w:rFonts w:ascii="Times New Roman" w:hAnsi="Times New Roman" w:cs="Times New Roman"/>
                <w:color w:val="auto"/>
                <w:spacing w:val="-1"/>
                <w:sz w:val="24"/>
                <w:szCs w:val="24"/>
                <w:highlight w:val="none"/>
                <w:lang w:eastAsia="zh-CN"/>
              </w:rPr>
              <w:t>和栖息，长久影响生态环境的类型和结构。</w:t>
            </w:r>
          </w:p>
          <w:p w14:paraId="68D196C3">
            <w:pPr>
              <w:pStyle w:val="22"/>
              <w:widowControl w:val="0"/>
              <w:kinsoku/>
              <w:spacing w:line="360" w:lineRule="auto"/>
              <w:ind w:left="482"/>
              <w:jc w:val="both"/>
              <w:rPr>
                <w:rFonts w:ascii="Times New Roman" w:hAnsi="Times New Roman" w:cs="Times New Roman"/>
                <w:color w:val="auto"/>
                <w:spacing w:val="-1"/>
                <w:sz w:val="24"/>
                <w:szCs w:val="24"/>
                <w:highlight w:val="none"/>
                <w:lang w:eastAsia="zh-CN"/>
              </w:rPr>
            </w:pPr>
            <w:r>
              <w:rPr>
                <w:rFonts w:ascii="Cambria Math" w:hAnsi="Cambria Math" w:cs="Cambria Math"/>
                <w:color w:val="auto"/>
                <w:spacing w:val="-1"/>
                <w:sz w:val="24"/>
                <w:szCs w:val="24"/>
                <w:highlight w:val="none"/>
                <w:lang w:eastAsia="zh-CN"/>
              </w:rPr>
              <w:t>②</w:t>
            </w:r>
            <w:r>
              <w:rPr>
                <w:rFonts w:ascii="Times New Roman" w:hAnsi="Times New Roman" w:cs="Times New Roman"/>
                <w:color w:val="auto"/>
                <w:spacing w:val="-1"/>
                <w:sz w:val="24"/>
                <w:szCs w:val="24"/>
                <w:highlight w:val="none"/>
                <w:lang w:eastAsia="zh-CN"/>
              </w:rPr>
              <w:t>污染物排放对生态环境的影响</w:t>
            </w:r>
          </w:p>
          <w:p w14:paraId="4B919E8A">
            <w:pPr>
              <w:pStyle w:val="22"/>
              <w:widowControl w:val="0"/>
              <w:kinsoku/>
              <w:spacing w:line="360" w:lineRule="auto"/>
              <w:ind w:firstLine="472"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2"/>
                <w:sz w:val="24"/>
                <w:szCs w:val="24"/>
                <w:highlight w:val="none"/>
                <w:lang w:eastAsia="zh-CN"/>
              </w:rPr>
              <w:t>本工程主要污染源集中在钻井工程，其污染源分布广、排放源强小，污染因子简单，具有影响的全方位性、综合性的特点，其对生态环境影响的途径和程度</w:t>
            </w:r>
            <w:r>
              <w:rPr>
                <w:rFonts w:ascii="Times New Roman" w:hAnsi="Times New Roman" w:cs="Times New Roman"/>
                <w:color w:val="auto"/>
                <w:sz w:val="24"/>
                <w:szCs w:val="24"/>
                <w:highlight w:val="none"/>
                <w:lang w:eastAsia="zh-CN"/>
              </w:rPr>
              <w:t>取决于水环境、空气环境、声环境被污染的程度和</w:t>
            </w:r>
            <w:r>
              <w:rPr>
                <w:rFonts w:ascii="Times New Roman" w:hAnsi="Times New Roman" w:cs="Times New Roman"/>
                <w:color w:val="auto"/>
                <w:spacing w:val="-1"/>
                <w:sz w:val="24"/>
                <w:szCs w:val="24"/>
                <w:highlight w:val="none"/>
                <w:lang w:eastAsia="zh-CN"/>
              </w:rPr>
              <w:t>固废的产生量及处置方式。</w:t>
            </w:r>
          </w:p>
          <w:p w14:paraId="2C7BFCF6">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（2）生态环境影响因素</w:t>
            </w:r>
          </w:p>
          <w:p w14:paraId="2BA42144">
            <w:pPr>
              <w:pStyle w:val="22"/>
              <w:widowControl w:val="0"/>
              <w:kinsoku/>
              <w:spacing w:line="360" w:lineRule="auto"/>
              <w:ind w:firstLine="472"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2"/>
                <w:sz w:val="24"/>
                <w:szCs w:val="24"/>
                <w:highlight w:val="none"/>
                <w:lang w:eastAsia="zh-CN"/>
              </w:rPr>
              <w:t>环境影响因素识别实际上是对主体的识别，包括主体工程和辅助工程。对于</w:t>
            </w:r>
            <w:r>
              <w:rPr>
                <w:rFonts w:ascii="Times New Roman" w:hAnsi="Times New Roman" w:cs="Times New Roman"/>
                <w:color w:val="auto"/>
                <w:spacing w:val="-1"/>
                <w:sz w:val="24"/>
                <w:szCs w:val="24"/>
                <w:highlight w:val="none"/>
                <w:lang w:eastAsia="zh-CN"/>
              </w:rPr>
              <w:t>本项目来讲，主要从钻井工程分析环境影响因素。</w:t>
            </w:r>
          </w:p>
          <w:p w14:paraId="529CF482">
            <w:pPr>
              <w:pStyle w:val="22"/>
              <w:widowControl w:val="0"/>
              <w:kinsoku/>
              <w:spacing w:before="2" w:line="360" w:lineRule="auto"/>
              <w:ind w:left="3" w:right="4" w:firstLine="481"/>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本项目部署新井2口，井场的平整会产生土方的</w:t>
            </w:r>
            <w:r>
              <w:rPr>
                <w:rFonts w:ascii="Times New Roman" w:hAnsi="Times New Roman" w:cs="Times New Roman"/>
                <w:color w:val="auto"/>
                <w:spacing w:val="-1"/>
                <w:sz w:val="24"/>
                <w:szCs w:val="24"/>
                <w:highlight w:val="none"/>
                <w:lang w:eastAsia="zh-CN"/>
              </w:rPr>
              <w:t>扰动；钻井过程中废物的排</w:t>
            </w:r>
            <w:r>
              <w:rPr>
                <w:rFonts w:ascii="Times New Roman" w:hAnsi="Times New Roman" w:cs="Times New Roman"/>
                <w:color w:val="auto"/>
                <w:spacing w:val="-2"/>
                <w:sz w:val="24"/>
                <w:szCs w:val="24"/>
                <w:highlight w:val="none"/>
                <w:lang w:eastAsia="zh-CN"/>
              </w:rPr>
              <w:t>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w:t>
            </w:r>
            <w:r>
              <w:rPr>
                <w:rFonts w:ascii="Times New Roman" w:hAnsi="Times New Roman" w:cs="Times New Roman"/>
                <w:color w:val="auto"/>
                <w:spacing w:val="-1"/>
                <w:sz w:val="24"/>
                <w:szCs w:val="24"/>
                <w:highlight w:val="none"/>
                <w:lang w:eastAsia="zh-CN"/>
              </w:rPr>
              <w:t>用，可有效减轻钻井过程对生态环境的影响。</w:t>
            </w:r>
          </w:p>
          <w:p w14:paraId="6A5D1204">
            <w:pPr>
              <w:pStyle w:val="22"/>
              <w:widowControl w:val="0"/>
              <w:kinsoku/>
              <w:spacing w:line="360" w:lineRule="auto"/>
              <w:ind w:left="11"/>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3"/>
                <w:sz w:val="24"/>
                <w:szCs w:val="24"/>
                <w:highlight w:val="none"/>
                <w:lang w:eastAsia="zh-CN"/>
              </w:rPr>
              <w:t>1.2对植被的影响分析</w:t>
            </w:r>
          </w:p>
          <w:p w14:paraId="0F8907C9">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（1）工程占地对植被的影响</w:t>
            </w:r>
          </w:p>
          <w:p w14:paraId="16FC65D1">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工程占地包括井场、入场道路和施工营地等临时占地，对植被的影响主要表现在施工期，主要影响形式是对土地的占用以及施工阶段清场过程中对地表植被的清理及施工过程中地碾压。</w:t>
            </w:r>
          </w:p>
          <w:p w14:paraId="6BDAB473">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在井场、道路施工过程中土地被扰动，地表植被基本被毁。施工结束后重新回到原来的自然状态，但地表植被及地表结构却发生了变化。地表保护层被破坏后，其稳定性下降，防止水土流失的能力也随之下降。</w:t>
            </w:r>
          </w:p>
          <w:p w14:paraId="52D60497">
            <w:pPr>
              <w:pStyle w:val="22"/>
              <w:widowControl w:val="0"/>
              <w:kinsoku/>
              <w:spacing w:line="360" w:lineRule="auto"/>
              <w:ind w:firstLine="472" w:firstLineChars="200"/>
              <w:jc w:val="both"/>
              <w:rPr>
                <w:rFonts w:hint="default" w:ascii="Times New Roman" w:hAnsi="Times New Roman" w:cs="Times New Roman"/>
                <w:color w:val="auto"/>
                <w:spacing w:val="-2"/>
                <w:sz w:val="24"/>
                <w:szCs w:val="24"/>
                <w:highlight w:val="none"/>
                <w:lang w:eastAsia="zh-CN"/>
              </w:rPr>
            </w:pPr>
            <w:r>
              <w:rPr>
                <w:rFonts w:hint="default" w:ascii="Times New Roman" w:hAnsi="Times New Roman" w:cs="Times New Roman"/>
                <w:color w:val="auto"/>
                <w:spacing w:val="-2"/>
                <w:sz w:val="24"/>
                <w:szCs w:val="24"/>
                <w:highlight w:val="none"/>
                <w:lang w:eastAsia="zh-CN"/>
              </w:rPr>
              <w:t xml:space="preserve"> 本项目总用地面积为 39781m²，占地类型全部为灌木林地。根据项目区现场踏勘及引用《新疆准噶尔盆地植被生物量估算》等同类区域生态文献资料，项目所在区域属于典型的温性荒漠灌木植被带，主要优势种为红砂、骆驼蓬等，区域植被覆盖度较低，生物量密度约为 </w:t>
            </w:r>
            <w:r>
              <w:rPr>
                <w:rFonts w:hint="eastAsia" w:ascii="Times New Roman" w:hAnsi="Times New Roman" w:cs="Times New Roman"/>
                <w:color w:val="auto"/>
                <w:spacing w:val="-2"/>
                <w:sz w:val="24"/>
                <w:szCs w:val="24"/>
                <w:highlight w:val="none"/>
                <w:lang w:val="en-US" w:eastAsia="zh-CN"/>
              </w:rPr>
              <w:t>800</w:t>
            </w:r>
            <w:r>
              <w:rPr>
                <w:rFonts w:hint="default" w:ascii="Times New Roman" w:hAnsi="Times New Roman" w:cs="Times New Roman"/>
                <w:color w:val="auto"/>
                <w:spacing w:val="-2"/>
                <w:sz w:val="24"/>
                <w:szCs w:val="24"/>
                <w:highlight w:val="none"/>
                <w:lang w:eastAsia="zh-CN"/>
              </w:rPr>
              <w:t>g/m²（干重）。 经测算，本项目建设占用灌木林地造成的生物量损失约为： 生物量损失 = 占地面积 × 生物量密度 = 39781m² × 0.</w:t>
            </w:r>
            <w:r>
              <w:rPr>
                <w:rFonts w:hint="eastAsia" w:ascii="Times New Roman" w:hAnsi="Times New Roman" w:cs="Times New Roman"/>
                <w:color w:val="auto"/>
                <w:spacing w:val="-2"/>
                <w:sz w:val="24"/>
                <w:szCs w:val="24"/>
                <w:highlight w:val="none"/>
                <w:lang w:val="en-US" w:eastAsia="zh-CN"/>
              </w:rPr>
              <w:t>8</w:t>
            </w:r>
            <w:r>
              <w:rPr>
                <w:rFonts w:hint="default" w:ascii="Times New Roman" w:hAnsi="Times New Roman" w:cs="Times New Roman"/>
                <w:color w:val="auto"/>
                <w:spacing w:val="-2"/>
                <w:sz w:val="24"/>
                <w:szCs w:val="24"/>
                <w:highlight w:val="none"/>
                <w:lang w:eastAsia="zh-CN"/>
              </w:rPr>
              <w:t xml:space="preserve">kg/m² ≈ </w:t>
            </w:r>
            <w:r>
              <w:rPr>
                <w:rFonts w:hint="eastAsia" w:ascii="Times New Roman" w:hAnsi="Times New Roman" w:cs="Times New Roman"/>
                <w:color w:val="auto"/>
                <w:spacing w:val="-2"/>
                <w:sz w:val="24"/>
                <w:szCs w:val="24"/>
                <w:highlight w:val="none"/>
                <w:lang w:val="en-US" w:eastAsia="zh-CN"/>
              </w:rPr>
              <w:t>31824.8</w:t>
            </w:r>
            <w:r>
              <w:rPr>
                <w:rFonts w:hint="default" w:ascii="Times New Roman" w:hAnsi="Times New Roman" w:cs="Times New Roman"/>
                <w:color w:val="auto"/>
                <w:spacing w:val="-2"/>
                <w:sz w:val="24"/>
                <w:szCs w:val="24"/>
                <w:highlight w:val="none"/>
                <w:lang w:eastAsia="zh-CN"/>
              </w:rPr>
              <w:t>kg（约</w:t>
            </w:r>
            <w:r>
              <w:rPr>
                <w:rFonts w:hint="eastAsia" w:ascii="Times New Roman" w:hAnsi="Times New Roman" w:cs="Times New Roman"/>
                <w:color w:val="auto"/>
                <w:spacing w:val="-2"/>
                <w:sz w:val="24"/>
                <w:szCs w:val="24"/>
                <w:highlight w:val="none"/>
                <w:lang w:val="en-US" w:eastAsia="zh-CN"/>
              </w:rPr>
              <w:t>31.82</w:t>
            </w:r>
            <w:r>
              <w:rPr>
                <w:rFonts w:hint="default" w:ascii="Times New Roman" w:hAnsi="Times New Roman" w:cs="Times New Roman"/>
                <w:color w:val="auto"/>
                <w:spacing w:val="-2"/>
                <w:sz w:val="24"/>
                <w:szCs w:val="24"/>
                <w:highlight w:val="none"/>
                <w:lang w:eastAsia="zh-CN"/>
              </w:rPr>
              <w:t>t）。由于项目占地呈点状和线状分布，且均为临时占地，相较于整个准噶尔盆地及周边广阔的荒漠生态系统而言，工程建设造成的植被生物量损失总量较小。且随着施工期结束及生态恢复措施的落实（如表土回铺、自然恢复等），受损区域的生物量将逐步得到恢复，不会对区域生态系统稳定性造成重大不利影响。</w:t>
            </w:r>
          </w:p>
          <w:p w14:paraId="4049A274">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（2）人类活动对植被的影响</w:t>
            </w:r>
          </w:p>
          <w:p w14:paraId="63EA0D96">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项目施工过程对植被的影响主要表现在人类和机械对植物的践踏、碾压和砍伐，使原生植被生境发生较大变化。区域单位面积上人口密度的增加将导致工程开发范围内及边缘区域地表土壤被践踏、自然植被减少。</w:t>
            </w:r>
          </w:p>
          <w:p w14:paraId="25181E58">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评价区植被分布不均匀，覆盖度较低，人类活动对该区域天然植被产生的不良影响非常有限。</w:t>
            </w:r>
          </w:p>
          <w:p w14:paraId="2950CA32">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（3）道路修建对植被的影响</w:t>
            </w:r>
          </w:p>
          <w:p w14:paraId="1B69AACC">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施工临时道路选线过程中，采取工程避让措施，尽量避开野生植物生长密集地带，最大限度减少对道路两侧植被生存环境的破坏。在道路修建过程中，主要影响是对土地的占用以及施工阶段清场过程中对地表植被的清理。施工完成后，由于区域内有冬季降雪，在融雪季节道路两侧有积水产生，有利于荒漠植被的自然恢复。</w:t>
            </w:r>
          </w:p>
          <w:p w14:paraId="3FCA044A">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由于项目地点远离城市干线，交通事故发生的概率极小，且造成的污染有限。相对于整个开发区域而言，事故均发生于一个较小的范围内，事故发生后及时清理事故污染，交通事故不会对整个区域植被产生明显不利影响。</w:t>
            </w:r>
          </w:p>
          <w:p w14:paraId="44135CDB">
            <w:pPr>
              <w:pStyle w:val="22"/>
              <w:widowControl w:val="0"/>
              <w:kinsoku/>
              <w:spacing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1.3对野生动物的影响分析</w:t>
            </w:r>
          </w:p>
          <w:p w14:paraId="35DE0C76">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14:paraId="2290C89C">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（1）施工期对野生动物的影响</w:t>
            </w:r>
          </w:p>
          <w:p w14:paraId="276CD5ED">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他区域，而常见的伴人型野生动物种类有所增加。施工完成后，施工人员撤离作业区域，区域内的人为活动逐步减少，野生动物将逐步回归原有生境。</w:t>
            </w:r>
          </w:p>
          <w:p w14:paraId="1557A2FE">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（2）事故对野生动物的影响</w:t>
            </w:r>
          </w:p>
          <w:p w14:paraId="5E149F19">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发生事故时常常导致原油及天然气的泄出和渗漏，从而可能影响工程区域内的野生脊椎动物的生存环境。事故类型的不同，对野生动物的影响范围和程度也有所不同。当发生井喷事故时，井场周围200m-500m范围以内的各种小型脊椎动物会因躲避不及造成死亡，局部区域可能影响到的只是一些啮齿类动物、爬行动物和小型鸟类，对大中型动物不会造成影响。如果发生火灾事故，由于生态环境及空气环境的变化，短时间内会使事故周围动物的分布数量下降。</w:t>
            </w:r>
          </w:p>
          <w:p w14:paraId="58285E18">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（3）对野生动物生活环境的影响</w:t>
            </w:r>
          </w:p>
          <w:p w14:paraId="1FAE9AA8">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区域内各种野生动物经过长期的适应已形成较稳定的取食、饮水、栖息活动范围和分布，基本对野生动物的生境无影响。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钻井作业结束后，随着人类活动和占地的减少，原有生境将逐步恢复，野生动物对新环境适应后其活动和分布范围亦将恢复。</w:t>
            </w:r>
          </w:p>
          <w:p w14:paraId="086FF401">
            <w:pPr>
              <w:pStyle w:val="22"/>
              <w:widowControl w:val="0"/>
              <w:kinsoku/>
              <w:spacing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1.4对农田的影响分析</w:t>
            </w:r>
          </w:p>
          <w:p w14:paraId="49F07D17">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本项目占地类型主要为灌木林地，</w:t>
            </w:r>
            <w:r>
              <w:rPr>
                <w:rFonts w:hint="eastAsia" w:ascii="Times New Roman" w:hAnsi="Times New Roman" w:cs="Times New Roman"/>
                <w:color w:val="auto"/>
                <w:spacing w:val="-2"/>
                <w:sz w:val="24"/>
                <w:szCs w:val="24"/>
                <w:highlight w:val="none"/>
                <w:lang w:val="en-US" w:eastAsia="zh-CN"/>
              </w:rPr>
              <w:t>项目西侧约900米有基本农田分布，东侧约900米有耕地分布，本项目不占用耕地和基本农田，</w:t>
            </w:r>
            <w:r>
              <w:rPr>
                <w:rFonts w:ascii="Times New Roman" w:hAnsi="Times New Roman" w:cs="Times New Roman"/>
                <w:color w:val="auto"/>
                <w:spacing w:val="-2"/>
                <w:sz w:val="24"/>
                <w:szCs w:val="24"/>
                <w:highlight w:val="none"/>
                <w:lang w:eastAsia="zh-CN"/>
              </w:rPr>
              <w:t>对农作物的影响主要来自于施工废气、道路扬尘等间接影响方式。</w:t>
            </w:r>
          </w:p>
          <w:p w14:paraId="29FBB412">
            <w:pPr>
              <w:pStyle w:val="22"/>
              <w:widowControl w:val="0"/>
              <w:kinsoku/>
              <w:spacing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1.5对林地的影响分析</w:t>
            </w:r>
          </w:p>
          <w:p w14:paraId="2FC04372">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（1）针对占地性质（灌木林地）的生态影响分析及减缓措施 本项目临时占地主要为井场、生活区及道路用地，占地类型主要为灌木林地。根据现场踏勘，作业区地表植被主要为红砂、骆驼蓬及梭梭等耐旱灌木，植被覆盖度较低。</w:t>
            </w:r>
          </w:p>
          <w:p w14:paraId="6AF167AE">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影响分析：施工期的场地平整、管沟开挖等作业将直接铲除作业带内的地表植被，造成局部生物量损失；同时扰动地表土壤结构（砾幕层），降低土壤抗风蚀能力。由于项目区位于荒漠戈壁边缘，生态环境相对脆弱，一旦破坏，自然恢复周期较长。但本项目占地呈点状或线状分布，相对于周边广阔的荒漠生态系统而言，生物量损失占比极小，不会改变区域生物多样性及生态系统功能。</w:t>
            </w:r>
          </w:p>
          <w:p w14:paraId="12BE55A7">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减缓及补救措施：</w:t>
            </w:r>
          </w:p>
          <w:p w14:paraId="4AA3F0A3">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严格划定红线：施工前由测量人员打桩定界，严格控制施工作业带宽度，严禁施工机械和人员超出红线范围碾压周边灌木植被。</w:t>
            </w:r>
          </w:p>
          <w:p w14:paraId="259A6430">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表土剥离与保护：严格执行“表土剥离”制度，对井场及道路占地范围内的表层土（约30cm）进行剥离，集中堆放于井场边角或道路两侧，采取防尘网苫盖及草袋拦挡措施，防止风蚀流失，待施工结束后用于后期生态恢复。</w:t>
            </w:r>
          </w:p>
          <w:p w14:paraId="2E33928C">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迹地恢复：施工结束后，立即对临时占地进行翻松、平整，将剥离的表土回填，撒播当地适生草籽或依靠土壤种子库进行自然恢复，力争在1-2年内恢复地表植被覆盖。</w:t>
            </w:r>
          </w:p>
          <w:p w14:paraId="568EBB6D">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（2）临时道路生态环境影响分析及管控措施 本项目需修筑进场临时道路，对生态环境的影响主要表现为对路线上的植被压占和对地表的分割效应。</w:t>
            </w:r>
          </w:p>
          <w:p w14:paraId="4DB0390C">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影响分析：车辆碾压会导致土壤板结，影响植物根系呼吸；道路建设可能造成生境的条带状分割，对小型爬行类动物的迁移产生一定阻隔；车辆行驶产生的扬尘会覆盖道路两侧植被叶面，影响光合作用。</w:t>
            </w:r>
          </w:p>
          <w:p w14:paraId="6E4F9C48">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管控措施：</w:t>
            </w:r>
          </w:p>
          <w:p w14:paraId="2CE35085">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路径优选：优先利用现有的巡检道路或戈壁便道，尽量减少新建道路长度，选线时主动避让植被茂密区。</w:t>
            </w:r>
          </w:p>
          <w:p w14:paraId="07A788F4">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施工管控：严禁施工车辆随意下道行驶，在道路两侧设置明显的边界标志；对路面定期洒水抑尘，减少扬尘对周边植被的影响。</w:t>
            </w:r>
          </w:p>
          <w:p w14:paraId="37476185">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恢复治理：钻试工程结束后，对不再利用的临时道路进行深翻、松土和地貌恢复，解除土壤板结状态，促进植被自然演替。</w:t>
            </w:r>
          </w:p>
          <w:p w14:paraId="59DF63C8">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（3）施工期人为活动管理措施 针对施工人员可能带来的生态破坏，采取以下严格的管理措施：</w:t>
            </w:r>
          </w:p>
          <w:p w14:paraId="2A1395D4">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生态教育：入场前对所有施工人员进行生态环境保护培训，增强环保意识，了解当地重点保护动植物种类。</w:t>
            </w:r>
          </w:p>
          <w:p w14:paraId="7F3629A1">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行为管控：严禁施工人员在非作业区践踏植被；严禁非法猎捕野生动物；严禁破坏鸟类巢穴；严禁带火种进山入林，防止引发火灾。</w:t>
            </w:r>
          </w:p>
          <w:p w14:paraId="0C00018F">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生活垃圾管理：施工营地设置封闭式垃圾箱，生活垃圾日产日清，运至指定地点处置，严禁随意丢弃污染草原和土壤。</w:t>
            </w:r>
          </w:p>
          <w:p w14:paraId="3837F2C7">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（4）林草手续办理情况说明 本项目涉及占用灌木林地，建设单位已启动林草征占地手续办理工作。目前，相关申报材料已提交至主管部门审批，手续正在办理中。建设单位郑重承诺：在取得合法的使用林地审核同意书及相关用地手续之前，绝不开工建设，严格遵守《中华人民共和国森林法》及《中华人民共和国草原法》的相关规定，依法合规用地。</w:t>
            </w:r>
          </w:p>
          <w:p w14:paraId="556986C5">
            <w:pPr>
              <w:pStyle w:val="22"/>
              <w:widowControl w:val="0"/>
              <w:kinsoku/>
              <w:spacing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2.施工期土壤环境影响分析</w:t>
            </w:r>
          </w:p>
          <w:p w14:paraId="4C642289">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本项目属于“矿产资源地质勘查（含勘探活动和油气资源勘探）”，根据《环境影响评价技术导则 土壤环境（试行）》（HJ964-2018）附录A，本项目为Ⅳ类项目，可不开展土壤环境影响评价，本次环评仅做简单分析。</w:t>
            </w:r>
          </w:p>
          <w:p w14:paraId="388DBBFC">
            <w:pPr>
              <w:pStyle w:val="22"/>
              <w:widowControl w:val="0"/>
              <w:kinsoku/>
              <w:spacing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2.1工程占地影响分析</w:t>
            </w:r>
          </w:p>
          <w:p w14:paraId="307180B3">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本项目占地主要为井场及临时道路，占地类型为灌木林地（具体见表2-3），</w:t>
            </w:r>
            <w:r>
              <w:rPr>
                <w:rFonts w:hint="eastAsia" w:ascii="Times New Roman" w:hAnsi="Times New Roman" w:cs="Times New Roman"/>
                <w:color w:val="auto"/>
                <w:spacing w:val="-2"/>
                <w:sz w:val="24"/>
                <w:szCs w:val="24"/>
                <w:highlight w:val="none"/>
                <w:lang w:val="en-US" w:eastAsia="zh-CN"/>
              </w:rPr>
              <w:t>均</w:t>
            </w:r>
            <w:r>
              <w:rPr>
                <w:rFonts w:ascii="Times New Roman" w:hAnsi="Times New Roman" w:cs="Times New Roman"/>
                <w:color w:val="auto"/>
                <w:spacing w:val="-2"/>
                <w:sz w:val="24"/>
                <w:szCs w:val="24"/>
                <w:highlight w:val="none"/>
                <w:lang w:eastAsia="zh-CN"/>
              </w:rPr>
              <w:t>为临时占地。最主要的危害是破坏了地表结构，增加了土壤风蚀量和沙漠化的可能性。在进行井场施工时，将对作业范围内的土壤表层进行干扰和破坏，土壤表层结构（包括紧实度）、肥力将受到影响，土壤易受到侵蚀。当施工结束后，人为活动的范围缩小，将使受到破坏的地表逐渐得到恢复，风蚀和荒漠化影响将随着天然植被的恢复逐渐得到控制。</w:t>
            </w:r>
          </w:p>
          <w:p w14:paraId="0D6317D1">
            <w:pPr>
              <w:pStyle w:val="22"/>
              <w:widowControl w:val="0"/>
              <w:kinsoku/>
              <w:spacing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2.2固体废物对土壤环境的影响</w:t>
            </w:r>
          </w:p>
          <w:p w14:paraId="2D9556AA">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在钻井过程中会产生钻井泥浆和岩屑，本项目采用泥浆不落地技术，可以有效减缓钻井泥浆、岩屑对土壤的影响范围和程度。</w:t>
            </w:r>
          </w:p>
          <w:p w14:paraId="552A71E7">
            <w:pPr>
              <w:pStyle w:val="22"/>
              <w:widowControl w:val="0"/>
              <w:kinsoku/>
              <w:spacing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2.3事故状态下对土壤环境的影响</w:t>
            </w:r>
          </w:p>
          <w:p w14:paraId="586082F5">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14:paraId="098CDB42">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井喷持续时间越长，对土壤造成的污染越严重。但根据已有的相关资料，井喷事故主要影响事故区域内的表层土壤。</w:t>
            </w:r>
          </w:p>
          <w:p w14:paraId="7BC415D1">
            <w:pPr>
              <w:pStyle w:val="22"/>
              <w:widowControl w:val="0"/>
              <w:kinsoku/>
              <w:spacing w:line="360" w:lineRule="auto"/>
              <w:ind w:left="1"/>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2.4水土流失影响分析</w:t>
            </w:r>
          </w:p>
          <w:p w14:paraId="2C85DE86">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油田工程建设对当地水土流失影响的方式包括扰动、损坏、开挖、破坏原地貌、地表土壤结构及植被。工程施工及占地呈面状、线状分布，施工期间，井场占地、临时道路、机械作业人员活动等都会加剧水土流失。油田开发过程中加剧水土流失的不良影响主要表现在以下几个方面：</w:t>
            </w:r>
          </w:p>
          <w:p w14:paraId="26B68E3A">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（1）施工车辆对地表的大面积碾压，使所经过地段的植被和地表结构遭到不同程度的破坏，使荒漠化的过程加剧。</w:t>
            </w:r>
          </w:p>
          <w:p w14:paraId="447B0EDA">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2）在井场开钻及临时设施搭建中，最直接而且易引起水土流失的是施工过程中使影响范围内的地表保护层变得松散，增加风蚀量。对于本项目油田的开发建设来讲，地面构筑物建设的内容主要包括井场、道路的敷设及配套工程等。临时占地范围内的土壤地表表层遭到破坏，下层的粉细物质暴露在地层表面，在风力的作用下，风蚀量会明显加大，这种影响在短时间内不会完全恢复。但随着时间的推移，风蚀量会随着地表新保护层的逐渐形成而减弱。</w:t>
            </w:r>
          </w:p>
          <w:p w14:paraId="3FF59B7C">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3）油田道路建设可能引起水土流失的因素较多，如破坏地表结构、砍伐植被、挖取土方等。带来的环境问题是使具有稳定结皮的地表结构被破坏，使其失去原有稳定性，引发流沙的重新分布。如遇起沙风，地表在没有保护的状态下极易被吹蚀，从而引起水土流失。道路施工期间的水土流失影响主要在于动土引起的风沙影响，风沙影响的范围主要集中于油田区域内。施工期结束后，路面风沙影响即告结束，但此时路边作业带的影响还将持续几年，呈逐渐衰减趋势。施工期内，管沟边堆起一道临时土垄，在大风状态下易发生风力侵蚀，即使在堆土回填后风蚀量会有所减少，但地表仍为疏松地带，需要一个较长的恢复阶段。</w:t>
            </w:r>
          </w:p>
          <w:p w14:paraId="4C5AB92A">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所在区域属于“天山北坡国家级水土流失重点预防区”，施工期会使施工范围内的土体结构遭到破坏、野生植被会受到严重破坏甚至被彻底清除，若遇到大风天气施工，则可能导致风蚀作用加剧；钻试结束后，由于井场、进场道路和生活营地等土壤结构、自然植被的恢复还需要一定时间，区域水土流失还将继续发生。但随着时间的延长、土壤结构的变化以及地表植被的恢复，水土流失的程度会慢慢减轻。</w:t>
            </w:r>
          </w:p>
          <w:p w14:paraId="4F7E6749">
            <w:pPr>
              <w:pStyle w:val="22"/>
              <w:widowControl w:val="0"/>
              <w:kinsoku/>
              <w:spacing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2.5土地沙化影响分析</w:t>
            </w:r>
          </w:p>
          <w:p w14:paraId="3F4D2BFE">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项目区钻井工程实施中，会使施工带范围内的土体结构遭到破坏，其范围内的植被也会受到严重破坏甚至被彻底清除，导致风沙作用加剧，主要表现为：</w:t>
            </w:r>
          </w:p>
          <w:p w14:paraId="0E9D8C43">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（1）土壤粗粒化</w:t>
            </w:r>
          </w:p>
          <w:p w14:paraId="4D1AA9C6">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在土壤沙化过程中，当风力作用地表产生风蚀时，便产生风蚀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12EFFD0E">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（2）土壤贫瘠及含盐量变化</w:t>
            </w:r>
          </w:p>
          <w:p w14:paraId="1BCBB9AF">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w:t>
            </w:r>
            <w:r>
              <w:rPr>
                <w:rFonts w:hint="eastAsia" w:ascii="Times New Roman" w:hAnsi="Times New Roman" w:cs="Times New Roman"/>
                <w:color w:val="auto"/>
                <w:spacing w:val="-2"/>
                <w:sz w:val="24"/>
                <w:szCs w:val="24"/>
                <w:highlight w:val="none"/>
                <w:lang w:val="en-US" w:eastAsia="zh-CN"/>
              </w:rPr>
              <w:t>着</w:t>
            </w:r>
            <w:r>
              <w:rPr>
                <w:rFonts w:ascii="Times New Roman" w:hAnsi="Times New Roman" w:cs="Times New Roman"/>
                <w:color w:val="auto"/>
                <w:spacing w:val="-2"/>
                <w:sz w:val="24"/>
                <w:szCs w:val="24"/>
                <w:highlight w:val="none"/>
                <w:lang w:eastAsia="zh-CN"/>
              </w:rPr>
              <w:t>沙化增强，盐分含量降低。</w:t>
            </w:r>
          </w:p>
          <w:p w14:paraId="719F3FDE">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（3）对区域沙化土地的影响分析</w:t>
            </w:r>
          </w:p>
          <w:p w14:paraId="05622AED">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施工期临时占地将会破坏项目占地范围内的土壤表层稳定砾幕和地表荒漠植被，项目所在区域具有多风、降水量偏低等气候特征，地表稳定结皮被破坏后，在大风天气条件下，项目施工会使占地范围内的土地就地起沙，局部形成沙化土地。</w:t>
            </w:r>
          </w:p>
          <w:p w14:paraId="22158291">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但是由于项目占地范围较小，施工结束后对临时占地范围内场地进行平整和清理，尽量利用井场施工时产生的表层弃土对临时占地进行覆盖，采用自然恢复的方式对区域植被进行恢复。</w:t>
            </w:r>
          </w:p>
          <w:p w14:paraId="2E3EBE8E">
            <w:pPr>
              <w:pStyle w:val="22"/>
              <w:widowControl w:val="0"/>
              <w:kinsoku/>
              <w:spacing w:line="360" w:lineRule="auto"/>
              <w:ind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综上所述，本项目对项目所在区域土地沙化影响不大。</w:t>
            </w:r>
          </w:p>
          <w:p w14:paraId="38212B2C">
            <w:pPr>
              <w:pStyle w:val="26"/>
              <w:widowControl w:val="0"/>
              <w:kinsoku/>
              <w:spacing w:line="360" w:lineRule="auto"/>
              <w:ind w:firstLine="0" w:firstLineChars="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3.大气环境影响分析</w:t>
            </w:r>
          </w:p>
          <w:p w14:paraId="6B820BCD">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bookmarkStart w:id="19" w:name="_Hlk136794460"/>
            <w:r>
              <w:rPr>
                <w:rFonts w:ascii="Times New Roman" w:hAnsi="Times New Roman" w:eastAsia="宋体" w:cs="Times New Roman"/>
                <w:color w:val="auto"/>
                <w:sz w:val="24"/>
                <w:szCs w:val="24"/>
                <w:highlight w:val="none"/>
                <w:lang w:eastAsia="zh-CN"/>
              </w:rPr>
              <w:t>废气主要为柴油机、发电机燃料燃烧烟气、施工机械及施工车辆尾气、施工扬尘、伴生气放空产生的燃烧烟气、试油期间采出液储存及装车过程中无组织逸散的废气、柴油储存卸车无组织废气和钻井岩屑暂存和</w:t>
            </w:r>
            <w:r>
              <w:rPr>
                <w:rFonts w:ascii="Times New Roman" w:hAnsi="Times New Roman" w:eastAsia="宋体" w:cs="Times New Roman"/>
                <w:color w:val="auto"/>
                <w:spacing w:val="1"/>
                <w:sz w:val="24"/>
                <w:szCs w:val="24"/>
                <w:highlight w:val="none"/>
                <w:lang w:eastAsia="zh-CN"/>
              </w:rPr>
              <w:t>道路工程等</w:t>
            </w:r>
            <w:r>
              <w:rPr>
                <w:rFonts w:ascii="Times New Roman" w:hAnsi="Times New Roman" w:eastAsia="宋体" w:cs="Times New Roman"/>
                <w:color w:val="auto"/>
                <w:spacing w:val="-3"/>
                <w:sz w:val="24"/>
                <w:szCs w:val="24"/>
                <w:highlight w:val="none"/>
                <w:lang w:eastAsia="zh-CN"/>
              </w:rPr>
              <w:t>在施工作业过程中产生的扬尘等</w:t>
            </w:r>
            <w:r>
              <w:rPr>
                <w:rFonts w:ascii="Times New Roman" w:hAnsi="Times New Roman" w:eastAsia="宋体" w:cs="Times New Roman"/>
                <w:color w:val="auto"/>
                <w:sz w:val="24"/>
                <w:szCs w:val="24"/>
                <w:highlight w:val="none"/>
                <w:lang w:eastAsia="zh-CN"/>
              </w:rPr>
              <w:t>。</w:t>
            </w:r>
          </w:p>
          <w:p w14:paraId="770BA8FC">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（1）柴油机、发电机燃料燃烧烟气</w:t>
            </w:r>
          </w:p>
          <w:p w14:paraId="155ED2F2">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本工程单井钻井周期90d，试油期300d。本工程钻井期及试油期柴油耗量见表4-1。根据《非道路移动污染源排放清单编制技术指南》，柴油机污染物排放系数，柴油机组燃烧废气中各污染物产生情况见表4-2。</w:t>
            </w:r>
          </w:p>
          <w:p w14:paraId="71CF4A14">
            <w:pPr>
              <w:widowControl w:val="0"/>
              <w:kinsoku/>
              <w:spacing w:line="360" w:lineRule="auto"/>
              <w:jc w:val="center"/>
              <w:rPr>
                <w:rFonts w:ascii="Times New Roman" w:hAnsi="Times New Roman" w:cs="Times New Roman"/>
                <w:b/>
                <w:bCs/>
                <w:color w:val="auto"/>
                <w:highlight w:val="none"/>
                <w:lang w:eastAsia="zh-CN"/>
              </w:rPr>
            </w:pPr>
            <w:r>
              <w:rPr>
                <w:rFonts w:hint="eastAsia" w:ascii="宋体" w:hAnsi="宋体" w:eastAsia="宋体" w:cs="宋体"/>
                <w:b/>
                <w:bCs/>
                <w:color w:val="auto"/>
                <w:highlight w:val="none"/>
                <w:lang w:eastAsia="zh-CN"/>
              </w:rPr>
              <w:t>表</w:t>
            </w:r>
            <w:r>
              <w:rPr>
                <w:rFonts w:ascii="Times New Roman" w:hAnsi="Times New Roman" w:eastAsia="宋体" w:cs="Times New Roman"/>
                <w:b/>
                <w:bCs/>
                <w:color w:val="auto"/>
                <w:highlight w:val="none"/>
                <w:lang w:eastAsia="zh-CN"/>
              </w:rPr>
              <w:t>4</w:t>
            </w:r>
            <w:r>
              <w:rPr>
                <w:rFonts w:ascii="Times New Roman" w:hAnsi="Times New Roman" w:cs="Times New Roman"/>
                <w:b/>
                <w:bCs/>
                <w:color w:val="auto"/>
                <w:highlight w:val="none"/>
                <w:lang w:eastAsia="zh-CN"/>
              </w:rPr>
              <w:t xml:space="preserve">-1 </w:t>
            </w:r>
            <w:r>
              <w:rPr>
                <w:rFonts w:hint="eastAsia" w:ascii="宋体" w:hAnsi="宋体" w:eastAsia="宋体" w:cs="宋体"/>
                <w:b/>
                <w:bCs/>
                <w:color w:val="auto"/>
                <w:highlight w:val="none"/>
                <w:lang w:eastAsia="zh-CN"/>
              </w:rPr>
              <w:t>钻井期和油气测试期消耗柴油量</w:t>
            </w:r>
          </w:p>
          <w:tbl>
            <w:tblPr>
              <w:tblStyle w:val="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1"/>
              <w:gridCol w:w="1499"/>
              <w:gridCol w:w="2738"/>
              <w:gridCol w:w="2835"/>
            </w:tblGrid>
            <w:tr w14:paraId="1927E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631" w:type="pct"/>
                  <w:vAlign w:val="center"/>
                </w:tcPr>
                <w:p w14:paraId="3859DC00">
                  <w:pPr>
                    <w:pStyle w:val="22"/>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z w:val="21"/>
                      <w:szCs w:val="21"/>
                      <w:highlight w:val="none"/>
                      <w:lang w:eastAsia="zh-CN"/>
                    </w:rPr>
                    <w:t>阶段</w:t>
                  </w:r>
                </w:p>
              </w:tc>
              <w:tc>
                <w:tcPr>
                  <w:tcW w:w="926" w:type="pct"/>
                  <w:vAlign w:val="center"/>
                </w:tcPr>
                <w:p w14:paraId="6A59B3DB">
                  <w:pPr>
                    <w:pStyle w:val="22"/>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4"/>
                      <w:sz w:val="21"/>
                      <w:szCs w:val="21"/>
                      <w:highlight w:val="none"/>
                      <w:lang w:eastAsia="zh-CN"/>
                    </w:rPr>
                    <w:t>周期（d）</w:t>
                  </w:r>
                </w:p>
              </w:tc>
              <w:tc>
                <w:tcPr>
                  <w:tcW w:w="1690" w:type="pct"/>
                  <w:vAlign w:val="center"/>
                </w:tcPr>
                <w:p w14:paraId="0E55B9D2">
                  <w:pPr>
                    <w:pStyle w:val="22"/>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6"/>
                      <w:sz w:val="21"/>
                      <w:szCs w:val="21"/>
                      <w:highlight w:val="none"/>
                      <w:lang w:eastAsia="zh-CN"/>
                    </w:rPr>
                    <w:t>柴油消耗量（t/d）</w:t>
                  </w:r>
                </w:p>
              </w:tc>
              <w:tc>
                <w:tcPr>
                  <w:tcW w:w="1751" w:type="pct"/>
                  <w:tcBorders>
                    <w:right w:val="single" w:color="000000" w:sz="4" w:space="0"/>
                  </w:tcBorders>
                  <w:vAlign w:val="center"/>
                </w:tcPr>
                <w:p w14:paraId="09C657ED">
                  <w:pPr>
                    <w:pStyle w:val="22"/>
                    <w:kinsoku/>
                    <w:spacing w:line="240" w:lineRule="atLeast"/>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7"/>
                      <w:sz w:val="21"/>
                      <w:szCs w:val="21"/>
                      <w:highlight w:val="none"/>
                      <w:lang w:eastAsia="zh-CN"/>
                    </w:rPr>
                    <w:t>柴油消耗总量（t）</w:t>
                  </w:r>
                </w:p>
              </w:tc>
            </w:tr>
            <w:tr w14:paraId="09180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631" w:type="pct"/>
                  <w:vAlign w:val="center"/>
                </w:tcPr>
                <w:p w14:paraId="29CE6BAB">
                  <w:pPr>
                    <w:pStyle w:val="22"/>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钻井期</w:t>
                  </w:r>
                </w:p>
              </w:tc>
              <w:tc>
                <w:tcPr>
                  <w:tcW w:w="926" w:type="pct"/>
                  <w:vAlign w:val="center"/>
                </w:tcPr>
                <w:p w14:paraId="6F054780">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90×2</w:t>
                  </w:r>
                </w:p>
              </w:tc>
              <w:tc>
                <w:tcPr>
                  <w:tcW w:w="1690" w:type="pct"/>
                  <w:vAlign w:val="center"/>
                </w:tcPr>
                <w:p w14:paraId="3894E52C">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1.5</w:t>
                  </w:r>
                </w:p>
              </w:tc>
              <w:tc>
                <w:tcPr>
                  <w:tcW w:w="1751" w:type="pct"/>
                  <w:tcBorders>
                    <w:right w:val="single" w:color="000000" w:sz="4" w:space="0"/>
                  </w:tcBorders>
                  <w:vAlign w:val="center"/>
                </w:tcPr>
                <w:p w14:paraId="4328A393">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1"/>
                      <w:highlight w:val="none"/>
                      <w:lang w:eastAsia="zh-CN"/>
                    </w:rPr>
                    <w:t>270</w:t>
                  </w:r>
                </w:p>
              </w:tc>
            </w:tr>
            <w:tr w14:paraId="2611B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631" w:type="pct"/>
                  <w:vAlign w:val="center"/>
                </w:tcPr>
                <w:p w14:paraId="7A1F4E72">
                  <w:pPr>
                    <w:pStyle w:val="22"/>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试油期</w:t>
                  </w:r>
                </w:p>
              </w:tc>
              <w:tc>
                <w:tcPr>
                  <w:tcW w:w="926" w:type="pct"/>
                  <w:vAlign w:val="center"/>
                </w:tcPr>
                <w:p w14:paraId="1E1163C0">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1"/>
                      <w:highlight w:val="none"/>
                      <w:lang w:eastAsia="zh-CN"/>
                    </w:rPr>
                    <w:t>300×2</w:t>
                  </w:r>
                </w:p>
              </w:tc>
              <w:tc>
                <w:tcPr>
                  <w:tcW w:w="1690" w:type="pct"/>
                  <w:vAlign w:val="center"/>
                </w:tcPr>
                <w:p w14:paraId="1C2C8BCD">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0.16</w:t>
                  </w:r>
                </w:p>
              </w:tc>
              <w:tc>
                <w:tcPr>
                  <w:tcW w:w="1751" w:type="pct"/>
                  <w:tcBorders>
                    <w:right w:val="single" w:color="000000" w:sz="4" w:space="0"/>
                  </w:tcBorders>
                  <w:vAlign w:val="center"/>
                </w:tcPr>
                <w:p w14:paraId="73FC0326">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3"/>
                      <w:highlight w:val="none"/>
                      <w:lang w:eastAsia="zh-CN"/>
                    </w:rPr>
                    <w:t>96</w:t>
                  </w:r>
                </w:p>
              </w:tc>
            </w:tr>
            <w:tr w14:paraId="179D0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248" w:type="pct"/>
                  <w:gridSpan w:val="3"/>
                  <w:vAlign w:val="center"/>
                </w:tcPr>
                <w:p w14:paraId="103A076E">
                  <w:pPr>
                    <w:pStyle w:val="22"/>
                    <w:kinsoku/>
                    <w:spacing w:line="240" w:lineRule="atLeast"/>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4"/>
                      <w:sz w:val="21"/>
                      <w:szCs w:val="21"/>
                      <w:highlight w:val="none"/>
                      <w:lang w:eastAsia="zh-CN"/>
                    </w:rPr>
                    <w:t>合计</w:t>
                  </w:r>
                </w:p>
              </w:tc>
              <w:tc>
                <w:tcPr>
                  <w:tcW w:w="1751" w:type="pct"/>
                  <w:tcBorders>
                    <w:right w:val="single" w:color="000000" w:sz="4" w:space="0"/>
                  </w:tcBorders>
                  <w:vAlign w:val="center"/>
                </w:tcPr>
                <w:p w14:paraId="1D3BBBB7">
                  <w:pPr>
                    <w:kinsoku/>
                    <w:spacing w:line="240" w:lineRule="atLeas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1"/>
                      <w:highlight w:val="none"/>
                      <w:lang w:eastAsia="zh-CN"/>
                    </w:rPr>
                    <w:t>366</w:t>
                  </w:r>
                </w:p>
              </w:tc>
            </w:tr>
          </w:tbl>
          <w:p w14:paraId="7E9BA6F3">
            <w:pPr>
              <w:widowControl w:val="0"/>
              <w:kinsoku/>
              <w:spacing w:before="120" w:beforeLines="50" w:line="360" w:lineRule="auto"/>
              <w:jc w:val="center"/>
              <w:rPr>
                <w:rFonts w:ascii="Times New Roman" w:hAnsi="Times New Roman" w:cs="Times New Roman"/>
                <w:b/>
                <w:bCs/>
                <w:color w:val="auto"/>
                <w:highlight w:val="none"/>
                <w:lang w:eastAsia="zh-CN"/>
              </w:rPr>
            </w:pPr>
            <w:r>
              <w:rPr>
                <w:rFonts w:hint="eastAsia" w:ascii="宋体" w:hAnsi="宋体" w:eastAsia="宋体" w:cs="宋体"/>
                <w:b/>
                <w:bCs/>
                <w:color w:val="auto"/>
                <w:highlight w:val="none"/>
                <w:lang w:eastAsia="zh-CN"/>
              </w:rPr>
              <w:t>表</w:t>
            </w:r>
            <w:r>
              <w:rPr>
                <w:rFonts w:ascii="Times New Roman" w:hAnsi="Times New Roman" w:eastAsia="宋体" w:cs="Times New Roman"/>
                <w:b/>
                <w:bCs/>
                <w:color w:val="auto"/>
                <w:highlight w:val="none"/>
                <w:lang w:eastAsia="zh-CN"/>
              </w:rPr>
              <w:t>4</w:t>
            </w:r>
            <w:r>
              <w:rPr>
                <w:rFonts w:ascii="Times New Roman" w:hAnsi="Times New Roman" w:cs="Times New Roman"/>
                <w:b/>
                <w:bCs/>
                <w:color w:val="auto"/>
                <w:highlight w:val="none"/>
                <w:lang w:eastAsia="zh-CN"/>
              </w:rPr>
              <w:t xml:space="preserve">-2 </w:t>
            </w:r>
            <w:r>
              <w:rPr>
                <w:rFonts w:hint="eastAsia" w:ascii="宋体" w:hAnsi="宋体" w:eastAsia="宋体" w:cs="宋体"/>
                <w:b/>
                <w:bCs/>
                <w:color w:val="auto"/>
                <w:highlight w:val="none"/>
                <w:lang w:eastAsia="zh-CN"/>
              </w:rPr>
              <w:t>柴油机污染物排放量</w:t>
            </w:r>
          </w:p>
          <w:tbl>
            <w:tblPr>
              <w:tblStyle w:val="21"/>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15"/>
              <w:gridCol w:w="2049"/>
              <w:gridCol w:w="2015"/>
              <w:gridCol w:w="2014"/>
            </w:tblGrid>
            <w:tr w14:paraId="55B5D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45" w:type="pct"/>
                  <w:vAlign w:val="center"/>
                </w:tcPr>
                <w:p w14:paraId="3460B33C">
                  <w:pPr>
                    <w:pStyle w:val="22"/>
                    <w:kinsoku/>
                    <w:spacing w:before="37" w:line="228" w:lineRule="auto"/>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6"/>
                      <w:sz w:val="21"/>
                      <w:szCs w:val="21"/>
                      <w:highlight w:val="none"/>
                      <w:lang w:eastAsia="zh-CN"/>
                    </w:rPr>
                    <w:t>污染物</w:t>
                  </w:r>
                </w:p>
              </w:tc>
              <w:tc>
                <w:tcPr>
                  <w:tcW w:w="1266" w:type="pct"/>
                  <w:vAlign w:val="center"/>
                </w:tcPr>
                <w:p w14:paraId="7CC8E17B">
                  <w:pPr>
                    <w:pStyle w:val="22"/>
                    <w:kinsoku/>
                    <w:spacing w:before="37" w:line="221" w:lineRule="auto"/>
                    <w:jc w:val="center"/>
                    <w:rPr>
                      <w:rFonts w:ascii="Times New Roman" w:hAnsi="Times New Roman" w:eastAsia="Times New Roman" w:cs="Times New Roman"/>
                      <w:b/>
                      <w:bCs/>
                      <w:color w:val="auto"/>
                      <w:sz w:val="21"/>
                      <w:szCs w:val="21"/>
                      <w:highlight w:val="none"/>
                      <w:lang w:eastAsia="zh-CN"/>
                    </w:rPr>
                  </w:pPr>
                  <w:r>
                    <w:rPr>
                      <w:rFonts w:ascii="Times New Roman" w:hAnsi="Times New Roman" w:cs="Times New Roman"/>
                      <w:b/>
                      <w:bCs/>
                      <w:color w:val="auto"/>
                      <w:spacing w:val="7"/>
                      <w:sz w:val="21"/>
                      <w:szCs w:val="21"/>
                      <w:highlight w:val="none"/>
                      <w:lang w:eastAsia="zh-CN"/>
                    </w:rPr>
                    <w:t>排污系数</w:t>
                  </w:r>
                  <w:r>
                    <w:rPr>
                      <w:rFonts w:ascii="Times New Roman" w:hAnsi="Times New Roman" w:eastAsia="Times New Roman" w:cs="Times New Roman"/>
                      <w:b/>
                      <w:bCs/>
                      <w:color w:val="auto"/>
                      <w:sz w:val="21"/>
                      <w:szCs w:val="21"/>
                      <w:highlight w:val="none"/>
                      <w:lang w:eastAsia="zh-CN"/>
                    </w:rPr>
                    <w:t>kg</w:t>
                  </w:r>
                  <w:r>
                    <w:rPr>
                      <w:rFonts w:ascii="Times New Roman" w:hAnsi="Times New Roman" w:eastAsia="Times New Roman" w:cs="Times New Roman"/>
                      <w:b/>
                      <w:bCs/>
                      <w:color w:val="auto"/>
                      <w:spacing w:val="7"/>
                      <w:sz w:val="21"/>
                      <w:szCs w:val="21"/>
                      <w:highlight w:val="none"/>
                      <w:lang w:eastAsia="zh-CN"/>
                    </w:rPr>
                    <w:t>/t</w:t>
                  </w:r>
                </w:p>
              </w:tc>
              <w:tc>
                <w:tcPr>
                  <w:tcW w:w="1245" w:type="pct"/>
                  <w:vAlign w:val="center"/>
                </w:tcPr>
                <w:p w14:paraId="417F1FF9">
                  <w:pPr>
                    <w:pStyle w:val="22"/>
                    <w:kinsoku/>
                    <w:spacing w:before="37" w:line="228" w:lineRule="auto"/>
                    <w:jc w:val="center"/>
                    <w:rPr>
                      <w:rFonts w:ascii="Times New Roman" w:hAnsi="Times New Roman" w:eastAsia="Times New Roman" w:cs="Times New Roman"/>
                      <w:b/>
                      <w:bCs/>
                      <w:color w:val="auto"/>
                      <w:sz w:val="21"/>
                      <w:szCs w:val="21"/>
                      <w:highlight w:val="none"/>
                      <w:lang w:eastAsia="zh-CN"/>
                    </w:rPr>
                  </w:pPr>
                  <w:r>
                    <w:rPr>
                      <w:rFonts w:ascii="Times New Roman" w:hAnsi="Times New Roman" w:cs="Times New Roman"/>
                      <w:b/>
                      <w:bCs/>
                      <w:color w:val="auto"/>
                      <w:spacing w:val="6"/>
                      <w:sz w:val="21"/>
                      <w:szCs w:val="21"/>
                      <w:highlight w:val="none"/>
                      <w:lang w:eastAsia="zh-CN"/>
                    </w:rPr>
                    <w:t>柴油用量</w:t>
                  </w:r>
                  <w:r>
                    <w:rPr>
                      <w:rFonts w:ascii="Times New Roman" w:hAnsi="Times New Roman" w:eastAsia="Times New Roman" w:cs="Times New Roman"/>
                      <w:b/>
                      <w:bCs/>
                      <w:color w:val="auto"/>
                      <w:spacing w:val="6"/>
                      <w:sz w:val="21"/>
                      <w:szCs w:val="21"/>
                      <w:highlight w:val="none"/>
                      <w:lang w:eastAsia="zh-CN"/>
                    </w:rPr>
                    <w:t>t</w:t>
                  </w:r>
                </w:p>
              </w:tc>
              <w:tc>
                <w:tcPr>
                  <w:tcW w:w="1245" w:type="pct"/>
                  <w:vAlign w:val="center"/>
                </w:tcPr>
                <w:p w14:paraId="44FA69B3">
                  <w:pPr>
                    <w:pStyle w:val="22"/>
                    <w:kinsoku/>
                    <w:spacing w:before="37" w:line="229" w:lineRule="auto"/>
                    <w:jc w:val="center"/>
                    <w:rPr>
                      <w:rFonts w:ascii="Times New Roman" w:hAnsi="Times New Roman" w:eastAsia="Times New Roman" w:cs="Times New Roman"/>
                      <w:b/>
                      <w:bCs/>
                      <w:color w:val="auto"/>
                      <w:sz w:val="21"/>
                      <w:szCs w:val="21"/>
                      <w:highlight w:val="none"/>
                      <w:lang w:eastAsia="zh-CN"/>
                    </w:rPr>
                  </w:pPr>
                  <w:r>
                    <w:rPr>
                      <w:rFonts w:ascii="Times New Roman" w:hAnsi="Times New Roman" w:cs="Times New Roman"/>
                      <w:b/>
                      <w:bCs/>
                      <w:color w:val="auto"/>
                      <w:spacing w:val="5"/>
                      <w:sz w:val="21"/>
                      <w:szCs w:val="21"/>
                      <w:highlight w:val="none"/>
                      <w:lang w:eastAsia="zh-CN"/>
                    </w:rPr>
                    <w:t>排放量</w:t>
                  </w:r>
                  <w:r>
                    <w:rPr>
                      <w:rFonts w:ascii="Times New Roman" w:hAnsi="Times New Roman" w:eastAsia="Times New Roman" w:cs="Times New Roman"/>
                      <w:b/>
                      <w:bCs/>
                      <w:color w:val="auto"/>
                      <w:spacing w:val="5"/>
                      <w:sz w:val="21"/>
                      <w:szCs w:val="21"/>
                      <w:highlight w:val="none"/>
                      <w:lang w:eastAsia="zh-CN"/>
                    </w:rPr>
                    <w:t>t</w:t>
                  </w:r>
                </w:p>
              </w:tc>
            </w:tr>
            <w:tr w14:paraId="25AD6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45" w:type="pct"/>
                  <w:vAlign w:val="center"/>
                </w:tcPr>
                <w:p w14:paraId="3BA59ECB">
                  <w:pPr>
                    <w:kinsoku/>
                    <w:spacing w:before="57" w:line="195"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spacing w:val="2"/>
                      <w:highlight w:val="none"/>
                      <w:lang w:eastAsia="zh-CN"/>
                    </w:rPr>
                    <w:t>CO</w:t>
                  </w:r>
                </w:p>
              </w:tc>
              <w:tc>
                <w:tcPr>
                  <w:tcW w:w="1266" w:type="pct"/>
                  <w:vAlign w:val="center"/>
                </w:tcPr>
                <w:p w14:paraId="5BC9B45A">
                  <w:pPr>
                    <w:kinsoku/>
                    <w:spacing w:before="57" w:line="195"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spacing w:val="-1"/>
                      <w:highlight w:val="none"/>
                      <w:lang w:eastAsia="zh-CN"/>
                    </w:rPr>
                    <w:t>10.72</w:t>
                  </w:r>
                </w:p>
              </w:tc>
              <w:tc>
                <w:tcPr>
                  <w:tcW w:w="1245" w:type="pct"/>
                  <w:vMerge w:val="restart"/>
                  <w:vAlign w:val="center"/>
                </w:tcPr>
                <w:p w14:paraId="6418BC08">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1"/>
                      <w:highlight w:val="none"/>
                      <w:lang w:eastAsia="zh-CN"/>
                    </w:rPr>
                    <w:t>366</w:t>
                  </w:r>
                </w:p>
              </w:tc>
              <w:tc>
                <w:tcPr>
                  <w:tcW w:w="1245" w:type="pct"/>
                  <w:vAlign w:val="center"/>
                </w:tcPr>
                <w:p w14:paraId="23F268DB">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cs="Times New Roman"/>
                      <w:color w:val="auto"/>
                      <w:highlight w:val="none"/>
                    </w:rPr>
                    <w:t>3.92</w:t>
                  </w:r>
                </w:p>
              </w:tc>
            </w:tr>
            <w:tr w14:paraId="44414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45" w:type="pct"/>
                  <w:vAlign w:val="center"/>
                </w:tcPr>
                <w:p w14:paraId="09452C56">
                  <w:pPr>
                    <w:kinsoku/>
                    <w:spacing w:before="57" w:line="202"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spacing w:val="7"/>
                      <w:highlight w:val="none"/>
                      <w:lang w:eastAsia="zh-CN"/>
                    </w:rPr>
                    <w:t>NO</w:t>
                  </w:r>
                  <w:r>
                    <w:rPr>
                      <w:rFonts w:ascii="Times New Roman" w:hAnsi="Times New Roman" w:eastAsia="Times New Roman" w:cs="Times New Roman"/>
                      <w:color w:val="auto"/>
                      <w:spacing w:val="7"/>
                      <w:position w:val="-1"/>
                      <w:highlight w:val="none"/>
                      <w:vertAlign w:val="subscript"/>
                      <w:lang w:eastAsia="zh-CN"/>
                    </w:rPr>
                    <w:t>X</w:t>
                  </w:r>
                </w:p>
              </w:tc>
              <w:tc>
                <w:tcPr>
                  <w:tcW w:w="1266" w:type="pct"/>
                  <w:vAlign w:val="center"/>
                </w:tcPr>
                <w:p w14:paraId="3DC28AED">
                  <w:pPr>
                    <w:kinsoku/>
                    <w:spacing w:before="57" w:line="195"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spacing w:val="3"/>
                      <w:highlight w:val="none"/>
                      <w:lang w:eastAsia="zh-CN"/>
                    </w:rPr>
                    <w:t>32.79</w:t>
                  </w:r>
                </w:p>
              </w:tc>
              <w:tc>
                <w:tcPr>
                  <w:tcW w:w="1245" w:type="pct"/>
                  <w:vMerge w:val="continue"/>
                  <w:vAlign w:val="center"/>
                </w:tcPr>
                <w:p w14:paraId="6B587BF7">
                  <w:pPr>
                    <w:kinsoku/>
                    <w:jc w:val="center"/>
                    <w:rPr>
                      <w:rFonts w:ascii="Times New Roman" w:hAnsi="Times New Roman" w:cs="Times New Roman"/>
                      <w:color w:val="auto"/>
                      <w:highlight w:val="none"/>
                      <w:lang w:eastAsia="zh-CN"/>
                    </w:rPr>
                  </w:pPr>
                </w:p>
              </w:tc>
              <w:tc>
                <w:tcPr>
                  <w:tcW w:w="1245" w:type="pct"/>
                  <w:vAlign w:val="center"/>
                </w:tcPr>
                <w:p w14:paraId="3C9892B7">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cs="Times New Roman"/>
                      <w:color w:val="auto"/>
                      <w:highlight w:val="none"/>
                    </w:rPr>
                    <w:t>12</w:t>
                  </w:r>
                </w:p>
              </w:tc>
            </w:tr>
            <w:tr w14:paraId="1DD53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245" w:type="pct"/>
                  <w:vAlign w:val="center"/>
                </w:tcPr>
                <w:p w14:paraId="16E1806A">
                  <w:pPr>
                    <w:kinsoku/>
                    <w:spacing w:before="57" w:line="195" w:lineRule="auto"/>
                    <w:jc w:val="center"/>
                    <w:rPr>
                      <w:rFonts w:ascii="Times New Roman" w:hAnsi="Times New Roman" w:eastAsia="Times New Roman" w:cs="Times New Roman"/>
                      <w:color w:val="auto"/>
                      <w:highlight w:val="none"/>
                      <w:lang w:eastAsia="zh-CN"/>
                    </w:rPr>
                  </w:pPr>
                  <w:r>
                    <w:rPr>
                      <w:rFonts w:ascii="Times New Roman" w:hAnsi="Times New Roman" w:eastAsia="宋体" w:cs="Times New Roman"/>
                      <w:color w:val="auto"/>
                      <w:spacing w:val="4"/>
                      <w:highlight w:val="none"/>
                      <w:lang w:eastAsia="zh-CN"/>
                    </w:rPr>
                    <w:t>T</w:t>
                  </w:r>
                  <w:r>
                    <w:rPr>
                      <w:rFonts w:ascii="Times New Roman" w:hAnsi="Times New Roman" w:eastAsia="Times New Roman" w:cs="Times New Roman"/>
                      <w:color w:val="auto"/>
                      <w:spacing w:val="4"/>
                      <w:highlight w:val="none"/>
                      <w:lang w:eastAsia="zh-CN"/>
                    </w:rPr>
                    <w:t>HC</w:t>
                  </w:r>
                </w:p>
              </w:tc>
              <w:tc>
                <w:tcPr>
                  <w:tcW w:w="1266" w:type="pct"/>
                  <w:vAlign w:val="center"/>
                </w:tcPr>
                <w:p w14:paraId="640824F8">
                  <w:pPr>
                    <w:kinsoku/>
                    <w:spacing w:before="57" w:line="195"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spacing w:val="2"/>
                      <w:highlight w:val="none"/>
                      <w:lang w:eastAsia="zh-CN"/>
                    </w:rPr>
                    <w:t>3.39</w:t>
                  </w:r>
                </w:p>
              </w:tc>
              <w:tc>
                <w:tcPr>
                  <w:tcW w:w="1245" w:type="pct"/>
                  <w:vMerge w:val="continue"/>
                  <w:vAlign w:val="center"/>
                </w:tcPr>
                <w:p w14:paraId="277F1C5B">
                  <w:pPr>
                    <w:kinsoku/>
                    <w:jc w:val="center"/>
                    <w:rPr>
                      <w:rFonts w:ascii="Times New Roman" w:hAnsi="Times New Roman" w:cs="Times New Roman"/>
                      <w:color w:val="auto"/>
                      <w:highlight w:val="none"/>
                      <w:lang w:eastAsia="zh-CN"/>
                    </w:rPr>
                  </w:pPr>
                </w:p>
              </w:tc>
              <w:tc>
                <w:tcPr>
                  <w:tcW w:w="1245" w:type="pct"/>
                  <w:vAlign w:val="center"/>
                </w:tcPr>
                <w:p w14:paraId="526F95DD">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cs="Times New Roman"/>
                      <w:color w:val="auto"/>
                      <w:highlight w:val="none"/>
                    </w:rPr>
                    <w:t>1.24</w:t>
                  </w:r>
                </w:p>
              </w:tc>
            </w:tr>
            <w:tr w14:paraId="5ADCB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45" w:type="pct"/>
                  <w:vAlign w:val="center"/>
                </w:tcPr>
                <w:p w14:paraId="16EEE73C">
                  <w:pPr>
                    <w:kinsoku/>
                    <w:spacing w:before="56" w:line="202"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highlight w:val="none"/>
                      <w:lang w:eastAsia="zh-CN"/>
                    </w:rPr>
                    <w:t>SO</w:t>
                  </w:r>
                  <w:r>
                    <w:rPr>
                      <w:rFonts w:ascii="Times New Roman" w:hAnsi="Times New Roman" w:eastAsia="Times New Roman" w:cs="Times New Roman"/>
                      <w:color w:val="auto"/>
                      <w:spacing w:val="3"/>
                      <w:position w:val="-1"/>
                      <w:highlight w:val="none"/>
                      <w:vertAlign w:val="subscript"/>
                      <w:lang w:eastAsia="zh-CN"/>
                    </w:rPr>
                    <w:t>2</w:t>
                  </w:r>
                </w:p>
              </w:tc>
              <w:tc>
                <w:tcPr>
                  <w:tcW w:w="1266" w:type="pct"/>
                  <w:vAlign w:val="center"/>
                </w:tcPr>
                <w:p w14:paraId="6629A496">
                  <w:pPr>
                    <w:kinsoku/>
                    <w:spacing w:before="56" w:line="195"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spacing w:val="2"/>
                      <w:highlight w:val="none"/>
                      <w:lang w:eastAsia="zh-CN"/>
                    </w:rPr>
                    <w:t>0.02</w:t>
                  </w:r>
                </w:p>
              </w:tc>
              <w:tc>
                <w:tcPr>
                  <w:tcW w:w="1245" w:type="pct"/>
                  <w:vMerge w:val="continue"/>
                  <w:vAlign w:val="center"/>
                </w:tcPr>
                <w:p w14:paraId="669C0CBF">
                  <w:pPr>
                    <w:kinsoku/>
                    <w:jc w:val="center"/>
                    <w:rPr>
                      <w:rFonts w:ascii="Times New Roman" w:hAnsi="Times New Roman" w:cs="Times New Roman"/>
                      <w:color w:val="auto"/>
                      <w:highlight w:val="none"/>
                      <w:lang w:eastAsia="zh-CN"/>
                    </w:rPr>
                  </w:pPr>
                </w:p>
              </w:tc>
              <w:tc>
                <w:tcPr>
                  <w:tcW w:w="1245" w:type="pct"/>
                  <w:vAlign w:val="center"/>
                </w:tcPr>
                <w:p w14:paraId="0BA1D7B4">
                  <w:pPr>
                    <w:kinsoku/>
                    <w:spacing w:before="56" w:line="195" w:lineRule="auto"/>
                    <w:jc w:val="center"/>
                    <w:rPr>
                      <w:rFonts w:ascii="Times New Roman" w:hAnsi="Times New Roman" w:eastAsia="宋体" w:cs="Times New Roman"/>
                      <w:color w:val="auto"/>
                      <w:highlight w:val="none"/>
                      <w:lang w:eastAsia="zh-CN"/>
                    </w:rPr>
                  </w:pPr>
                  <w:r>
                    <w:rPr>
                      <w:rFonts w:ascii="Times New Roman" w:hAnsi="Times New Roman" w:cs="Times New Roman"/>
                      <w:color w:val="auto"/>
                      <w:highlight w:val="none"/>
                    </w:rPr>
                    <w:t>0.01</w:t>
                  </w:r>
                </w:p>
              </w:tc>
            </w:tr>
            <w:tr w14:paraId="28AEC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245" w:type="pct"/>
                  <w:vAlign w:val="center"/>
                </w:tcPr>
                <w:p w14:paraId="61AA6FCE">
                  <w:pPr>
                    <w:kinsoku/>
                    <w:spacing w:before="59" w:line="199"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highlight w:val="none"/>
                      <w:lang w:eastAsia="zh-CN"/>
                    </w:rPr>
                    <w:t>PM</w:t>
                  </w:r>
                  <w:r>
                    <w:rPr>
                      <w:rFonts w:ascii="Times New Roman" w:hAnsi="Times New Roman" w:eastAsia="Times New Roman" w:cs="Times New Roman"/>
                      <w:color w:val="auto"/>
                      <w:spacing w:val="8"/>
                      <w:position w:val="-1"/>
                      <w:highlight w:val="none"/>
                      <w:vertAlign w:val="subscript"/>
                      <w:lang w:eastAsia="zh-CN"/>
                    </w:rPr>
                    <w:t>10</w:t>
                  </w:r>
                </w:p>
              </w:tc>
              <w:tc>
                <w:tcPr>
                  <w:tcW w:w="1266" w:type="pct"/>
                  <w:vAlign w:val="center"/>
                </w:tcPr>
                <w:p w14:paraId="62900C6C">
                  <w:pPr>
                    <w:kinsoku/>
                    <w:spacing w:before="56" w:line="195"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spacing w:val="3"/>
                      <w:highlight w:val="none"/>
                      <w:lang w:eastAsia="zh-CN"/>
                    </w:rPr>
                    <w:t>2.09</w:t>
                  </w:r>
                </w:p>
              </w:tc>
              <w:tc>
                <w:tcPr>
                  <w:tcW w:w="1245" w:type="pct"/>
                  <w:vMerge w:val="continue"/>
                  <w:vAlign w:val="center"/>
                </w:tcPr>
                <w:p w14:paraId="4B397C3A">
                  <w:pPr>
                    <w:kinsoku/>
                    <w:jc w:val="center"/>
                    <w:rPr>
                      <w:rFonts w:ascii="Times New Roman" w:hAnsi="Times New Roman" w:cs="Times New Roman"/>
                      <w:color w:val="auto"/>
                      <w:highlight w:val="none"/>
                      <w:lang w:eastAsia="zh-CN"/>
                    </w:rPr>
                  </w:pPr>
                </w:p>
              </w:tc>
              <w:tc>
                <w:tcPr>
                  <w:tcW w:w="1245" w:type="pct"/>
                  <w:vAlign w:val="center"/>
                </w:tcPr>
                <w:p w14:paraId="775F939C">
                  <w:pPr>
                    <w:kinsoku/>
                    <w:spacing w:before="56" w:line="195" w:lineRule="auto"/>
                    <w:jc w:val="center"/>
                    <w:rPr>
                      <w:rFonts w:ascii="Times New Roman" w:hAnsi="Times New Roman" w:eastAsia="宋体" w:cs="Times New Roman"/>
                      <w:color w:val="auto"/>
                      <w:highlight w:val="none"/>
                      <w:lang w:eastAsia="zh-CN"/>
                    </w:rPr>
                  </w:pPr>
                  <w:r>
                    <w:rPr>
                      <w:rFonts w:ascii="Times New Roman" w:hAnsi="Times New Roman" w:cs="Times New Roman"/>
                      <w:color w:val="auto"/>
                      <w:highlight w:val="none"/>
                    </w:rPr>
                    <w:t>0.76</w:t>
                  </w:r>
                </w:p>
              </w:tc>
            </w:tr>
            <w:tr w14:paraId="7783B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245" w:type="pct"/>
                  <w:vAlign w:val="center"/>
                </w:tcPr>
                <w:p w14:paraId="5308DBC6">
                  <w:pPr>
                    <w:kinsoku/>
                    <w:spacing w:before="65" w:line="199" w:lineRule="auto"/>
                    <w:jc w:val="center"/>
                    <w:rPr>
                      <w:rFonts w:ascii="Times New Roman" w:hAnsi="Times New Roman" w:eastAsia="Times New Roman" w:cs="Times New Roman"/>
                      <w:color w:val="auto"/>
                      <w:highlight w:val="none"/>
                      <w:lang w:eastAsia="zh-CN"/>
                    </w:rPr>
                  </w:pPr>
                  <w:r>
                    <w:rPr>
                      <w:rFonts w:ascii="Times New Roman" w:hAnsi="Times New Roman" w:eastAsia="Times New Roman" w:cs="Times New Roman"/>
                      <w:color w:val="auto"/>
                      <w:highlight w:val="none"/>
                      <w:lang w:eastAsia="zh-CN"/>
                    </w:rPr>
                    <w:t>PM</w:t>
                  </w:r>
                  <w:r>
                    <w:rPr>
                      <w:rFonts w:ascii="Times New Roman" w:hAnsi="Times New Roman" w:eastAsia="Times New Roman" w:cs="Times New Roman"/>
                      <w:color w:val="auto"/>
                      <w:spacing w:val="6"/>
                      <w:position w:val="-1"/>
                      <w:highlight w:val="none"/>
                      <w:vertAlign w:val="subscript"/>
                      <w:lang w:eastAsia="zh-CN"/>
                    </w:rPr>
                    <w:t>2.5</w:t>
                  </w:r>
                </w:p>
              </w:tc>
              <w:tc>
                <w:tcPr>
                  <w:tcW w:w="1266" w:type="pct"/>
                  <w:vAlign w:val="center"/>
                </w:tcPr>
                <w:p w14:paraId="15E42CF9">
                  <w:pPr>
                    <w:kinsoku/>
                    <w:spacing w:before="62" w:line="195" w:lineRule="auto"/>
                    <w:jc w:val="center"/>
                    <w:rPr>
                      <w:rFonts w:ascii="Times New Roman" w:hAnsi="Times New Roman" w:eastAsia="Times New Roman" w:cs="Times New Roman"/>
                      <w:color w:val="auto"/>
                      <w:spacing w:val="3"/>
                      <w:highlight w:val="none"/>
                      <w:lang w:eastAsia="zh-CN"/>
                    </w:rPr>
                  </w:pPr>
                  <w:r>
                    <w:rPr>
                      <w:rFonts w:ascii="Times New Roman" w:hAnsi="Times New Roman" w:eastAsia="Times New Roman" w:cs="Times New Roman"/>
                      <w:color w:val="auto"/>
                      <w:spacing w:val="3"/>
                      <w:highlight w:val="none"/>
                      <w:lang w:eastAsia="zh-CN"/>
                    </w:rPr>
                    <w:t>2.09</w:t>
                  </w:r>
                </w:p>
              </w:tc>
              <w:tc>
                <w:tcPr>
                  <w:tcW w:w="1245" w:type="pct"/>
                  <w:vMerge w:val="continue"/>
                  <w:vAlign w:val="center"/>
                </w:tcPr>
                <w:p w14:paraId="6D9E1177">
                  <w:pPr>
                    <w:kinsoku/>
                    <w:jc w:val="center"/>
                    <w:rPr>
                      <w:rFonts w:ascii="Times New Roman" w:hAnsi="Times New Roman" w:cs="Times New Roman"/>
                      <w:color w:val="auto"/>
                      <w:highlight w:val="none"/>
                      <w:lang w:eastAsia="zh-CN"/>
                    </w:rPr>
                  </w:pPr>
                </w:p>
              </w:tc>
              <w:tc>
                <w:tcPr>
                  <w:tcW w:w="1245" w:type="pct"/>
                  <w:vAlign w:val="center"/>
                </w:tcPr>
                <w:p w14:paraId="6410E73B">
                  <w:pPr>
                    <w:kinsoku/>
                    <w:spacing w:before="62" w:line="195" w:lineRule="auto"/>
                    <w:jc w:val="center"/>
                    <w:rPr>
                      <w:rFonts w:ascii="Times New Roman" w:hAnsi="Times New Roman" w:eastAsia="宋体" w:cs="Times New Roman"/>
                      <w:color w:val="auto"/>
                      <w:spacing w:val="2"/>
                      <w:highlight w:val="none"/>
                      <w:lang w:eastAsia="zh-CN"/>
                    </w:rPr>
                  </w:pPr>
                  <w:r>
                    <w:rPr>
                      <w:rFonts w:ascii="Times New Roman" w:hAnsi="Times New Roman" w:cs="Times New Roman"/>
                      <w:color w:val="auto"/>
                      <w:highlight w:val="none"/>
                    </w:rPr>
                    <w:t>0.76</w:t>
                  </w:r>
                </w:p>
              </w:tc>
            </w:tr>
          </w:tbl>
          <w:p w14:paraId="13F442B8">
            <w:pPr>
              <w:widowControl w:val="0"/>
              <w:kinsoku/>
              <w:spacing w:line="360" w:lineRule="auto"/>
              <w:jc w:val="center"/>
              <w:rPr>
                <w:rFonts w:ascii="Times New Roman" w:hAnsi="Times New Roman" w:cs="Times New Roman"/>
                <w:b/>
                <w:bCs/>
                <w:color w:val="auto"/>
                <w:highlight w:val="none"/>
                <w:lang w:eastAsia="zh-CN"/>
              </w:rPr>
            </w:pPr>
          </w:p>
          <w:p w14:paraId="1CB04651">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本环评要求钻井期间定期对柴油机、柴油发电机等设备进行维护，并且采用高品质的柴油、添加柴油助燃剂等措施，在很大程度上可降低柴油燃烧污染物的排放，减轻对大气环境的影响。</w:t>
            </w:r>
          </w:p>
          <w:p w14:paraId="3186511E">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项目区地域空旷，周围扩散条件良好，且废气随施工的结束而消失。因此，对区域大气环境影响不大。</w:t>
            </w:r>
          </w:p>
          <w:p w14:paraId="08E2AE83">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（2）施工机械及施工车辆尾气</w:t>
            </w:r>
          </w:p>
          <w:p w14:paraId="7B4D9D6B">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机械及施工车辆运行过程中会产生一定的尾气，对周围大气环境产生一定的影响；各类施工机械及施工车辆均采用符合国家标准的油品，定期对施工机械及车辆检维修并加强保养，保证施工机械及车辆正常运行，且废气随着施工期的结束而消失，不会对周围大气环境产生不利影响。</w:t>
            </w:r>
          </w:p>
          <w:p w14:paraId="6B9D1D29">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（3）施工扬尘</w:t>
            </w:r>
          </w:p>
          <w:p w14:paraId="0574A183">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井场平整、探临道路、生活营地等建设及施工运输车辆会产生扬尘，对周围大气环境产生一定的影响；施工期加强管理、对易起尘物料进行遮盖、车辆低速慢行等措施，且扬尘随着施工期的结束而消失，不会对周围大气环境产生不利影响。</w:t>
            </w:r>
          </w:p>
          <w:p w14:paraId="6664DC8E">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（4）伴生气燃烧烟气</w:t>
            </w:r>
          </w:p>
          <w:p w14:paraId="466E15BE">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钻井和试油过程中可能会出现油层伴生气排出地面的情况，伴生气经过液气分离后通过点火排放。由于勘探前油藏情况未明，伴生气产生量无法确定，根据准东采油管理区区域已经完钻的探井可知，试油期产生的伴生气气量不稳定，不具备回收利用条件，但具备燃烧条件的，经排气管线充分燃烧后排放，因此，本工程伴生气通过排气管线充分燃烧后放空，属于阶段性排放，且随着钻试结束而停止产生，只在打开目的层且井筒压力过大时才会进行放喷。</w:t>
            </w:r>
          </w:p>
          <w:p w14:paraId="0844F1EB">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本次评价按照钻井经验中对环境最不利情况进行分析，按照伴生气产生最大量进行估算，整个试油期放喷1次，放喷时间15min，放喷气量30m</w:t>
            </w:r>
            <w:r>
              <w:rPr>
                <w:rFonts w:ascii="Times New Roman" w:hAnsi="Times New Roman" w:eastAsia="宋体" w:cs="Times New Roman"/>
                <w:color w:val="auto"/>
                <w:sz w:val="24"/>
                <w:szCs w:val="24"/>
                <w:highlight w:val="none"/>
                <w:vertAlign w:val="superscript"/>
                <w:lang w:eastAsia="zh-CN"/>
              </w:rPr>
              <w:t>3</w:t>
            </w:r>
            <w:r>
              <w:rPr>
                <w:rFonts w:ascii="Times New Roman" w:hAnsi="Times New Roman" w:eastAsia="宋体" w:cs="Times New Roman"/>
                <w:color w:val="auto"/>
                <w:sz w:val="24"/>
                <w:szCs w:val="24"/>
                <w:highlight w:val="none"/>
                <w:lang w:eastAsia="zh-CN"/>
              </w:rPr>
              <w:t>/h进行核算，伴生气产生量7.5m</w:t>
            </w:r>
            <w:r>
              <w:rPr>
                <w:rFonts w:ascii="Times New Roman" w:hAnsi="Times New Roman" w:eastAsia="宋体" w:cs="Times New Roman"/>
                <w:color w:val="auto"/>
                <w:sz w:val="24"/>
                <w:szCs w:val="24"/>
                <w:highlight w:val="none"/>
                <w:vertAlign w:val="superscript"/>
                <w:lang w:eastAsia="zh-CN"/>
              </w:rPr>
              <w:t>3</w:t>
            </w:r>
            <w:r>
              <w:rPr>
                <w:rFonts w:ascii="Times New Roman" w:hAnsi="Times New Roman" w:eastAsia="宋体" w:cs="Times New Roman"/>
                <w:color w:val="auto"/>
                <w:sz w:val="24"/>
                <w:szCs w:val="24"/>
                <w:highlight w:val="none"/>
                <w:lang w:eastAsia="zh-CN"/>
              </w:rPr>
              <w:t>。伴生气主要成分为甲烷，基本不含硫，燃烧后排放污染物主要为NOx和颗粒物。根据《第一次全国污染源普查工业污染源产排污系数手册》以及《实用环境保护数据大全》，核算本项目伴生气燃烧废气污染物的产排情况见表4-3。</w:t>
            </w:r>
          </w:p>
          <w:p w14:paraId="58017A51">
            <w:pPr>
              <w:widowControl w:val="0"/>
              <w:kinsoku/>
              <w:spacing w:before="120" w:beforeLines="50" w:line="360" w:lineRule="auto"/>
              <w:jc w:val="center"/>
              <w:rPr>
                <w:rFonts w:ascii="Times New Roman" w:hAnsi="Times New Roman" w:cs="Times New Roman"/>
                <w:b/>
                <w:bCs/>
                <w:color w:val="auto"/>
                <w:highlight w:val="none"/>
                <w:lang w:eastAsia="zh-CN"/>
              </w:rPr>
            </w:pPr>
            <w:r>
              <w:rPr>
                <w:rFonts w:hint="eastAsia" w:ascii="宋体" w:hAnsi="宋体" w:eastAsia="宋体" w:cs="宋体"/>
                <w:b/>
                <w:bCs/>
                <w:color w:val="auto"/>
                <w:highlight w:val="none"/>
                <w:lang w:eastAsia="zh-CN"/>
              </w:rPr>
              <w:t>表</w:t>
            </w:r>
            <w:r>
              <w:rPr>
                <w:rFonts w:ascii="Times New Roman" w:hAnsi="Times New Roman" w:eastAsia="宋体" w:cs="Times New Roman"/>
                <w:b/>
                <w:bCs/>
                <w:color w:val="auto"/>
                <w:highlight w:val="none"/>
                <w:lang w:eastAsia="zh-CN"/>
              </w:rPr>
              <w:t>4</w:t>
            </w:r>
            <w:r>
              <w:rPr>
                <w:rFonts w:ascii="Times New Roman" w:hAnsi="Times New Roman" w:cs="Times New Roman"/>
                <w:b/>
                <w:bCs/>
                <w:color w:val="auto"/>
                <w:highlight w:val="none"/>
                <w:lang w:eastAsia="zh-CN"/>
              </w:rPr>
              <w:t xml:space="preserve">-3 </w:t>
            </w:r>
            <w:r>
              <w:rPr>
                <w:rFonts w:hint="eastAsia" w:ascii="宋体" w:hAnsi="宋体" w:eastAsia="宋体" w:cs="宋体"/>
                <w:b/>
                <w:bCs/>
                <w:color w:val="auto"/>
                <w:highlight w:val="none"/>
                <w:lang w:eastAsia="zh-CN"/>
              </w:rPr>
              <w:t>放喷废气污染物排放量表</w:t>
            </w:r>
          </w:p>
          <w:tbl>
            <w:tblPr>
              <w:tblStyle w:val="2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92"/>
              <w:gridCol w:w="1635"/>
              <w:gridCol w:w="1954"/>
              <w:gridCol w:w="2011"/>
            </w:tblGrid>
            <w:tr w14:paraId="4E67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539" w:type="pct"/>
                  <w:tcBorders>
                    <w:top w:val="single" w:color="000000" w:sz="10" w:space="0"/>
                  </w:tcBorders>
                  <w:vAlign w:val="center"/>
                </w:tcPr>
                <w:p w14:paraId="4BBE6D3C">
                  <w:pPr>
                    <w:pStyle w:val="22"/>
                    <w:kinsoku/>
                    <w:spacing w:before="73" w:line="228" w:lineRule="auto"/>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7"/>
                      <w:sz w:val="21"/>
                      <w:szCs w:val="21"/>
                      <w:highlight w:val="none"/>
                      <w:lang w:eastAsia="zh-CN"/>
                    </w:rPr>
                    <w:t>污染物名称</w:t>
                  </w:r>
                </w:p>
              </w:tc>
              <w:tc>
                <w:tcPr>
                  <w:tcW w:w="1010" w:type="pct"/>
                  <w:tcBorders>
                    <w:top w:val="single" w:color="000000" w:sz="10" w:space="0"/>
                  </w:tcBorders>
                  <w:vAlign w:val="center"/>
                </w:tcPr>
                <w:p w14:paraId="637181A5">
                  <w:pPr>
                    <w:pStyle w:val="22"/>
                    <w:kinsoku/>
                    <w:spacing w:before="73" w:line="228" w:lineRule="auto"/>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7"/>
                      <w:sz w:val="21"/>
                      <w:szCs w:val="21"/>
                      <w:highlight w:val="none"/>
                      <w:lang w:eastAsia="zh-CN"/>
                    </w:rPr>
                    <w:t>废气量</w:t>
                  </w:r>
                </w:p>
              </w:tc>
              <w:tc>
                <w:tcPr>
                  <w:tcW w:w="1207" w:type="pct"/>
                  <w:tcBorders>
                    <w:top w:val="single" w:color="000000" w:sz="10" w:space="0"/>
                  </w:tcBorders>
                  <w:vAlign w:val="center"/>
                </w:tcPr>
                <w:p w14:paraId="14877188">
                  <w:pPr>
                    <w:kinsoku/>
                    <w:spacing w:before="111" w:line="195" w:lineRule="auto"/>
                    <w:jc w:val="center"/>
                    <w:rPr>
                      <w:rFonts w:ascii="Times New Roman" w:hAnsi="Times New Roman" w:eastAsia="Times New Roman" w:cs="Times New Roman"/>
                      <w:b/>
                      <w:bCs/>
                      <w:color w:val="auto"/>
                      <w:highlight w:val="none"/>
                      <w:lang w:eastAsia="zh-CN"/>
                    </w:rPr>
                  </w:pPr>
                  <w:r>
                    <w:rPr>
                      <w:rFonts w:ascii="Times New Roman" w:hAnsi="Times New Roman" w:eastAsia="Times New Roman" w:cs="Times New Roman"/>
                      <w:b/>
                      <w:bCs/>
                      <w:color w:val="auto"/>
                      <w:spacing w:val="7"/>
                      <w:highlight w:val="none"/>
                      <w:lang w:eastAsia="zh-CN"/>
                    </w:rPr>
                    <w:t>NO</w:t>
                  </w:r>
                  <w:r>
                    <w:rPr>
                      <w:rFonts w:ascii="Times New Roman" w:hAnsi="Times New Roman" w:eastAsia="Times New Roman" w:cs="Times New Roman"/>
                      <w:b/>
                      <w:bCs/>
                      <w:color w:val="auto"/>
                      <w:spacing w:val="7"/>
                      <w:highlight w:val="none"/>
                      <w:vertAlign w:val="subscript"/>
                      <w:lang w:eastAsia="zh-CN"/>
                    </w:rPr>
                    <w:t>X</w:t>
                  </w:r>
                </w:p>
              </w:tc>
              <w:tc>
                <w:tcPr>
                  <w:tcW w:w="1242" w:type="pct"/>
                  <w:tcBorders>
                    <w:top w:val="single" w:color="000000" w:sz="10" w:space="0"/>
                    <w:right w:val="single" w:color="000000" w:sz="4" w:space="0"/>
                  </w:tcBorders>
                  <w:vAlign w:val="center"/>
                </w:tcPr>
                <w:p w14:paraId="2B1B3909">
                  <w:pPr>
                    <w:pStyle w:val="22"/>
                    <w:kinsoku/>
                    <w:spacing w:before="73" w:line="228" w:lineRule="auto"/>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pacing w:val="7"/>
                      <w:sz w:val="21"/>
                      <w:szCs w:val="21"/>
                      <w:highlight w:val="none"/>
                      <w:lang w:eastAsia="zh-CN"/>
                    </w:rPr>
                    <w:t>颗粒物</w:t>
                  </w:r>
                </w:p>
              </w:tc>
            </w:tr>
            <w:tr w14:paraId="32E95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39" w:type="pct"/>
                  <w:vAlign w:val="center"/>
                </w:tcPr>
                <w:p w14:paraId="02C1D18A">
                  <w:pPr>
                    <w:pStyle w:val="22"/>
                    <w:kinsoku/>
                    <w:spacing w:before="169" w:line="228"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产污系数</w:t>
                  </w:r>
                </w:p>
              </w:tc>
              <w:tc>
                <w:tcPr>
                  <w:tcW w:w="1010" w:type="pct"/>
                  <w:vAlign w:val="center"/>
                </w:tcPr>
                <w:p w14:paraId="609043AB">
                  <w:pPr>
                    <w:pStyle w:val="22"/>
                    <w:kinsoku/>
                    <w:spacing w:before="36" w:line="232"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w:t>
                  </w:r>
                </w:p>
              </w:tc>
              <w:tc>
                <w:tcPr>
                  <w:tcW w:w="1207" w:type="pct"/>
                  <w:vAlign w:val="center"/>
                </w:tcPr>
                <w:p w14:paraId="1980DB3B">
                  <w:pPr>
                    <w:pStyle w:val="22"/>
                    <w:kinsoku/>
                    <w:spacing w:before="169" w:line="221" w:lineRule="auto"/>
                    <w:jc w:val="center"/>
                    <w:rPr>
                      <w:rFonts w:ascii="Times New Roman" w:hAnsi="Times New Roman" w:cs="Times New Roman"/>
                      <w:color w:val="auto"/>
                      <w:sz w:val="21"/>
                      <w:szCs w:val="21"/>
                      <w:highlight w:val="none"/>
                      <w:lang w:eastAsia="zh-CN"/>
                    </w:rPr>
                  </w:pPr>
                  <w:r>
                    <w:rPr>
                      <w:rFonts w:ascii="Times New Roman" w:hAnsi="Times New Roman" w:eastAsia="Times New Roman" w:cs="Times New Roman"/>
                      <w:color w:val="auto"/>
                      <w:spacing w:val="6"/>
                      <w:sz w:val="21"/>
                      <w:szCs w:val="21"/>
                      <w:highlight w:val="none"/>
                      <w:lang w:eastAsia="zh-CN"/>
                    </w:rPr>
                    <w:t>9.36</w:t>
                  </w:r>
                  <w:r>
                    <w:rPr>
                      <w:rFonts w:ascii="Times New Roman" w:hAnsi="Times New Roman" w:eastAsia="Times New Roman" w:cs="Times New Roman"/>
                      <w:color w:val="auto"/>
                      <w:sz w:val="21"/>
                      <w:szCs w:val="21"/>
                      <w:highlight w:val="none"/>
                      <w:lang w:eastAsia="zh-CN"/>
                    </w:rPr>
                    <w:t>kg</w:t>
                  </w:r>
                  <w:r>
                    <w:rPr>
                      <w:rFonts w:ascii="Times New Roman" w:hAnsi="Times New Roman" w:eastAsia="Times New Roman" w:cs="Times New Roman"/>
                      <w:color w:val="auto"/>
                      <w:spacing w:val="6"/>
                      <w:sz w:val="21"/>
                      <w:szCs w:val="21"/>
                      <w:highlight w:val="none"/>
                      <w:lang w:eastAsia="zh-CN"/>
                    </w:rPr>
                    <w:t>/</w:t>
                  </w:r>
                  <w:r>
                    <w:rPr>
                      <w:rFonts w:ascii="Times New Roman" w:hAnsi="Times New Roman" w:cs="Times New Roman"/>
                      <w:color w:val="auto"/>
                      <w:spacing w:val="6"/>
                      <w:sz w:val="21"/>
                      <w:szCs w:val="21"/>
                      <w:highlight w:val="none"/>
                      <w:lang w:eastAsia="zh-CN"/>
                    </w:rPr>
                    <w:t>万</w:t>
                  </w:r>
                  <w:r>
                    <w:rPr>
                      <w:rFonts w:ascii="Times New Roman" w:hAnsi="Times New Roman" w:cs="Times New Roman"/>
                      <w:color w:val="auto"/>
                      <w:sz w:val="24"/>
                      <w:szCs w:val="24"/>
                      <w:highlight w:val="none"/>
                      <w:lang w:eastAsia="zh-CN"/>
                    </w:rPr>
                    <w:t>m</w:t>
                  </w:r>
                  <w:r>
                    <w:rPr>
                      <w:rFonts w:ascii="Times New Roman" w:hAnsi="Times New Roman" w:cs="Times New Roman"/>
                      <w:color w:val="auto"/>
                      <w:sz w:val="24"/>
                      <w:szCs w:val="24"/>
                      <w:highlight w:val="none"/>
                      <w:vertAlign w:val="superscript"/>
                      <w:lang w:eastAsia="zh-CN"/>
                    </w:rPr>
                    <w:t>3</w:t>
                  </w:r>
                  <w:r>
                    <w:rPr>
                      <w:rFonts w:ascii="Times New Roman" w:hAnsi="Times New Roman" w:cs="Times New Roman"/>
                      <w:color w:val="auto"/>
                      <w:spacing w:val="6"/>
                      <w:sz w:val="21"/>
                      <w:szCs w:val="21"/>
                      <w:highlight w:val="none"/>
                      <w:lang w:eastAsia="zh-CN"/>
                    </w:rPr>
                    <w:t>伴生气</w:t>
                  </w:r>
                </w:p>
              </w:tc>
              <w:tc>
                <w:tcPr>
                  <w:tcW w:w="1242" w:type="pct"/>
                  <w:tcBorders>
                    <w:right w:val="single" w:color="000000" w:sz="4" w:space="0"/>
                  </w:tcBorders>
                  <w:vAlign w:val="center"/>
                </w:tcPr>
                <w:p w14:paraId="7F672452">
                  <w:pPr>
                    <w:pStyle w:val="22"/>
                    <w:kinsoku/>
                    <w:spacing w:before="169" w:line="221" w:lineRule="auto"/>
                    <w:jc w:val="center"/>
                    <w:rPr>
                      <w:rFonts w:ascii="Times New Roman" w:hAnsi="Times New Roman" w:cs="Times New Roman"/>
                      <w:color w:val="auto"/>
                      <w:sz w:val="21"/>
                      <w:szCs w:val="21"/>
                      <w:highlight w:val="none"/>
                      <w:lang w:eastAsia="zh-CN"/>
                    </w:rPr>
                  </w:pPr>
                  <w:r>
                    <w:rPr>
                      <w:rFonts w:ascii="Times New Roman" w:hAnsi="Times New Roman" w:eastAsia="Times New Roman" w:cs="Times New Roman"/>
                      <w:color w:val="auto"/>
                      <w:spacing w:val="5"/>
                      <w:sz w:val="21"/>
                      <w:szCs w:val="21"/>
                      <w:highlight w:val="none"/>
                      <w:lang w:eastAsia="zh-CN"/>
                    </w:rPr>
                    <w:t>1.2</w:t>
                  </w:r>
                  <w:r>
                    <w:rPr>
                      <w:rFonts w:ascii="Times New Roman" w:hAnsi="Times New Roman" w:eastAsia="Times New Roman" w:cs="Times New Roman"/>
                      <w:color w:val="auto"/>
                      <w:sz w:val="21"/>
                      <w:szCs w:val="21"/>
                      <w:highlight w:val="none"/>
                      <w:lang w:eastAsia="zh-CN"/>
                    </w:rPr>
                    <w:t>kg</w:t>
                  </w:r>
                  <w:r>
                    <w:rPr>
                      <w:rFonts w:ascii="Times New Roman" w:hAnsi="Times New Roman" w:eastAsia="Times New Roman" w:cs="Times New Roman"/>
                      <w:color w:val="auto"/>
                      <w:spacing w:val="5"/>
                      <w:sz w:val="21"/>
                      <w:szCs w:val="21"/>
                      <w:highlight w:val="none"/>
                      <w:lang w:eastAsia="zh-CN"/>
                    </w:rPr>
                    <w:t>/</w:t>
                  </w:r>
                  <w:r>
                    <w:rPr>
                      <w:rFonts w:ascii="Times New Roman" w:hAnsi="Times New Roman" w:cs="Times New Roman"/>
                      <w:color w:val="auto"/>
                      <w:spacing w:val="5"/>
                      <w:sz w:val="21"/>
                      <w:szCs w:val="21"/>
                      <w:highlight w:val="none"/>
                      <w:lang w:eastAsia="zh-CN"/>
                    </w:rPr>
                    <w:t>万</w:t>
                  </w:r>
                  <w:r>
                    <w:rPr>
                      <w:rFonts w:ascii="Times New Roman" w:hAnsi="Times New Roman" w:cs="Times New Roman"/>
                      <w:color w:val="auto"/>
                      <w:sz w:val="24"/>
                      <w:szCs w:val="24"/>
                      <w:highlight w:val="none"/>
                      <w:lang w:eastAsia="zh-CN"/>
                    </w:rPr>
                    <w:t>m</w:t>
                  </w:r>
                  <w:r>
                    <w:rPr>
                      <w:rFonts w:ascii="Times New Roman" w:hAnsi="Times New Roman" w:cs="Times New Roman"/>
                      <w:color w:val="auto"/>
                      <w:sz w:val="24"/>
                      <w:szCs w:val="24"/>
                      <w:highlight w:val="none"/>
                      <w:vertAlign w:val="superscript"/>
                      <w:lang w:eastAsia="zh-CN"/>
                    </w:rPr>
                    <w:t>3</w:t>
                  </w:r>
                  <w:r>
                    <w:rPr>
                      <w:rFonts w:ascii="Times New Roman" w:hAnsi="Times New Roman" w:cs="Times New Roman"/>
                      <w:color w:val="auto"/>
                      <w:spacing w:val="5"/>
                      <w:sz w:val="21"/>
                      <w:szCs w:val="21"/>
                      <w:highlight w:val="none"/>
                      <w:lang w:eastAsia="zh-CN"/>
                    </w:rPr>
                    <w:t>伴生气</w:t>
                  </w:r>
                </w:p>
              </w:tc>
            </w:tr>
            <w:tr w14:paraId="5EE6E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539" w:type="pct"/>
                  <w:vAlign w:val="center"/>
                </w:tcPr>
                <w:p w14:paraId="3DFB68B1">
                  <w:pPr>
                    <w:pStyle w:val="22"/>
                    <w:kinsoku/>
                    <w:spacing w:before="74" w:line="221"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大气污染物排放量</w:t>
                  </w:r>
                </w:p>
              </w:tc>
              <w:tc>
                <w:tcPr>
                  <w:tcW w:w="1010" w:type="pct"/>
                  <w:vAlign w:val="center"/>
                </w:tcPr>
                <w:p w14:paraId="70EC3134">
                  <w:pPr>
                    <w:kinsoku/>
                    <w:spacing w:before="108" w:line="199"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7.5×2（</w:t>
                  </w:r>
                  <w:r>
                    <w:rPr>
                      <w:rFonts w:ascii="Times New Roman" w:hAnsi="Times New Roman" w:eastAsia="宋体" w:cs="Times New Roman"/>
                      <w:color w:val="auto"/>
                      <w:highlight w:val="none"/>
                      <w:lang w:eastAsia="zh-CN"/>
                    </w:rPr>
                    <w:t>m</w:t>
                  </w:r>
                  <w:r>
                    <w:rPr>
                      <w:rFonts w:ascii="Times New Roman" w:hAnsi="Times New Roman" w:eastAsia="宋体" w:cs="Times New Roman"/>
                      <w:color w:val="auto"/>
                      <w:highlight w:val="none"/>
                      <w:vertAlign w:val="superscript"/>
                      <w:lang w:eastAsia="zh-CN"/>
                    </w:rPr>
                    <w:t>3</w:t>
                  </w:r>
                  <w:r>
                    <w:rPr>
                      <w:rFonts w:ascii="Times New Roman" w:hAnsi="Times New Roman" w:eastAsia="宋体" w:cs="Times New Roman"/>
                      <w:color w:val="auto"/>
                      <w:spacing w:val="2"/>
                      <w:highlight w:val="none"/>
                      <w:lang w:eastAsia="zh-CN"/>
                    </w:rPr>
                    <w:t>）</w:t>
                  </w:r>
                </w:p>
              </w:tc>
              <w:tc>
                <w:tcPr>
                  <w:tcW w:w="1207" w:type="pct"/>
                  <w:vAlign w:val="center"/>
                </w:tcPr>
                <w:p w14:paraId="30288F1A">
                  <w:pPr>
                    <w:kinsoku/>
                    <w:spacing w:before="112"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3"/>
                      <w:highlight w:val="none"/>
                      <w:lang w:eastAsia="zh-CN"/>
                    </w:rPr>
                    <w:t>0.014</w:t>
                  </w:r>
                  <w:r>
                    <w:rPr>
                      <w:rFonts w:hint="eastAsia" w:ascii="宋体" w:hAnsi="宋体" w:eastAsia="宋体" w:cs="宋体"/>
                      <w:color w:val="auto"/>
                      <w:spacing w:val="7"/>
                      <w:highlight w:val="none"/>
                      <w:lang w:eastAsia="zh-CN"/>
                    </w:rPr>
                    <w:t>（</w:t>
                  </w:r>
                  <w:r>
                    <w:rPr>
                      <w:rFonts w:ascii="Times New Roman" w:hAnsi="Times New Roman" w:eastAsia="Times New Roman" w:cs="Times New Roman"/>
                      <w:color w:val="auto"/>
                      <w:highlight w:val="none"/>
                      <w:lang w:eastAsia="zh-CN"/>
                    </w:rPr>
                    <w:t>kg</w:t>
                  </w:r>
                  <w:r>
                    <w:rPr>
                      <w:rFonts w:hint="eastAsia" w:ascii="宋体" w:hAnsi="宋体" w:eastAsia="宋体" w:cs="宋体"/>
                      <w:color w:val="auto"/>
                      <w:spacing w:val="7"/>
                      <w:highlight w:val="none"/>
                      <w:lang w:eastAsia="zh-CN"/>
                    </w:rPr>
                    <w:t>）</w:t>
                  </w:r>
                </w:p>
              </w:tc>
              <w:tc>
                <w:tcPr>
                  <w:tcW w:w="1242" w:type="pct"/>
                  <w:tcBorders>
                    <w:right w:val="single" w:color="000000" w:sz="4" w:space="0"/>
                  </w:tcBorders>
                  <w:vAlign w:val="center"/>
                </w:tcPr>
                <w:p w14:paraId="1F06B1FD">
                  <w:pPr>
                    <w:kinsoku/>
                    <w:spacing w:before="112"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2"/>
                      <w:highlight w:val="none"/>
                      <w:lang w:eastAsia="zh-CN"/>
                    </w:rPr>
                    <w:t>0.0018</w:t>
                  </w:r>
                  <w:r>
                    <w:rPr>
                      <w:rFonts w:hint="eastAsia" w:ascii="宋体" w:hAnsi="宋体" w:eastAsia="宋体" w:cs="宋体"/>
                      <w:color w:val="auto"/>
                      <w:spacing w:val="7"/>
                      <w:highlight w:val="none"/>
                      <w:lang w:eastAsia="zh-CN"/>
                    </w:rPr>
                    <w:t>（</w:t>
                  </w:r>
                  <w:r>
                    <w:rPr>
                      <w:rFonts w:ascii="Times New Roman" w:hAnsi="Times New Roman" w:eastAsia="Times New Roman" w:cs="Times New Roman"/>
                      <w:color w:val="auto"/>
                      <w:highlight w:val="none"/>
                      <w:lang w:eastAsia="zh-CN"/>
                    </w:rPr>
                    <w:t>kg</w:t>
                  </w:r>
                  <w:r>
                    <w:rPr>
                      <w:rFonts w:hint="eastAsia" w:ascii="宋体" w:hAnsi="宋体" w:eastAsia="宋体" w:cs="宋体"/>
                      <w:color w:val="auto"/>
                      <w:spacing w:val="7"/>
                      <w:highlight w:val="none"/>
                      <w:lang w:eastAsia="zh-CN"/>
                    </w:rPr>
                    <w:t>）</w:t>
                  </w:r>
                </w:p>
              </w:tc>
            </w:tr>
          </w:tbl>
          <w:p w14:paraId="5C13C5A0">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p>
          <w:p w14:paraId="7D917E36">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根据表4-3，整个试油周期燃放产生氮氧化物0.014kg，产生颗粒物0.0018kg；根据周边探井试油情况推断，本项目伴生气产生量较少，符合《陆上石油天然气开采工业大气污染物排放标准》（GB 39728—2020）中规定的其他排放控制要求。由于伴生气放空燃烧属短期排放且产生量较少，因此伴生气燃烧废气对环境的影响可以接受。</w:t>
            </w:r>
          </w:p>
          <w:p w14:paraId="51A3DDD2">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（5）采出液储存及装车过程的无组织废气</w:t>
            </w:r>
          </w:p>
          <w:p w14:paraId="1681930A">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试油期产生的采出液暂存于地面储罐，由罐车定期拉运至吉28脱水站处理，采出液在储存及装车过程中会产生无组织挥发烃类（以非甲烷总烃计）和硫化氢。本项目主要为探明区域油藏含油气性及规模，试油过程不确定性大，试油阶段采出液产生情况无法确定，且采出液装载仅在试油期进行，随试油期结束而停止产生；项目周边地域空旷、扩散条件良好；试油期采出液储存及装车过程产生的无组织非甲烷总烃应符合《陆上石油天然气开采工业大气污染物排放标准》（GB39728-2020）中相关标准限值要求，硫化氢排放浓度应满足《恶臭污染物排放标准》（GB14554-93）表1二级新改扩建浓度要求，不会对区域环境产生较大影响。</w:t>
            </w:r>
          </w:p>
          <w:p w14:paraId="03F2A0A2">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（6）柴油卸车及储存无组织废气</w:t>
            </w:r>
          </w:p>
          <w:p w14:paraId="0E090A99">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井场设1座柴油罐，为固定顶罐，外购柴油由罐车拉运至井场后暂存于储罐内，最大贮存量约20t。柴油卸车及临时贮存时会产生一定的无组织挥发性废气，由于柴油周转量较小，真实蒸气压较低，挥发性低，由柴油卸车及储罐临时储存产生的挥发性废气量较小，不会对周围大气环境产生明显不利影响。对比新疆油田其他类似钻井井场，井场场界外非甲烷总烃的浓度应低于《陆上石油天然气开采工业大气污染物排放标准》（GB39728-2020）周界外无组织排放浓度限值4.0mg/m</w:t>
            </w:r>
            <w:r>
              <w:rPr>
                <w:rFonts w:ascii="Times New Roman" w:hAnsi="Times New Roman" w:eastAsia="宋体" w:cs="Times New Roman"/>
                <w:color w:val="auto"/>
                <w:sz w:val="24"/>
                <w:szCs w:val="24"/>
                <w:highlight w:val="none"/>
                <w:vertAlign w:val="superscript"/>
                <w:lang w:eastAsia="zh-CN"/>
              </w:rPr>
              <w:t>3</w:t>
            </w:r>
            <w:r>
              <w:rPr>
                <w:rFonts w:ascii="Times New Roman" w:hAnsi="Times New Roman" w:eastAsia="宋体" w:cs="Times New Roman"/>
                <w:color w:val="auto"/>
                <w:sz w:val="24"/>
                <w:szCs w:val="24"/>
                <w:highlight w:val="none"/>
                <w:lang w:eastAsia="zh-CN"/>
              </w:rPr>
              <w:t>的要求。</w:t>
            </w:r>
          </w:p>
          <w:p w14:paraId="0BE83559">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（7）钻井岩屑暂存扬尘</w:t>
            </w:r>
          </w:p>
          <w:p w14:paraId="66535FC9">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本项目钻井过程中产生的水基钻井岩屑在井场设置的岩屑罐中暂存，采取防渗、防雨及封闭措施。根据设计资料，岩屑含水率较高，整体产量有限，水基岩屑粒径细、湿度大，自然扬尘能力弱。</w:t>
            </w:r>
          </w:p>
          <w:p w14:paraId="278E94A9">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各井场在岩屑暂存过程中配套实施洒水、加盖、密闭转运等抑尘措施，并确保及时清运至指定处置单位处理。因此，钻井岩屑暂存期间的扬尘产生量较小，作用时间短、空间影响范围有限。整体来看，钻井岩屑暂存对项目周边大气环境的影响较轻微，不会造成明显不利影响。</w:t>
            </w:r>
          </w:p>
          <w:p w14:paraId="23E9EDCA">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（8）试油过程中伴生气中可能含有少量的硫化氢</w:t>
            </w:r>
          </w:p>
          <w:p w14:paraId="6054226B">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为油气矿产资源勘查，不确定油气藏中是否含硫化氢，按不利因素考虑，在试油过程中伴生气中可能含有少量的硫化氢，试油过程中可能通过阀门、法兰等连接件有少量的硫化氢逸散，井场配备有硫化氢监测仪，试油过程中伴生气主要通过排气管线燃烧放空，项目周围无大气环境保护目标，且地域空旷、扩散条件较好，不会对周围环境产生不利影响。</w:t>
            </w:r>
          </w:p>
          <w:p w14:paraId="16B93A04">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（9）锅炉废气影响</w:t>
            </w:r>
          </w:p>
          <w:p w14:paraId="5AF36872">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生产过程中产生的废气主要有锅炉废气、锅炉清灰粉尘及贮存粉尘等，根据建设单位提供资料，锅炉将使用合适的除尘方式，保证除尘效果，锅炉排放浓度可满足《锅炉大气污染物排放标准》（GB13271-2014）中表</w:t>
            </w:r>
            <w:r>
              <w:rPr>
                <w:rFonts w:hint="eastAsia" w:ascii="Times New Roman" w:hAnsi="Times New Roman" w:eastAsia="宋体" w:cs="Times New Roman"/>
                <w:color w:val="auto"/>
                <w:sz w:val="24"/>
                <w:szCs w:val="24"/>
                <w:highlight w:val="none"/>
                <w:lang w:val="en-US" w:eastAsia="zh-CN"/>
              </w:rPr>
              <w:t>3燃煤</w:t>
            </w:r>
            <w:r>
              <w:rPr>
                <w:rFonts w:ascii="Times New Roman" w:hAnsi="Times New Roman" w:eastAsia="宋体" w:cs="Times New Roman"/>
                <w:color w:val="auto"/>
                <w:sz w:val="24"/>
                <w:szCs w:val="24"/>
                <w:highlight w:val="none"/>
                <w:lang w:eastAsia="zh-CN"/>
              </w:rPr>
              <w:t>锅炉排放限值。具体排放量如下：</w:t>
            </w:r>
          </w:p>
          <w:p w14:paraId="46FAB1B5">
            <w:pPr>
              <w:widowControl/>
              <w:kinsoku/>
              <w:autoSpaceDE/>
              <w:autoSpaceDN/>
              <w:spacing w:line="360" w:lineRule="auto"/>
              <w:ind w:firstLine="480" w:firstLineChars="200"/>
              <w:jc w:val="both"/>
              <w:textAlignment w:val="auto"/>
              <w:rPr>
                <w:rFonts w:ascii="Times New Roman" w:hAnsi="Times New Roman" w:eastAsia="宋体" w:cs="Times New Roman"/>
                <w:snapToGrid/>
                <w:color w:val="auto"/>
                <w:sz w:val="24"/>
                <w:szCs w:val="24"/>
                <w:highlight w:val="none"/>
                <w:lang w:eastAsia="zh-CN" w:bidi="ar"/>
              </w:rPr>
            </w:pPr>
            <w:r>
              <w:rPr>
                <w:rFonts w:ascii="Times New Roman" w:hAnsi="Times New Roman" w:eastAsia="宋体" w:cs="Times New Roman"/>
                <w:snapToGrid/>
                <w:color w:val="auto"/>
                <w:sz w:val="24"/>
                <w:szCs w:val="24"/>
                <w:highlight w:val="none"/>
                <w:lang w:eastAsia="zh-CN" w:bidi="ar"/>
              </w:rPr>
              <w:t>锅炉拟采用生物质成型燃料为燃料，平均低位发热值16.11MJ/kg，根据建设单位提供资料2.5t/h的生物质锅炉每天使用燃料7.5t/d，按最不利情况下锅炉运行60d计算，共需使用燃料450t，本项目新建2台锅炉，共需使用燃料900t。</w:t>
            </w:r>
          </w:p>
          <w:p w14:paraId="63E88E61">
            <w:pPr>
              <w:widowControl/>
              <w:kinsoku/>
              <w:autoSpaceDE/>
              <w:autoSpaceDN/>
              <w:spacing w:line="360" w:lineRule="auto"/>
              <w:ind w:firstLine="480" w:firstLineChars="200"/>
              <w:jc w:val="both"/>
              <w:textAlignment w:val="auto"/>
              <w:rPr>
                <w:rFonts w:ascii="Times New Roman" w:hAnsi="Times New Roman" w:eastAsia="宋体" w:cs="Times New Roman"/>
                <w:snapToGrid/>
                <w:color w:val="auto"/>
                <w:sz w:val="24"/>
                <w:szCs w:val="24"/>
                <w:highlight w:val="none"/>
                <w:lang w:eastAsia="zh-CN" w:bidi="ar"/>
              </w:rPr>
            </w:pPr>
            <w:r>
              <w:rPr>
                <w:rFonts w:hint="eastAsia" w:ascii="Times New Roman" w:hAnsi="Times New Roman" w:eastAsia="宋体" w:cs="Times New Roman"/>
                <w:snapToGrid/>
                <w:color w:val="auto"/>
                <w:sz w:val="24"/>
                <w:szCs w:val="24"/>
                <w:highlight w:val="none"/>
                <w:lang w:val="en-US" w:eastAsia="zh-CN" w:bidi="ar"/>
              </w:rPr>
              <w:t>燃料</w:t>
            </w:r>
            <w:r>
              <w:rPr>
                <w:rFonts w:ascii="Times New Roman" w:hAnsi="Times New Roman" w:eastAsia="宋体" w:cs="Times New Roman"/>
                <w:snapToGrid/>
                <w:color w:val="auto"/>
                <w:sz w:val="24"/>
                <w:szCs w:val="24"/>
                <w:highlight w:val="none"/>
                <w:lang w:val="en-US" w:eastAsia="zh-CN" w:bidi="ar"/>
              </w:rPr>
              <w:t>来源可靠性分析：新疆地区农林废弃物（棉杆、果木枝条等）资源丰富，阜康市及周边吉木萨尔县分布有多家生物质成型燃料加工厂，原料供应充足，运输距</w:t>
            </w:r>
            <w:r>
              <w:rPr>
                <w:rFonts w:ascii="Times New Roman" w:hAnsi="Times New Roman" w:eastAsia="宋体" w:cs="Times New Roman"/>
                <w:snapToGrid/>
                <w:color w:val="auto"/>
                <w:sz w:val="24"/>
                <w:szCs w:val="24"/>
                <w:highlight w:val="none"/>
                <w:lang w:eastAsia="zh-CN" w:bidi="ar"/>
              </w:rPr>
              <w:t>离短，供应链稳定，能够完全保障本项目冬季施工期间的燃料需求。</w:t>
            </w:r>
          </w:p>
          <w:p w14:paraId="1A8053DC">
            <w:pPr>
              <w:widowControl/>
              <w:kinsoku/>
              <w:autoSpaceDE/>
              <w:autoSpaceDN/>
              <w:spacing w:line="360" w:lineRule="auto"/>
              <w:ind w:firstLine="482" w:firstLineChars="200"/>
              <w:jc w:val="both"/>
              <w:textAlignment w:val="auto"/>
              <w:rPr>
                <w:rFonts w:ascii="Times New Roman" w:hAnsi="Times New Roman" w:eastAsia="宋体" w:cs="Times New Roman"/>
                <w:b/>
                <w:bCs/>
                <w:snapToGrid/>
                <w:color w:val="auto"/>
                <w:sz w:val="24"/>
                <w:szCs w:val="24"/>
                <w:highlight w:val="none"/>
                <w:lang w:eastAsia="zh-CN" w:bidi="ar"/>
              </w:rPr>
            </w:pPr>
            <w:r>
              <w:rPr>
                <w:rFonts w:ascii="Times New Roman" w:hAnsi="Times New Roman" w:eastAsia="宋体" w:cs="Times New Roman"/>
                <w:b/>
                <w:bCs/>
                <w:snapToGrid/>
                <w:color w:val="auto"/>
                <w:sz w:val="24"/>
                <w:szCs w:val="24"/>
                <w:highlight w:val="none"/>
                <w:lang w:eastAsia="zh-CN" w:bidi="ar"/>
              </w:rPr>
              <w:t>标干烟气量：</w:t>
            </w:r>
          </w:p>
          <w:p w14:paraId="481DD000">
            <w:pPr>
              <w:widowControl/>
              <w:kinsoku/>
              <w:autoSpaceDE/>
              <w:autoSpaceDN/>
              <w:spacing w:line="360" w:lineRule="auto"/>
              <w:ind w:firstLine="480" w:firstLineChars="200"/>
              <w:jc w:val="both"/>
              <w:textAlignment w:val="auto"/>
              <w:rPr>
                <w:rFonts w:ascii="Times New Roman" w:hAnsi="Times New Roman" w:eastAsia="宋体" w:cs="Times New Roman"/>
                <w:snapToGrid/>
                <w:color w:val="auto"/>
                <w:sz w:val="24"/>
                <w:szCs w:val="24"/>
                <w:highlight w:val="none"/>
                <w:lang w:eastAsia="zh-CN" w:bidi="ar"/>
              </w:rPr>
            </w:pPr>
            <w:r>
              <w:rPr>
                <w:rFonts w:ascii="Times New Roman" w:hAnsi="Times New Roman" w:eastAsia="宋体" w:cs="Times New Roman"/>
                <w:snapToGrid/>
                <w:color w:val="auto"/>
                <w:sz w:val="24"/>
                <w:szCs w:val="24"/>
                <w:highlight w:val="none"/>
                <w:lang w:eastAsia="zh-CN" w:bidi="ar"/>
              </w:rPr>
              <w:t>根据《排污许可证申请与核发技术规范  锅炉》（HJ953-2018），固体燃料燃烧所需的烟气量采用下式进行计算：</w:t>
            </w:r>
          </w:p>
          <w:p w14:paraId="3AC168DE">
            <w:pPr>
              <w:widowControl/>
              <w:kinsoku/>
              <w:autoSpaceDE/>
              <w:autoSpaceDN/>
              <w:spacing w:line="360" w:lineRule="auto"/>
              <w:ind w:firstLine="480" w:firstLineChars="200"/>
              <w:jc w:val="both"/>
              <w:textAlignment w:val="auto"/>
              <w:rPr>
                <w:rFonts w:ascii="Times New Roman" w:hAnsi="Times New Roman" w:eastAsia="宋体" w:cs="Times New Roman"/>
                <w:snapToGrid/>
                <w:color w:val="auto"/>
                <w:sz w:val="24"/>
                <w:szCs w:val="24"/>
                <w:highlight w:val="none"/>
                <w:lang w:eastAsia="zh-CN" w:bidi="ar"/>
              </w:rPr>
            </w:pPr>
            <w:r>
              <w:rPr>
                <w:rFonts w:ascii="Times New Roman" w:hAnsi="Times New Roman" w:eastAsia="宋体" w:cs="Times New Roman"/>
                <w:snapToGrid/>
                <w:color w:val="auto"/>
                <w:sz w:val="24"/>
                <w:szCs w:val="24"/>
                <w:highlight w:val="none"/>
                <w:lang w:eastAsia="zh-CN" w:bidi="ar"/>
              </w:rPr>
              <w:t>Vgy=0.393Qnet,ar+0.876（Qnet,ar≥12.54MJ/kg，Vdaf≥15%）</w:t>
            </w:r>
          </w:p>
          <w:p w14:paraId="28E0D076">
            <w:pPr>
              <w:widowControl/>
              <w:kinsoku/>
              <w:autoSpaceDE/>
              <w:autoSpaceDN/>
              <w:spacing w:line="360" w:lineRule="auto"/>
              <w:ind w:firstLine="480" w:firstLineChars="200"/>
              <w:jc w:val="both"/>
              <w:textAlignment w:val="auto"/>
              <w:rPr>
                <w:rFonts w:ascii="Times New Roman" w:hAnsi="Times New Roman" w:eastAsia="宋体" w:cs="Times New Roman"/>
                <w:snapToGrid/>
                <w:color w:val="auto"/>
                <w:sz w:val="24"/>
                <w:szCs w:val="24"/>
                <w:highlight w:val="none"/>
                <w:lang w:eastAsia="zh-CN" w:bidi="ar"/>
              </w:rPr>
            </w:pPr>
            <w:r>
              <w:rPr>
                <w:rFonts w:ascii="Times New Roman" w:hAnsi="Times New Roman" w:eastAsia="宋体" w:cs="Times New Roman"/>
                <w:snapToGrid/>
                <w:color w:val="auto"/>
                <w:sz w:val="24"/>
                <w:szCs w:val="24"/>
                <w:highlight w:val="none"/>
                <w:lang w:eastAsia="zh-CN" w:bidi="ar"/>
              </w:rPr>
              <w:t>式中：Vgy—基准烟气量，（标m</w:t>
            </w:r>
            <w:r>
              <w:rPr>
                <w:rFonts w:ascii="Times New Roman" w:hAnsi="Times New Roman" w:eastAsia="宋体" w:cs="Times New Roman"/>
                <w:snapToGrid/>
                <w:color w:val="auto"/>
                <w:sz w:val="24"/>
                <w:szCs w:val="24"/>
                <w:highlight w:val="none"/>
                <w:vertAlign w:val="superscript"/>
                <w:lang w:eastAsia="zh-CN" w:bidi="ar"/>
              </w:rPr>
              <w:t>3</w:t>
            </w:r>
            <w:r>
              <w:rPr>
                <w:rFonts w:ascii="Times New Roman" w:hAnsi="Times New Roman" w:eastAsia="宋体" w:cs="Times New Roman"/>
                <w:snapToGrid/>
                <w:color w:val="auto"/>
                <w:sz w:val="24"/>
                <w:szCs w:val="24"/>
                <w:highlight w:val="none"/>
                <w:lang w:eastAsia="zh-CN" w:bidi="ar"/>
              </w:rPr>
              <w:t>/kg）</w:t>
            </w:r>
          </w:p>
          <w:p w14:paraId="53AA011A">
            <w:pPr>
              <w:widowControl/>
              <w:kinsoku/>
              <w:autoSpaceDE/>
              <w:autoSpaceDN/>
              <w:spacing w:line="360" w:lineRule="auto"/>
              <w:ind w:firstLine="480" w:firstLineChars="200"/>
              <w:jc w:val="both"/>
              <w:textAlignment w:val="auto"/>
              <w:rPr>
                <w:rFonts w:ascii="Times New Roman" w:hAnsi="Times New Roman" w:eastAsia="宋体" w:cs="Times New Roman"/>
                <w:snapToGrid/>
                <w:color w:val="auto"/>
                <w:sz w:val="24"/>
                <w:szCs w:val="24"/>
                <w:highlight w:val="none"/>
                <w:lang w:eastAsia="zh-CN" w:bidi="ar"/>
              </w:rPr>
            </w:pPr>
            <w:r>
              <w:rPr>
                <w:rFonts w:ascii="Times New Roman" w:hAnsi="Times New Roman" w:eastAsia="宋体" w:cs="Times New Roman"/>
                <w:snapToGrid/>
                <w:color w:val="auto"/>
                <w:sz w:val="24"/>
                <w:szCs w:val="24"/>
                <w:highlight w:val="none"/>
                <w:lang w:eastAsia="zh-CN" w:bidi="ar"/>
              </w:rPr>
              <w:t>Qnet,ar—燃料的低位发热值，MJ/kg，拟建项目燃料热值16.11MJ/kg；</w:t>
            </w:r>
          </w:p>
          <w:p w14:paraId="3BF9322A">
            <w:pPr>
              <w:widowControl/>
              <w:kinsoku/>
              <w:autoSpaceDE/>
              <w:autoSpaceDN/>
              <w:spacing w:line="360" w:lineRule="auto"/>
              <w:ind w:firstLine="480" w:firstLineChars="200"/>
              <w:jc w:val="both"/>
              <w:textAlignment w:val="auto"/>
              <w:rPr>
                <w:rFonts w:ascii="Times New Roman" w:hAnsi="Times New Roman" w:eastAsia="宋体" w:cs="Times New Roman"/>
                <w:snapToGrid/>
                <w:color w:val="auto"/>
                <w:sz w:val="24"/>
                <w:szCs w:val="24"/>
                <w:highlight w:val="none"/>
                <w:lang w:eastAsia="zh-CN"/>
              </w:rPr>
            </w:pPr>
            <w:r>
              <w:rPr>
                <w:rFonts w:ascii="Times New Roman" w:hAnsi="Times New Roman" w:eastAsia="宋体" w:cs="Times New Roman"/>
                <w:snapToGrid/>
                <w:color w:val="auto"/>
                <w:sz w:val="24"/>
                <w:szCs w:val="24"/>
                <w:highlight w:val="none"/>
                <w:lang w:eastAsia="zh-CN" w:bidi="ar"/>
              </w:rPr>
              <w:t>根据上面计算得出2.5t/h的生物质锅炉的烟气量产生系数为7.20723Nm</w:t>
            </w:r>
            <w:r>
              <w:rPr>
                <w:rFonts w:ascii="Times New Roman" w:hAnsi="Times New Roman" w:eastAsia="宋体" w:cs="Times New Roman"/>
                <w:snapToGrid/>
                <w:color w:val="auto"/>
                <w:sz w:val="24"/>
                <w:szCs w:val="24"/>
                <w:highlight w:val="none"/>
                <w:vertAlign w:val="superscript"/>
                <w:lang w:eastAsia="zh-CN" w:bidi="ar"/>
              </w:rPr>
              <w:t>3</w:t>
            </w:r>
            <w:r>
              <w:rPr>
                <w:rFonts w:ascii="Times New Roman" w:hAnsi="Times New Roman" w:eastAsia="宋体" w:cs="Times New Roman"/>
                <w:snapToGrid/>
                <w:color w:val="auto"/>
                <w:sz w:val="24"/>
                <w:szCs w:val="24"/>
                <w:highlight w:val="none"/>
                <w:lang w:eastAsia="zh-CN" w:bidi="ar"/>
              </w:rPr>
              <w:t>/kg－燃料。则每台2.5t/h的锅炉废气产生量为3243253.5Nm</w:t>
            </w:r>
            <w:r>
              <w:rPr>
                <w:rFonts w:ascii="Times New Roman" w:hAnsi="Times New Roman" w:eastAsia="宋体" w:cs="Times New Roman"/>
                <w:snapToGrid/>
                <w:color w:val="auto"/>
                <w:sz w:val="24"/>
                <w:szCs w:val="24"/>
                <w:highlight w:val="none"/>
                <w:vertAlign w:val="superscript"/>
                <w:lang w:eastAsia="zh-CN" w:bidi="ar"/>
              </w:rPr>
              <w:t>3</w:t>
            </w:r>
            <w:r>
              <w:rPr>
                <w:rFonts w:ascii="Times New Roman" w:hAnsi="Times New Roman" w:eastAsia="宋体" w:cs="Times New Roman"/>
                <w:snapToGrid/>
                <w:color w:val="auto"/>
                <w:sz w:val="24"/>
                <w:szCs w:val="24"/>
                <w:highlight w:val="none"/>
                <w:lang w:eastAsia="zh-CN" w:bidi="ar"/>
              </w:rPr>
              <w:t>，2台锅炉废气产生量为6486507Nm</w:t>
            </w:r>
            <w:r>
              <w:rPr>
                <w:rFonts w:ascii="Times New Roman" w:hAnsi="Times New Roman" w:eastAsia="宋体" w:cs="Times New Roman"/>
                <w:snapToGrid/>
                <w:color w:val="auto"/>
                <w:sz w:val="24"/>
                <w:szCs w:val="24"/>
                <w:highlight w:val="none"/>
                <w:vertAlign w:val="superscript"/>
                <w:lang w:eastAsia="zh-CN" w:bidi="ar"/>
              </w:rPr>
              <w:t>3</w:t>
            </w:r>
            <w:r>
              <w:rPr>
                <w:rFonts w:ascii="Times New Roman" w:hAnsi="Times New Roman" w:eastAsia="宋体" w:cs="Times New Roman"/>
                <w:snapToGrid/>
                <w:color w:val="auto"/>
                <w:sz w:val="24"/>
                <w:szCs w:val="24"/>
                <w:highlight w:val="none"/>
                <w:lang w:eastAsia="zh-CN" w:bidi="ar"/>
              </w:rPr>
              <w:t>。</w:t>
            </w:r>
          </w:p>
          <w:p w14:paraId="6206486D">
            <w:pPr>
              <w:widowControl/>
              <w:kinsoku/>
              <w:autoSpaceDE/>
              <w:autoSpaceDN/>
              <w:spacing w:line="360" w:lineRule="auto"/>
              <w:ind w:firstLine="482" w:firstLineChars="200"/>
              <w:jc w:val="both"/>
              <w:textAlignment w:val="auto"/>
              <w:rPr>
                <w:rFonts w:ascii="Times New Roman" w:hAnsi="Times New Roman" w:eastAsia="宋体" w:cs="Times New Roman"/>
                <w:b/>
                <w:bCs/>
                <w:snapToGrid/>
                <w:color w:val="auto"/>
                <w:sz w:val="24"/>
                <w:szCs w:val="24"/>
                <w:highlight w:val="none"/>
                <w:lang w:eastAsia="zh-CN" w:bidi="ar"/>
              </w:rPr>
            </w:pPr>
            <w:r>
              <w:rPr>
                <w:rFonts w:ascii="Times New Roman" w:hAnsi="Times New Roman" w:eastAsia="宋体" w:cs="Times New Roman"/>
                <w:b/>
                <w:bCs/>
                <w:snapToGrid/>
                <w:color w:val="auto"/>
                <w:sz w:val="24"/>
                <w:szCs w:val="24"/>
                <w:highlight w:val="none"/>
                <w:lang w:eastAsia="zh-CN" w:bidi="ar"/>
              </w:rPr>
              <w:t>颗粒物排放量：</w:t>
            </w:r>
          </w:p>
          <w:p w14:paraId="26156F44">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参考《排放源统计调查产排污核算方法和系数手册》中4430工业锅炉（热力供应）行业系数手册，生物质锅炉颗粒物产污系数为</w:t>
            </w:r>
            <w:r>
              <w:rPr>
                <w:rFonts w:hint="eastAsia" w:ascii="Times New Roman" w:hAnsi="Times New Roman" w:eastAsia="宋体" w:cs="Times New Roman"/>
                <w:snapToGrid/>
                <w:color w:val="auto"/>
                <w:kern w:val="2"/>
                <w:sz w:val="24"/>
                <w:szCs w:val="24"/>
                <w:highlight w:val="none"/>
                <w:lang w:val="en-US" w:eastAsia="zh-CN"/>
              </w:rPr>
              <w:t>37.6</w:t>
            </w:r>
            <w:r>
              <w:rPr>
                <w:rFonts w:ascii="Times New Roman" w:hAnsi="Times New Roman" w:eastAsia="宋体" w:cs="Times New Roman"/>
                <w:snapToGrid/>
                <w:color w:val="auto"/>
                <w:kern w:val="2"/>
                <w:sz w:val="24"/>
                <w:szCs w:val="24"/>
                <w:highlight w:val="none"/>
                <w:lang w:eastAsia="zh-CN"/>
              </w:rPr>
              <w:t>千克/吨-原料，则本项目锅炉颗粒物产生量为</w:t>
            </w:r>
            <w:r>
              <w:rPr>
                <w:rFonts w:hint="eastAsia" w:ascii="Times New Roman" w:hAnsi="Times New Roman" w:eastAsia="宋体" w:cs="Times New Roman"/>
                <w:snapToGrid/>
                <w:color w:val="auto"/>
                <w:kern w:val="2"/>
                <w:sz w:val="24"/>
                <w:szCs w:val="24"/>
                <w:highlight w:val="none"/>
                <w:lang w:val="en-US" w:eastAsia="zh-CN"/>
              </w:rPr>
              <w:t>33.84</w:t>
            </w:r>
            <w:r>
              <w:rPr>
                <w:rFonts w:ascii="Times New Roman" w:hAnsi="Times New Roman" w:eastAsia="宋体" w:cs="Times New Roman"/>
                <w:snapToGrid/>
                <w:color w:val="auto"/>
                <w:kern w:val="2"/>
                <w:sz w:val="24"/>
                <w:szCs w:val="24"/>
                <w:highlight w:val="none"/>
                <w:lang w:eastAsia="zh-CN"/>
              </w:rPr>
              <w:t>t/a，采用</w:t>
            </w:r>
            <w:r>
              <w:rPr>
                <w:rFonts w:hint="eastAsia" w:ascii="Times New Roman" w:hAnsi="Times New Roman" w:eastAsia="宋体" w:cs="Times New Roman"/>
                <w:snapToGrid/>
                <w:color w:val="auto"/>
                <w:kern w:val="2"/>
                <w:sz w:val="24"/>
                <w:szCs w:val="24"/>
                <w:highlight w:val="none"/>
                <w:lang w:val="en-US" w:eastAsia="zh-CN"/>
              </w:rPr>
              <w:t>水幕预除尘+</w:t>
            </w:r>
            <w:r>
              <w:rPr>
                <w:rFonts w:ascii="Times New Roman" w:hAnsi="Times New Roman" w:eastAsia="宋体" w:cs="Times New Roman"/>
                <w:snapToGrid/>
                <w:color w:val="auto"/>
                <w:kern w:val="2"/>
                <w:sz w:val="24"/>
                <w:szCs w:val="24"/>
                <w:highlight w:val="none"/>
                <w:lang w:eastAsia="zh-CN"/>
              </w:rPr>
              <w:t>耐高温布袋除尘器，</w:t>
            </w:r>
            <w:r>
              <w:rPr>
                <w:rFonts w:hint="eastAsia" w:ascii="Times New Roman" w:hAnsi="Times New Roman" w:eastAsia="宋体" w:cs="Times New Roman"/>
                <w:snapToGrid/>
                <w:color w:val="auto"/>
                <w:kern w:val="2"/>
                <w:sz w:val="24"/>
                <w:szCs w:val="24"/>
                <w:highlight w:val="none"/>
                <w:lang w:val="en-US" w:eastAsia="zh-CN"/>
              </w:rPr>
              <w:t>水幕预除尘效率按87%计，</w:t>
            </w:r>
            <w:r>
              <w:rPr>
                <w:rFonts w:ascii="Times New Roman" w:hAnsi="Times New Roman" w:eastAsia="宋体" w:cs="Times New Roman"/>
                <w:snapToGrid/>
                <w:color w:val="auto"/>
                <w:kern w:val="2"/>
                <w:sz w:val="24"/>
                <w:szCs w:val="24"/>
                <w:highlight w:val="none"/>
                <w:lang w:eastAsia="zh-CN"/>
              </w:rPr>
              <w:t>除尘效率按 99.7% 计，则本项目颗粒物排放量为</w:t>
            </w:r>
            <w:r>
              <w:rPr>
                <w:rFonts w:hint="eastAsia" w:ascii="Times New Roman" w:hAnsi="Times New Roman" w:eastAsia="宋体" w:cs="Times New Roman"/>
                <w:snapToGrid/>
                <w:color w:val="auto"/>
                <w:kern w:val="2"/>
                <w:sz w:val="24"/>
                <w:szCs w:val="24"/>
                <w:highlight w:val="none"/>
                <w:lang w:val="en-US" w:eastAsia="zh-CN"/>
              </w:rPr>
              <w:t>0.0132</w:t>
            </w:r>
            <w:r>
              <w:rPr>
                <w:rFonts w:ascii="Times New Roman" w:hAnsi="Times New Roman" w:eastAsia="宋体" w:cs="Times New Roman"/>
                <w:snapToGrid/>
                <w:color w:val="auto"/>
                <w:kern w:val="2"/>
                <w:sz w:val="24"/>
                <w:szCs w:val="24"/>
                <w:highlight w:val="none"/>
                <w:lang w:eastAsia="zh-CN"/>
              </w:rPr>
              <w:t>t/a</w:t>
            </w:r>
            <w:r>
              <w:rPr>
                <w:rFonts w:hint="eastAsia" w:ascii="Times New Roman" w:hAnsi="Times New Roman" w:eastAsia="宋体" w:cs="Times New Roman"/>
                <w:snapToGrid/>
                <w:color w:val="auto"/>
                <w:kern w:val="2"/>
                <w:sz w:val="24"/>
                <w:szCs w:val="24"/>
                <w:highlight w:val="none"/>
                <w:lang w:eastAsia="zh-CN"/>
              </w:rPr>
              <w:t>，</w:t>
            </w:r>
            <w:r>
              <w:rPr>
                <w:rFonts w:hint="eastAsia" w:ascii="Times New Roman" w:hAnsi="Times New Roman" w:eastAsia="宋体" w:cs="Times New Roman"/>
                <w:snapToGrid/>
                <w:color w:val="auto"/>
                <w:kern w:val="2"/>
                <w:sz w:val="24"/>
                <w:szCs w:val="24"/>
                <w:highlight w:val="none"/>
                <w:lang w:val="en-US" w:eastAsia="zh-CN"/>
              </w:rPr>
              <w:t>单台锅炉颗粒物排放浓度为2.03mg/Nm</w:t>
            </w:r>
            <w:r>
              <w:rPr>
                <w:rFonts w:hint="eastAsia" w:ascii="Times New Roman" w:hAnsi="Times New Roman" w:eastAsia="宋体" w:cs="Times New Roman"/>
                <w:snapToGrid/>
                <w:color w:val="auto"/>
                <w:kern w:val="2"/>
                <w:sz w:val="24"/>
                <w:szCs w:val="24"/>
                <w:highlight w:val="none"/>
                <w:vertAlign w:val="superscript"/>
                <w:lang w:val="en-US" w:eastAsia="zh-CN"/>
              </w:rPr>
              <w:t>3</w:t>
            </w:r>
            <w:r>
              <w:rPr>
                <w:rFonts w:ascii="Times New Roman" w:hAnsi="Times New Roman" w:eastAsia="宋体" w:cs="Times New Roman"/>
                <w:snapToGrid/>
                <w:color w:val="auto"/>
                <w:kern w:val="2"/>
                <w:sz w:val="24"/>
                <w:szCs w:val="24"/>
                <w:highlight w:val="none"/>
                <w:lang w:eastAsia="zh-CN"/>
              </w:rPr>
              <w:t>。</w:t>
            </w:r>
          </w:p>
          <w:p w14:paraId="1F5A4C3C">
            <w:pPr>
              <w:widowControl/>
              <w:kinsoku/>
              <w:autoSpaceDE/>
              <w:autoSpaceDN/>
              <w:spacing w:line="360" w:lineRule="auto"/>
              <w:ind w:firstLine="482" w:firstLineChars="200"/>
              <w:jc w:val="both"/>
              <w:textAlignment w:val="auto"/>
              <w:rPr>
                <w:rFonts w:ascii="Times New Roman" w:hAnsi="Times New Roman" w:eastAsia="宋体" w:cs="Times New Roman"/>
                <w:b/>
                <w:bCs/>
                <w:snapToGrid/>
                <w:color w:val="auto"/>
                <w:sz w:val="24"/>
                <w:szCs w:val="24"/>
                <w:highlight w:val="none"/>
                <w:lang w:eastAsia="zh-CN" w:bidi="ar"/>
              </w:rPr>
            </w:pPr>
            <w:r>
              <w:rPr>
                <w:rFonts w:ascii="Times New Roman" w:hAnsi="Times New Roman" w:eastAsia="宋体" w:cs="Times New Roman"/>
                <w:b/>
                <w:bCs/>
                <w:snapToGrid/>
                <w:color w:val="auto"/>
                <w:sz w:val="24"/>
                <w:szCs w:val="24"/>
                <w:highlight w:val="none"/>
                <w:lang w:eastAsia="zh-CN" w:bidi="ar"/>
              </w:rPr>
              <w:t>二氧化硫排放量：</w:t>
            </w:r>
          </w:p>
          <w:p w14:paraId="662B6D0A">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auto"/>
                <w:kern w:val="2"/>
                <w:sz w:val="24"/>
                <w:szCs w:val="24"/>
                <w:highlight w:val="none"/>
                <w:lang w:eastAsia="zh-CN"/>
              </w:rPr>
            </w:pPr>
            <w:r>
              <w:rPr>
                <w:rFonts w:ascii="Times New Roman" w:hAnsi="Times New Roman" w:eastAsia="宋体" w:cs="Times New Roman"/>
                <w:snapToGrid/>
                <w:color w:val="auto"/>
                <w:kern w:val="2"/>
                <w:sz w:val="24"/>
                <w:szCs w:val="24"/>
                <w:highlight w:val="none"/>
                <w:lang w:eastAsia="zh-CN"/>
              </w:rPr>
              <w:t>参考《排放源统计调查产排污核算方法和系数手册》中4430工业锅炉（热力供应）行业系数手册，生物质锅炉二氧化硫产污系数为17S</w:t>
            </w:r>
            <w:r>
              <w:rPr>
                <w:rFonts w:ascii="Cambria Math" w:hAnsi="Cambria Math" w:eastAsia="宋体" w:cs="Cambria Math"/>
                <w:snapToGrid/>
                <w:color w:val="auto"/>
                <w:kern w:val="2"/>
                <w:sz w:val="24"/>
                <w:szCs w:val="24"/>
                <w:highlight w:val="none"/>
                <w:vertAlign w:val="superscript"/>
                <w:lang w:eastAsia="zh-CN"/>
              </w:rPr>
              <w:t>①</w:t>
            </w:r>
            <w:r>
              <w:rPr>
                <w:rFonts w:ascii="Times New Roman" w:hAnsi="Times New Roman" w:eastAsia="宋体" w:cs="Times New Roman"/>
                <w:snapToGrid/>
                <w:color w:val="auto"/>
                <w:kern w:val="2"/>
                <w:sz w:val="24"/>
                <w:szCs w:val="24"/>
                <w:highlight w:val="none"/>
                <w:lang w:eastAsia="zh-CN"/>
              </w:rPr>
              <w:t>千克/吨-原料（根据组分报告本项目取0.022），则本项目锅炉二氧化硫产生量为0.337t/a，</w:t>
            </w:r>
            <w:r>
              <w:rPr>
                <w:rFonts w:hint="eastAsia" w:ascii="Times New Roman" w:hAnsi="Times New Roman" w:eastAsia="宋体" w:cs="Times New Roman"/>
                <w:snapToGrid/>
                <w:color w:val="auto"/>
                <w:kern w:val="2"/>
                <w:sz w:val="24"/>
                <w:szCs w:val="24"/>
                <w:highlight w:val="none"/>
                <w:lang w:val="en-US" w:eastAsia="zh-CN"/>
              </w:rPr>
              <w:t>参考燃煤锅炉使用湿法除尘对二氧化硫的去除效率为15%，本项目使用水幕除尘器对颗粒物进行除尘，则本项目二氧化硫的排放量为0.286</w:t>
            </w:r>
            <w:r>
              <w:rPr>
                <w:rFonts w:ascii="Times New Roman" w:hAnsi="Times New Roman" w:eastAsia="宋体" w:cs="Times New Roman"/>
                <w:snapToGrid/>
                <w:color w:val="auto"/>
                <w:kern w:val="2"/>
                <w:sz w:val="24"/>
                <w:szCs w:val="24"/>
                <w:highlight w:val="none"/>
                <w:lang w:eastAsia="zh-CN"/>
              </w:rPr>
              <w:t>t/a</w:t>
            </w:r>
            <w:r>
              <w:rPr>
                <w:rFonts w:hint="eastAsia" w:ascii="Times New Roman" w:hAnsi="Times New Roman" w:eastAsia="宋体" w:cs="Times New Roman"/>
                <w:snapToGrid/>
                <w:color w:val="auto"/>
                <w:kern w:val="2"/>
                <w:sz w:val="24"/>
                <w:szCs w:val="24"/>
                <w:highlight w:val="none"/>
                <w:lang w:eastAsia="zh-CN"/>
              </w:rPr>
              <w:t>，</w:t>
            </w:r>
            <w:r>
              <w:rPr>
                <w:rFonts w:hint="eastAsia" w:ascii="Times New Roman" w:hAnsi="Times New Roman" w:eastAsia="宋体" w:cs="Times New Roman"/>
                <w:snapToGrid/>
                <w:color w:val="auto"/>
                <w:kern w:val="2"/>
                <w:sz w:val="24"/>
                <w:szCs w:val="24"/>
                <w:highlight w:val="none"/>
                <w:lang w:val="en-US" w:eastAsia="zh-CN"/>
              </w:rPr>
              <w:t>单台锅炉</w:t>
            </w:r>
            <w:r>
              <w:rPr>
                <w:rFonts w:ascii="Times New Roman" w:hAnsi="Times New Roman" w:eastAsia="宋体" w:cs="Times New Roman"/>
                <w:snapToGrid/>
                <w:color w:val="auto"/>
                <w:kern w:val="2"/>
                <w:sz w:val="24"/>
                <w:szCs w:val="24"/>
                <w:highlight w:val="none"/>
                <w:lang w:eastAsia="zh-CN"/>
              </w:rPr>
              <w:t>二氧化硫</w:t>
            </w:r>
            <w:r>
              <w:rPr>
                <w:rFonts w:hint="eastAsia" w:ascii="Times New Roman" w:hAnsi="Times New Roman" w:eastAsia="宋体" w:cs="Times New Roman"/>
                <w:snapToGrid/>
                <w:color w:val="auto"/>
                <w:kern w:val="2"/>
                <w:sz w:val="24"/>
                <w:szCs w:val="24"/>
                <w:highlight w:val="none"/>
                <w:lang w:val="en-US" w:eastAsia="zh-CN"/>
              </w:rPr>
              <w:t>排放浓度为44.1mg/Nm</w:t>
            </w:r>
            <w:r>
              <w:rPr>
                <w:rFonts w:hint="eastAsia" w:ascii="Times New Roman" w:hAnsi="Times New Roman" w:eastAsia="宋体" w:cs="Times New Roman"/>
                <w:snapToGrid/>
                <w:color w:val="auto"/>
                <w:kern w:val="2"/>
                <w:sz w:val="24"/>
                <w:szCs w:val="24"/>
                <w:highlight w:val="none"/>
                <w:vertAlign w:val="superscript"/>
                <w:lang w:val="en-US" w:eastAsia="zh-CN"/>
              </w:rPr>
              <w:t>3</w:t>
            </w:r>
            <w:r>
              <w:rPr>
                <w:rFonts w:ascii="Times New Roman" w:hAnsi="Times New Roman" w:eastAsia="宋体" w:cs="Times New Roman"/>
                <w:snapToGrid/>
                <w:color w:val="auto"/>
                <w:kern w:val="2"/>
                <w:sz w:val="24"/>
                <w:szCs w:val="24"/>
                <w:highlight w:val="none"/>
                <w:lang w:eastAsia="zh-CN"/>
              </w:rPr>
              <w:t>。</w:t>
            </w:r>
          </w:p>
          <w:p w14:paraId="2B031145">
            <w:pPr>
              <w:widowControl/>
              <w:kinsoku/>
              <w:autoSpaceDE/>
              <w:autoSpaceDN/>
              <w:spacing w:line="360" w:lineRule="auto"/>
              <w:ind w:firstLine="482" w:firstLineChars="200"/>
              <w:jc w:val="both"/>
              <w:textAlignment w:val="auto"/>
              <w:rPr>
                <w:rFonts w:ascii="Times New Roman" w:hAnsi="Times New Roman" w:eastAsia="宋体" w:cs="Times New Roman"/>
                <w:b/>
                <w:bCs/>
                <w:snapToGrid/>
                <w:color w:val="auto"/>
                <w:sz w:val="24"/>
                <w:szCs w:val="24"/>
                <w:highlight w:val="none"/>
                <w:lang w:eastAsia="zh-CN" w:bidi="ar"/>
              </w:rPr>
            </w:pPr>
            <w:r>
              <w:rPr>
                <w:rFonts w:ascii="Times New Roman" w:hAnsi="Times New Roman" w:eastAsia="宋体" w:cs="Times New Roman"/>
                <w:b/>
                <w:bCs/>
                <w:snapToGrid/>
                <w:color w:val="auto"/>
                <w:sz w:val="24"/>
                <w:szCs w:val="24"/>
                <w:highlight w:val="none"/>
                <w:lang w:eastAsia="zh-CN" w:bidi="ar"/>
              </w:rPr>
              <w:t>氮氧化物的排放量：</w:t>
            </w:r>
          </w:p>
          <w:p w14:paraId="6B3E7136">
            <w:pPr>
              <w:pStyle w:val="2"/>
              <w:widowControl w:val="0"/>
              <w:spacing w:line="360" w:lineRule="auto"/>
              <w:jc w:val="both"/>
              <w:rPr>
                <w:rFonts w:hint="default" w:ascii="Times New Roman" w:hAnsi="Times New Roman" w:eastAsia="宋体" w:cs="Times New Roman"/>
                <w:snapToGrid/>
                <w:color w:val="auto"/>
                <w:kern w:val="2"/>
                <w:sz w:val="24"/>
                <w:szCs w:val="24"/>
                <w:highlight w:val="none"/>
                <w:lang w:val="en-US" w:eastAsia="zh-CN"/>
              </w:rPr>
            </w:pPr>
            <w:r>
              <w:rPr>
                <w:rFonts w:ascii="Times New Roman" w:hAnsi="Times New Roman" w:eastAsia="宋体" w:cs="Times New Roman"/>
                <w:snapToGrid/>
                <w:color w:val="auto"/>
                <w:kern w:val="2"/>
                <w:sz w:val="24"/>
                <w:szCs w:val="24"/>
                <w:highlight w:val="none"/>
                <w:lang w:eastAsia="zh-CN"/>
              </w:rPr>
              <w:t>参考《排放源统计调查产排污核算方法和系数手册》中4430工业锅炉（热力供应）行业系数手册，生物质锅炉</w:t>
            </w:r>
            <w:r>
              <w:rPr>
                <w:rFonts w:hint="eastAsia" w:ascii="Times New Roman" w:hAnsi="Times New Roman" w:eastAsia="宋体" w:cs="Times New Roman"/>
                <w:snapToGrid/>
                <w:color w:val="auto"/>
                <w:kern w:val="2"/>
                <w:sz w:val="24"/>
                <w:szCs w:val="24"/>
                <w:highlight w:val="none"/>
                <w:lang w:val="en-US" w:eastAsia="zh-CN"/>
              </w:rPr>
              <w:t>NOx</w:t>
            </w:r>
            <w:r>
              <w:rPr>
                <w:rFonts w:ascii="Times New Roman" w:hAnsi="Times New Roman" w:eastAsia="宋体" w:cs="Times New Roman"/>
                <w:snapToGrid/>
                <w:color w:val="auto"/>
                <w:kern w:val="2"/>
                <w:sz w:val="24"/>
                <w:szCs w:val="24"/>
                <w:highlight w:val="none"/>
                <w:lang w:eastAsia="zh-CN"/>
              </w:rPr>
              <w:t>产污系数为</w:t>
            </w:r>
            <w:r>
              <w:rPr>
                <w:rFonts w:hint="eastAsia" w:ascii="Times New Roman" w:hAnsi="Times New Roman" w:eastAsia="宋体" w:cs="Times New Roman"/>
                <w:snapToGrid/>
                <w:color w:val="auto"/>
                <w:kern w:val="2"/>
                <w:sz w:val="24"/>
                <w:szCs w:val="24"/>
                <w:highlight w:val="none"/>
                <w:lang w:val="en-US" w:eastAsia="zh-CN"/>
              </w:rPr>
              <w:t>1.02kg/t</w:t>
            </w:r>
            <w:r>
              <w:rPr>
                <w:rFonts w:ascii="Times New Roman" w:hAnsi="Times New Roman" w:eastAsia="宋体" w:cs="Times New Roman"/>
                <w:snapToGrid/>
                <w:color w:val="auto"/>
                <w:kern w:val="2"/>
                <w:sz w:val="24"/>
                <w:szCs w:val="24"/>
                <w:highlight w:val="none"/>
                <w:lang w:eastAsia="zh-CN"/>
              </w:rPr>
              <w:t>-原料</w:t>
            </w:r>
            <w:r>
              <w:rPr>
                <w:rFonts w:hint="eastAsia" w:ascii="Times New Roman" w:hAnsi="Times New Roman" w:eastAsia="宋体" w:cs="Times New Roman"/>
                <w:snapToGrid/>
                <w:color w:val="auto"/>
                <w:kern w:val="2"/>
                <w:sz w:val="24"/>
                <w:szCs w:val="24"/>
                <w:highlight w:val="none"/>
                <w:lang w:eastAsia="zh-CN"/>
              </w:rPr>
              <w:t>，</w:t>
            </w:r>
            <w:r>
              <w:rPr>
                <w:rFonts w:hint="eastAsia" w:ascii="Times New Roman" w:hAnsi="Times New Roman" w:eastAsia="宋体" w:cs="Times New Roman"/>
                <w:snapToGrid/>
                <w:color w:val="auto"/>
                <w:kern w:val="2"/>
                <w:sz w:val="24"/>
                <w:szCs w:val="24"/>
                <w:highlight w:val="none"/>
                <w:lang w:val="en-US" w:eastAsia="zh-CN"/>
              </w:rPr>
              <w:t>则本项目锅炉氮氧化物锅炉氮氧化物产生量为0.918t</w:t>
            </w:r>
            <w:r>
              <w:rPr>
                <w:rFonts w:ascii="Times New Roman" w:hAnsi="Times New Roman" w:eastAsia="宋体" w:cs="Times New Roman"/>
                <w:snapToGrid/>
                <w:color w:val="auto"/>
                <w:kern w:val="2"/>
                <w:sz w:val="24"/>
                <w:szCs w:val="24"/>
                <w:highlight w:val="none"/>
                <w:lang w:eastAsia="zh-CN"/>
              </w:rPr>
              <w:t>/a</w:t>
            </w:r>
            <w:r>
              <w:rPr>
                <w:rFonts w:hint="eastAsia" w:ascii="Times New Roman" w:hAnsi="Times New Roman" w:eastAsia="宋体" w:cs="Times New Roman"/>
                <w:snapToGrid/>
                <w:color w:val="auto"/>
                <w:kern w:val="2"/>
                <w:sz w:val="24"/>
                <w:szCs w:val="24"/>
                <w:highlight w:val="none"/>
                <w:lang w:eastAsia="zh-CN"/>
              </w:rPr>
              <w:t>，</w:t>
            </w:r>
            <w:r>
              <w:rPr>
                <w:rFonts w:hint="eastAsia" w:ascii="Times New Roman" w:hAnsi="Times New Roman" w:eastAsia="宋体" w:cs="Times New Roman"/>
                <w:snapToGrid/>
                <w:color w:val="auto"/>
                <w:kern w:val="2"/>
                <w:sz w:val="24"/>
                <w:szCs w:val="24"/>
                <w:highlight w:val="none"/>
                <w:lang w:val="en-US" w:eastAsia="zh-CN"/>
              </w:rPr>
              <w:t>本项目锅炉采用低氮燃烧技术（风配优化、分级燃烧），氮氧化物减排幅度按照30%计，则本项目的氮氧化物排放量为0.6426</w:t>
            </w:r>
            <w:r>
              <w:rPr>
                <w:rFonts w:ascii="Times New Roman" w:hAnsi="Times New Roman" w:eastAsia="宋体" w:cs="Times New Roman"/>
                <w:snapToGrid/>
                <w:color w:val="auto"/>
                <w:kern w:val="2"/>
                <w:sz w:val="24"/>
                <w:szCs w:val="24"/>
                <w:highlight w:val="none"/>
                <w:lang w:eastAsia="zh-CN"/>
              </w:rPr>
              <w:t>/a</w:t>
            </w:r>
            <w:r>
              <w:rPr>
                <w:rFonts w:hint="eastAsia" w:ascii="Times New Roman" w:hAnsi="Times New Roman" w:eastAsia="宋体" w:cs="Times New Roman"/>
                <w:snapToGrid/>
                <w:color w:val="auto"/>
                <w:kern w:val="2"/>
                <w:sz w:val="24"/>
                <w:szCs w:val="24"/>
                <w:highlight w:val="none"/>
                <w:lang w:eastAsia="zh-CN"/>
              </w:rPr>
              <w:t>，</w:t>
            </w:r>
            <w:r>
              <w:rPr>
                <w:rFonts w:hint="eastAsia" w:ascii="Times New Roman" w:hAnsi="Times New Roman" w:eastAsia="宋体" w:cs="Times New Roman"/>
                <w:snapToGrid/>
                <w:color w:val="auto"/>
                <w:kern w:val="2"/>
                <w:sz w:val="24"/>
                <w:szCs w:val="24"/>
                <w:highlight w:val="none"/>
                <w:lang w:val="en-US" w:eastAsia="zh-CN"/>
              </w:rPr>
              <w:t>氮氧化物排放浓度为99.06mg/Nm</w:t>
            </w:r>
            <w:r>
              <w:rPr>
                <w:rFonts w:hint="eastAsia" w:ascii="Times New Roman" w:hAnsi="Times New Roman" w:eastAsia="宋体" w:cs="Times New Roman"/>
                <w:snapToGrid/>
                <w:color w:val="auto"/>
                <w:kern w:val="2"/>
                <w:sz w:val="24"/>
                <w:szCs w:val="24"/>
                <w:highlight w:val="none"/>
                <w:vertAlign w:val="superscript"/>
                <w:lang w:val="en-US" w:eastAsia="zh-CN"/>
              </w:rPr>
              <w:t>3</w:t>
            </w:r>
            <w:r>
              <w:rPr>
                <w:rFonts w:ascii="Times New Roman" w:hAnsi="Times New Roman" w:eastAsia="宋体" w:cs="Times New Roman"/>
                <w:snapToGrid/>
                <w:color w:val="auto"/>
                <w:kern w:val="2"/>
                <w:sz w:val="24"/>
                <w:szCs w:val="24"/>
                <w:highlight w:val="none"/>
                <w:lang w:eastAsia="zh-CN"/>
              </w:rPr>
              <w:t>。</w:t>
            </w:r>
          </w:p>
          <w:p w14:paraId="1920F246">
            <w:pPr>
              <w:pStyle w:val="2"/>
              <w:widowControl w:val="0"/>
              <w:spacing w:line="360" w:lineRule="auto"/>
              <w:jc w:val="both"/>
              <w:rPr>
                <w:rFonts w:hint="default" w:ascii="Times New Roman" w:hAnsi="Times New Roman" w:eastAsia="宋体" w:cs="Times New Roman"/>
                <w:snapToGrid w:val="0"/>
                <w:color w:val="auto"/>
                <w:sz w:val="24"/>
                <w:szCs w:val="24"/>
                <w:highlight w:val="none"/>
                <w:lang w:val="en-US" w:eastAsia="zh-CN" w:bidi="ar-SA"/>
              </w:rPr>
            </w:pPr>
            <w:r>
              <w:rPr>
                <w:rFonts w:ascii="Times New Roman" w:hAnsi="Times New Roman" w:eastAsia="宋体" w:cs="Times New Roman"/>
                <w:snapToGrid w:val="0"/>
                <w:color w:val="auto"/>
                <w:sz w:val="24"/>
                <w:szCs w:val="24"/>
                <w:highlight w:val="none"/>
                <w:lang w:val="en-US" w:eastAsia="zh-CN" w:bidi="ar-SA"/>
              </w:rPr>
              <w:t>本项目新建生物质锅炉拟设置1根30m高排气筒</w:t>
            </w:r>
            <w:r>
              <w:rPr>
                <w:rFonts w:hint="eastAsia" w:ascii="Times New Roman" w:hAnsi="Times New Roman" w:eastAsia="宋体" w:cs="Times New Roman"/>
                <w:snapToGrid w:val="0"/>
                <w:color w:val="auto"/>
                <w:sz w:val="24"/>
                <w:szCs w:val="24"/>
                <w:highlight w:val="none"/>
                <w:lang w:val="en-US" w:eastAsia="zh-CN" w:bidi="ar-SA"/>
              </w:rPr>
              <w:t>，在采取上述措施后</w:t>
            </w:r>
            <w:r>
              <w:rPr>
                <w:rFonts w:ascii="Times New Roman" w:hAnsi="Times New Roman" w:eastAsia="宋体" w:cs="Times New Roman"/>
                <w:snapToGrid w:val="0"/>
                <w:color w:val="auto"/>
                <w:sz w:val="24"/>
                <w:szCs w:val="24"/>
                <w:highlight w:val="none"/>
                <w:lang w:val="en-US" w:eastAsia="zh-CN" w:bidi="ar-SA"/>
              </w:rPr>
              <w:t>并通过30m高排气筒排放后</w:t>
            </w:r>
            <w:r>
              <w:rPr>
                <w:rFonts w:hint="eastAsia" w:ascii="Times New Roman" w:hAnsi="Times New Roman" w:eastAsia="宋体" w:cs="Times New Roman"/>
                <w:snapToGrid w:val="0"/>
                <w:color w:val="auto"/>
                <w:sz w:val="24"/>
                <w:szCs w:val="24"/>
                <w:highlight w:val="none"/>
                <w:lang w:val="en-US" w:eastAsia="zh-CN" w:bidi="ar-SA"/>
              </w:rPr>
              <w:t>，</w:t>
            </w:r>
            <w:r>
              <w:rPr>
                <w:rFonts w:ascii="Times New Roman" w:hAnsi="Times New Roman" w:eastAsia="宋体" w:cs="Times New Roman"/>
                <w:snapToGrid w:val="0"/>
                <w:color w:val="auto"/>
                <w:sz w:val="24"/>
                <w:szCs w:val="24"/>
                <w:highlight w:val="none"/>
                <w:lang w:val="en-US" w:eastAsia="zh-CN" w:bidi="ar-SA"/>
              </w:rPr>
              <w:t>锅炉</w:t>
            </w:r>
            <w:r>
              <w:rPr>
                <w:rFonts w:hint="eastAsia" w:ascii="Times New Roman" w:hAnsi="Times New Roman" w:eastAsia="宋体" w:cs="Times New Roman"/>
                <w:snapToGrid w:val="0"/>
                <w:color w:val="auto"/>
                <w:sz w:val="24"/>
                <w:szCs w:val="24"/>
                <w:highlight w:val="none"/>
                <w:lang w:val="en-US" w:eastAsia="zh-CN" w:bidi="ar-SA"/>
              </w:rPr>
              <w:t>废气中的颗粒物、二氧化硫以及氮氧化物</w:t>
            </w:r>
            <w:r>
              <w:rPr>
                <w:rFonts w:ascii="Times New Roman" w:hAnsi="Times New Roman" w:eastAsia="宋体" w:cs="Times New Roman"/>
                <w:snapToGrid w:val="0"/>
                <w:color w:val="auto"/>
                <w:sz w:val="24"/>
                <w:szCs w:val="24"/>
                <w:highlight w:val="none"/>
                <w:lang w:val="en-US" w:eastAsia="zh-CN" w:bidi="ar-SA"/>
              </w:rPr>
              <w:t>排放浓度可满足《锅炉大气污染物排放标准》（GB13271-2014）中表</w:t>
            </w:r>
            <w:r>
              <w:rPr>
                <w:rFonts w:hint="eastAsia" w:ascii="Times New Roman" w:hAnsi="Times New Roman" w:eastAsia="宋体" w:cs="Times New Roman"/>
                <w:snapToGrid w:val="0"/>
                <w:color w:val="auto"/>
                <w:sz w:val="24"/>
                <w:szCs w:val="24"/>
                <w:highlight w:val="none"/>
                <w:lang w:val="en-US" w:eastAsia="zh-CN" w:bidi="ar-SA"/>
              </w:rPr>
              <w:t>3燃煤</w:t>
            </w:r>
            <w:r>
              <w:rPr>
                <w:rFonts w:ascii="Times New Roman" w:hAnsi="Times New Roman" w:eastAsia="宋体" w:cs="Times New Roman"/>
                <w:snapToGrid w:val="0"/>
                <w:color w:val="auto"/>
                <w:sz w:val="24"/>
                <w:szCs w:val="24"/>
                <w:highlight w:val="none"/>
                <w:lang w:val="en-US" w:eastAsia="zh-CN" w:bidi="ar-SA"/>
              </w:rPr>
              <w:t>锅炉排放限值</w:t>
            </w:r>
            <w:r>
              <w:rPr>
                <w:rFonts w:hint="eastAsia" w:ascii="Times New Roman" w:hAnsi="Times New Roman" w:eastAsia="宋体" w:cs="Times New Roman"/>
                <w:snapToGrid w:val="0"/>
                <w:color w:val="auto"/>
                <w:sz w:val="24"/>
                <w:szCs w:val="24"/>
                <w:highlight w:val="none"/>
                <w:lang w:val="en-US" w:eastAsia="zh-CN" w:bidi="ar-SA"/>
              </w:rPr>
              <w:t>，依据</w:t>
            </w:r>
            <w:r>
              <w:rPr>
                <w:rFonts w:ascii="Times New Roman" w:hAnsi="Times New Roman" w:eastAsia="宋体" w:cs="Times New Roman"/>
                <w:snapToGrid w:val="0"/>
                <w:color w:val="auto"/>
                <w:sz w:val="24"/>
                <w:szCs w:val="24"/>
                <w:highlight w:val="none"/>
                <w:lang w:val="en-US" w:eastAsia="zh-CN" w:bidi="ar-SA"/>
              </w:rPr>
              <w:t>《</w:t>
            </w:r>
            <w:r>
              <w:rPr>
                <w:rFonts w:hint="eastAsia" w:ascii="Times New Roman" w:hAnsi="Times New Roman" w:eastAsia="宋体" w:cs="Times New Roman"/>
                <w:snapToGrid w:val="0"/>
                <w:color w:val="auto"/>
                <w:sz w:val="24"/>
                <w:szCs w:val="24"/>
                <w:highlight w:val="none"/>
                <w:lang w:val="en-US" w:eastAsia="zh-CN" w:bidi="ar-SA"/>
              </w:rPr>
              <w:t>关于促进生物质能供热发展的指导意见</w:t>
            </w:r>
            <w:r>
              <w:rPr>
                <w:rFonts w:ascii="Times New Roman" w:hAnsi="Times New Roman" w:eastAsia="宋体" w:cs="Times New Roman"/>
                <w:snapToGrid w:val="0"/>
                <w:color w:val="auto"/>
                <w:sz w:val="24"/>
                <w:szCs w:val="24"/>
                <w:highlight w:val="none"/>
                <w:lang w:val="en-US" w:eastAsia="zh-CN" w:bidi="ar-SA"/>
              </w:rPr>
              <w:t>》</w:t>
            </w:r>
            <w:r>
              <w:rPr>
                <w:rFonts w:hint="eastAsia" w:ascii="Times New Roman" w:hAnsi="Times New Roman" w:eastAsia="宋体" w:cs="Times New Roman"/>
                <w:snapToGrid w:val="0"/>
                <w:color w:val="auto"/>
                <w:sz w:val="24"/>
                <w:szCs w:val="24"/>
                <w:highlight w:val="none"/>
                <w:lang w:val="en-US" w:eastAsia="zh-CN" w:bidi="ar-SA"/>
              </w:rPr>
              <w:t>，本项目达到了生物质供热项目向燃气锅炉排放水平</w:t>
            </w:r>
            <w:r>
              <w:rPr>
                <w:rFonts w:ascii="Times New Roman" w:hAnsi="Times New Roman" w:eastAsia="宋体" w:cs="Times New Roman"/>
                <w:snapToGrid w:val="0"/>
                <w:color w:val="auto"/>
                <w:sz w:val="24"/>
                <w:szCs w:val="24"/>
                <w:highlight w:val="none"/>
                <w:lang w:val="en-US" w:eastAsia="zh-CN" w:bidi="ar-SA"/>
              </w:rPr>
              <w:t>看齐的环保目标，对区域大气环境影响较小。</w:t>
            </w:r>
          </w:p>
          <w:p w14:paraId="0C9211F3">
            <w:pPr>
              <w:widowControl w:val="0"/>
              <w:kinsoku/>
              <w:spacing w:line="360" w:lineRule="auto"/>
              <w:ind w:firstLine="48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综上所述，施工期间产生的废气对大气环境影响不大。</w:t>
            </w:r>
          </w:p>
          <w:bookmarkEnd w:id="19"/>
          <w:p w14:paraId="75F7B351">
            <w:pPr>
              <w:pStyle w:val="22"/>
              <w:widowControl w:val="0"/>
              <w:kinsoku/>
              <w:spacing w:before="1" w:line="360" w:lineRule="auto"/>
              <w:ind w:left="2"/>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pacing w:val="-5"/>
                <w:sz w:val="24"/>
                <w:szCs w:val="24"/>
                <w:highlight w:val="none"/>
                <w:lang w:eastAsia="zh-CN"/>
              </w:rPr>
              <w:t>4</w:t>
            </w:r>
            <w:r>
              <w:rPr>
                <w:rFonts w:ascii="Times New Roman" w:hAnsi="Times New Roman" w:cs="Times New Roman"/>
                <w:b/>
                <w:bCs/>
                <w:color w:val="auto"/>
                <w:sz w:val="24"/>
                <w:szCs w:val="24"/>
                <w:highlight w:val="none"/>
                <w:lang w:eastAsia="zh-CN"/>
              </w:rPr>
              <w:t>.施工期水环境影响分析</w:t>
            </w:r>
          </w:p>
          <w:p w14:paraId="3AA7295B">
            <w:pPr>
              <w:pStyle w:val="22"/>
              <w:widowControl w:val="0"/>
              <w:kinsoku/>
              <w:spacing w:before="1" w:line="360"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4.1井下作业废水（洗井废水）和压裂返排液</w:t>
            </w:r>
          </w:p>
          <w:p w14:paraId="39EA5682">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bidi="ar"/>
              </w:rPr>
            </w:pPr>
            <w:r>
              <w:rPr>
                <w:rFonts w:ascii="Times New Roman" w:hAnsi="Times New Roman" w:cs="Times New Roman"/>
                <w:color w:val="auto"/>
                <w:sz w:val="24"/>
                <w:szCs w:val="24"/>
                <w:highlight w:val="none"/>
                <w:lang w:eastAsia="zh-CN"/>
              </w:rPr>
              <w:t>试油废水主要包括井下作</w:t>
            </w:r>
            <w:r>
              <w:rPr>
                <w:rFonts w:ascii="Times New Roman" w:hAnsi="Times New Roman" w:cs="Times New Roman"/>
                <w:color w:val="auto"/>
                <w:spacing w:val="-2"/>
                <w:sz w:val="24"/>
                <w:szCs w:val="24"/>
                <w:highlight w:val="none"/>
                <w:lang w:eastAsia="zh-CN"/>
              </w:rPr>
              <w:t>业废水和压裂返排液，根据项目水平衡章节可知，</w:t>
            </w:r>
            <w:r>
              <w:rPr>
                <w:rFonts w:ascii="Times New Roman" w:hAnsi="Times New Roman" w:cs="Times New Roman"/>
                <w:color w:val="auto"/>
                <w:spacing w:val="-3"/>
                <w:sz w:val="24"/>
                <w:szCs w:val="24"/>
                <w:highlight w:val="none"/>
                <w:lang w:eastAsia="zh-CN"/>
              </w:rPr>
              <w:t>废压裂液产生量为36000m</w:t>
            </w:r>
            <w:r>
              <w:rPr>
                <w:rFonts w:ascii="Times New Roman" w:hAnsi="Times New Roman" w:cs="Times New Roman"/>
                <w:color w:val="auto"/>
                <w:spacing w:val="-3"/>
                <w:sz w:val="24"/>
                <w:szCs w:val="24"/>
                <w:highlight w:val="none"/>
                <w:vertAlign w:val="superscript"/>
                <w:lang w:eastAsia="zh-CN"/>
              </w:rPr>
              <w:t>3</w:t>
            </w:r>
            <w:r>
              <w:rPr>
                <w:rFonts w:ascii="Times New Roman" w:hAnsi="Times New Roman" w:cs="Times New Roman"/>
                <w:color w:val="auto"/>
                <w:spacing w:val="-3"/>
                <w:sz w:val="24"/>
                <w:szCs w:val="24"/>
                <w:highlight w:val="none"/>
                <w:lang w:eastAsia="zh-CN"/>
              </w:rPr>
              <w:t>，洗井废</w:t>
            </w:r>
            <w:r>
              <w:rPr>
                <w:rFonts w:ascii="Times New Roman" w:hAnsi="Times New Roman" w:cs="Times New Roman"/>
                <w:color w:val="auto"/>
                <w:spacing w:val="-1"/>
                <w:sz w:val="24"/>
                <w:szCs w:val="24"/>
                <w:highlight w:val="none"/>
                <w:lang w:eastAsia="zh-CN"/>
              </w:rPr>
              <w:t>水产生量为</w:t>
            </w:r>
            <w:r>
              <w:rPr>
                <w:rFonts w:ascii="Times New Roman" w:hAnsi="Times New Roman" w:cs="Times New Roman"/>
                <w:color w:val="auto"/>
                <w:sz w:val="24"/>
                <w:szCs w:val="24"/>
                <w:highlight w:val="none"/>
                <w:lang w:eastAsia="zh-CN" w:bidi="ar"/>
              </w:rPr>
              <w:t>150</w:t>
            </w:r>
            <w:r>
              <w:rPr>
                <w:rFonts w:ascii="Times New Roman" w:hAnsi="Times New Roman" w:cs="Times New Roman"/>
                <w:color w:val="auto"/>
                <w:spacing w:val="-3"/>
                <w:sz w:val="24"/>
                <w:szCs w:val="24"/>
                <w:highlight w:val="none"/>
                <w:lang w:eastAsia="zh-CN"/>
              </w:rPr>
              <w:t>m</w:t>
            </w:r>
            <w:r>
              <w:rPr>
                <w:rFonts w:ascii="Times New Roman" w:hAnsi="Times New Roman" w:cs="Times New Roman"/>
                <w:color w:val="auto"/>
                <w:spacing w:val="-3"/>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，主要污染物为悬浮物和石油类；洗井废水和压裂返排液均拉运到康探001临时拉油站中转运至吉28脱水站并处理达标后，全部回注油藏</w:t>
            </w:r>
            <w:r>
              <w:rPr>
                <w:rFonts w:ascii="Times New Roman" w:hAnsi="Times New Roman" w:cs="Times New Roman"/>
                <w:color w:val="auto"/>
                <w:spacing w:val="-3"/>
                <w:sz w:val="24"/>
                <w:szCs w:val="24"/>
                <w:highlight w:val="none"/>
                <w:lang w:eastAsia="zh-CN"/>
              </w:rPr>
              <w:t>，不外排，</w:t>
            </w:r>
            <w:r>
              <w:rPr>
                <w:rFonts w:ascii="Times New Roman" w:hAnsi="Times New Roman" w:cs="Times New Roman"/>
                <w:color w:val="auto"/>
                <w:sz w:val="24"/>
                <w:szCs w:val="24"/>
                <w:highlight w:val="none"/>
                <w:lang w:eastAsia="zh-CN" w:bidi="ar"/>
              </w:rPr>
              <w:t>底泥依托吉28脱水站危废暂存间暂存，委托有危废处置资质的单位进行处置。</w:t>
            </w:r>
          </w:p>
          <w:p w14:paraId="6E0599E2">
            <w:pPr>
              <w:pStyle w:val="22"/>
              <w:widowControl w:val="0"/>
              <w:kinsoku/>
              <w:spacing w:line="219" w:lineRule="auto"/>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3"/>
                <w:sz w:val="24"/>
                <w:szCs w:val="24"/>
                <w:highlight w:val="none"/>
                <w:lang w:eastAsia="zh-CN"/>
              </w:rPr>
              <w:t>4.2生活污水</w:t>
            </w:r>
          </w:p>
          <w:p w14:paraId="55B19DC9">
            <w:pPr>
              <w:pStyle w:val="22"/>
              <w:widowControl w:val="0"/>
              <w:kinsoku/>
              <w:spacing w:before="36" w:line="360" w:lineRule="auto"/>
              <w:ind w:left="6"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本项目施工期生活污水产生量约为345.</w:t>
            </w:r>
            <w:r>
              <w:rPr>
                <w:rFonts w:hint="default" w:ascii="Times New Roman" w:hAnsi="Times New Roman" w:cs="Times New Roman"/>
                <w:color w:val="auto"/>
                <w:spacing w:val="-2"/>
                <w:sz w:val="24"/>
                <w:szCs w:val="24"/>
                <w:highlight w:val="none"/>
                <w:lang w:eastAsia="zh-CN"/>
              </w:rPr>
              <w:t>6m³。根据类比同类工程及一般生活污水水质特征，确定主要污染物浓度分别为化学需氧量（COD）350mg/L、氨氮（NH</w:t>
            </w:r>
            <w:r>
              <w:rPr>
                <w:rFonts w:hint="default" w:ascii="Times New Roman" w:hAnsi="Times New Roman" w:cs="Times New Roman"/>
                <w:color w:val="auto"/>
                <w:spacing w:val="-2"/>
                <w:sz w:val="24"/>
                <w:szCs w:val="24"/>
                <w:highlight w:val="none"/>
                <w:vertAlign w:val="subscript"/>
                <w:lang w:eastAsia="zh-CN"/>
              </w:rPr>
              <w:t>3</w:t>
            </w:r>
            <w:r>
              <w:rPr>
                <w:rFonts w:hint="default" w:ascii="Times New Roman" w:hAnsi="Times New Roman" w:cs="Times New Roman"/>
                <w:color w:val="auto"/>
                <w:spacing w:val="-2"/>
                <w:sz w:val="24"/>
                <w:szCs w:val="24"/>
                <w:highlight w:val="none"/>
                <w:lang w:eastAsia="zh-CN"/>
              </w:rPr>
              <w:t>-N）30mg/L、悬浮物（SS）200mg/L。污染物产生量按公式 G=Q</w:t>
            </w:r>
            <w:r>
              <w:rPr>
                <w:rFonts w:hint="default" w:ascii="Arial" w:hAnsi="Arial" w:cs="Arial"/>
                <w:color w:val="auto"/>
                <w:spacing w:val="-2"/>
                <w:sz w:val="24"/>
                <w:szCs w:val="24"/>
                <w:highlight w:val="none"/>
                <w:lang w:eastAsia="zh-CN"/>
              </w:rPr>
              <w:t>×</w:t>
            </w:r>
            <w:r>
              <w:rPr>
                <w:rFonts w:hint="default" w:ascii="Times New Roman" w:hAnsi="Times New Roman" w:cs="Times New Roman"/>
                <w:color w:val="auto"/>
                <w:spacing w:val="-2"/>
                <w:sz w:val="24"/>
                <w:szCs w:val="24"/>
                <w:highlight w:val="none"/>
                <w:lang w:eastAsia="zh-CN"/>
              </w:rPr>
              <w:t xml:space="preserve"> C</w:t>
            </w:r>
            <w:r>
              <w:rPr>
                <w:rFonts w:hint="default" w:ascii="Arial" w:hAnsi="Arial" w:cs="Arial"/>
                <w:color w:val="auto"/>
                <w:spacing w:val="-2"/>
                <w:sz w:val="24"/>
                <w:szCs w:val="24"/>
                <w:highlight w:val="none"/>
                <w:lang w:eastAsia="zh-CN"/>
              </w:rPr>
              <w:t>×</w:t>
            </w:r>
            <w:r>
              <w:rPr>
                <w:rFonts w:hint="default" w:ascii="Times New Roman" w:hAnsi="Times New Roman" w:cs="Times New Roman"/>
                <w:color w:val="auto"/>
                <w:spacing w:val="-2"/>
                <w:sz w:val="24"/>
                <w:szCs w:val="24"/>
                <w:highlight w:val="none"/>
                <w:lang w:eastAsia="zh-CN"/>
              </w:rPr>
              <w:t>10</w:t>
            </w:r>
            <w:r>
              <w:rPr>
                <w:rFonts w:hint="default" w:ascii="Times New Roman" w:hAnsi="Times New Roman" w:cs="Times New Roman"/>
                <w:color w:val="auto"/>
                <w:spacing w:val="-2"/>
                <w:sz w:val="24"/>
                <w:szCs w:val="24"/>
                <w:highlight w:val="none"/>
                <w:vertAlign w:val="superscript"/>
                <w:lang w:eastAsia="zh-CN"/>
              </w:rPr>
              <w:t>-6</w:t>
            </w:r>
            <w:r>
              <w:rPr>
                <w:rFonts w:hint="default" w:ascii="Times New Roman" w:hAnsi="Times New Roman" w:cs="Times New Roman"/>
                <w:color w:val="auto"/>
                <w:spacing w:val="-2"/>
                <w:sz w:val="24"/>
                <w:szCs w:val="24"/>
                <w:highlight w:val="none"/>
                <w:lang w:eastAsia="zh-CN"/>
              </w:rPr>
              <w:t>计算（其中G为污染物产生量，t；Q为生活污水产生量，m³；C为污染物浓度，mg/L），具体计算过程如下：COD产生量=345.6×350×10</w:t>
            </w:r>
            <w:r>
              <w:rPr>
                <w:rFonts w:hint="eastAsia" w:ascii="Times New Roman" w:hAnsi="Times New Roman" w:cs="Times New Roman"/>
                <w:color w:val="auto"/>
                <w:spacing w:val="-2"/>
                <w:sz w:val="24"/>
                <w:szCs w:val="24"/>
                <w:highlight w:val="none"/>
                <w:vertAlign w:val="superscript"/>
                <w:lang w:val="en-US" w:eastAsia="zh-CN"/>
              </w:rPr>
              <w:t>-6</w:t>
            </w:r>
            <w:r>
              <w:rPr>
                <w:rFonts w:hint="default" w:ascii="Times New Roman" w:hAnsi="Times New Roman" w:cs="Times New Roman"/>
                <w:color w:val="auto"/>
                <w:spacing w:val="-2"/>
                <w:sz w:val="24"/>
                <w:szCs w:val="24"/>
                <w:highlight w:val="none"/>
                <w:lang w:eastAsia="zh-CN"/>
              </w:rPr>
              <w:t>≈0.12t；氨氮产生量=345.6×30×10</w:t>
            </w:r>
            <w:r>
              <w:rPr>
                <w:rFonts w:hint="eastAsia" w:ascii="Times New Roman" w:hAnsi="Times New Roman" w:cs="Times New Roman"/>
                <w:color w:val="auto"/>
                <w:spacing w:val="-2"/>
                <w:sz w:val="24"/>
                <w:szCs w:val="24"/>
                <w:highlight w:val="none"/>
                <w:vertAlign w:val="superscript"/>
                <w:lang w:val="en-US" w:eastAsia="zh-CN"/>
              </w:rPr>
              <w:t>-6</w:t>
            </w:r>
            <w:r>
              <w:rPr>
                <w:rFonts w:hint="default" w:ascii="Times New Roman" w:hAnsi="Times New Roman" w:cs="Times New Roman"/>
                <w:color w:val="auto"/>
                <w:spacing w:val="-2"/>
                <w:sz w:val="24"/>
                <w:szCs w:val="24"/>
                <w:highlight w:val="none"/>
                <w:lang w:eastAsia="zh-CN"/>
              </w:rPr>
              <w:t>≈0.01t；悬浮物产生量=345.6×200×10</w:t>
            </w:r>
            <w:r>
              <w:rPr>
                <w:rFonts w:hint="eastAsia" w:ascii="Times New Roman" w:hAnsi="Times New Roman" w:cs="Times New Roman"/>
                <w:color w:val="auto"/>
                <w:spacing w:val="-2"/>
                <w:sz w:val="24"/>
                <w:szCs w:val="24"/>
                <w:highlight w:val="none"/>
                <w:vertAlign w:val="superscript"/>
                <w:lang w:val="en-US" w:eastAsia="zh-CN"/>
              </w:rPr>
              <w:t>-6</w:t>
            </w:r>
            <w:r>
              <w:rPr>
                <w:rFonts w:hint="default" w:ascii="Times New Roman" w:hAnsi="Times New Roman" w:cs="Times New Roman"/>
                <w:color w:val="auto"/>
                <w:spacing w:val="-2"/>
                <w:sz w:val="24"/>
                <w:szCs w:val="24"/>
                <w:highlight w:val="none"/>
                <w:lang w:eastAsia="zh-CN"/>
              </w:rPr>
              <w:t>≈0.069t。综上，本项目生活污水污染物产生量分别为COD：0.12t、NH3-N：0.01t、SS：0.069t。</w:t>
            </w:r>
          </w:p>
          <w:p w14:paraId="177F3659">
            <w:pPr>
              <w:pStyle w:val="22"/>
              <w:widowControl w:val="0"/>
              <w:kinsoku/>
              <w:spacing w:before="36" w:line="360" w:lineRule="auto"/>
              <w:ind w:left="6" w:firstLine="472" w:firstLineChars="200"/>
              <w:jc w:val="both"/>
              <w:rPr>
                <w:rFonts w:ascii="Times New Roman" w:hAnsi="Times New Roman" w:cs="Times New Roman"/>
                <w:color w:val="auto"/>
                <w:spacing w:val="-1"/>
                <w:sz w:val="24"/>
                <w:szCs w:val="24"/>
                <w:highlight w:val="none"/>
                <w:lang w:eastAsia="zh-CN"/>
              </w:rPr>
            </w:pPr>
            <w:r>
              <w:rPr>
                <w:rFonts w:ascii="Times New Roman" w:hAnsi="Times New Roman" w:cs="Times New Roman"/>
                <w:color w:val="auto"/>
                <w:spacing w:val="-2"/>
                <w:sz w:val="24"/>
                <w:szCs w:val="24"/>
                <w:highlight w:val="none"/>
                <w:lang w:eastAsia="zh-CN"/>
              </w:rPr>
              <w:t>各钻试场生活营地内设置1座临时移动厕所，用于收集和暂</w:t>
            </w:r>
            <w:r>
              <w:rPr>
                <w:rFonts w:ascii="Times New Roman" w:hAnsi="Times New Roman" w:cs="Times New Roman"/>
                <w:color w:val="auto"/>
                <w:spacing w:val="-3"/>
                <w:sz w:val="24"/>
                <w:szCs w:val="24"/>
                <w:highlight w:val="none"/>
                <w:lang w:eastAsia="zh-CN"/>
              </w:rPr>
              <w:t>存生活</w:t>
            </w:r>
            <w:r>
              <w:rPr>
                <w:rFonts w:ascii="Times New Roman" w:hAnsi="Times New Roman" w:cs="Times New Roman"/>
                <w:color w:val="auto"/>
                <w:spacing w:val="-1"/>
                <w:sz w:val="24"/>
                <w:szCs w:val="24"/>
                <w:highlight w:val="none"/>
                <w:lang w:eastAsia="zh-CN"/>
              </w:rPr>
              <w:t>污水，定期由施工队采用吸污车清运至市政污水处理厂处理。</w:t>
            </w:r>
          </w:p>
          <w:p w14:paraId="0654C542">
            <w:pPr>
              <w:pStyle w:val="22"/>
              <w:widowControl w:val="0"/>
              <w:kinsoku/>
              <w:spacing w:before="36" w:line="360" w:lineRule="auto"/>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4.3对地下水影响分析</w:t>
            </w:r>
          </w:p>
          <w:p w14:paraId="7D202F0B">
            <w:pPr>
              <w:pStyle w:val="22"/>
              <w:widowControl w:val="0"/>
              <w:kinsoku/>
              <w:spacing w:before="36" w:line="360" w:lineRule="auto"/>
              <w:ind w:firstLine="472"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2"/>
                <w:sz w:val="24"/>
                <w:szCs w:val="24"/>
                <w:highlight w:val="none"/>
                <w:lang w:eastAsia="zh-CN"/>
              </w:rPr>
              <w:t>项目区含水层埋深在50m～150m，一开表层套管的下土深度</w:t>
            </w:r>
            <w:r>
              <w:rPr>
                <w:rFonts w:ascii="Times New Roman" w:hAnsi="Times New Roman" w:cs="Times New Roman"/>
                <w:color w:val="auto"/>
                <w:spacing w:val="3"/>
                <w:sz w:val="24"/>
                <w:szCs w:val="24"/>
                <w:highlight w:val="none"/>
                <w:lang w:eastAsia="zh-CN"/>
              </w:rPr>
              <w:t>5</w:t>
            </w:r>
            <w:r>
              <w:rPr>
                <w:rFonts w:ascii="Times New Roman" w:hAnsi="Times New Roman" w:cs="Times New Roman"/>
                <w:color w:val="auto"/>
                <w:spacing w:val="-2"/>
                <w:sz w:val="24"/>
                <w:szCs w:val="24"/>
                <w:highlight w:val="none"/>
                <w:lang w:eastAsia="zh-CN"/>
              </w:rPr>
              <w:t>00m，超出本区域地下水含水层深度，有效隔断了油井与含水层之间的联系，可保护地下水环境不受污染。试油目的层与地下水处于不同层系，在施工过程中确保套管下入指定深度，有效避免试油作业对地下水环境的影响。钻井时严格落实套管下入深度合格和固井质量合格，对洗井时产生的废水进行严格管理；油品储存区采取重点防渗措施，基本不会对所在区</w:t>
            </w:r>
            <w:r>
              <w:rPr>
                <w:rFonts w:ascii="Times New Roman" w:hAnsi="Times New Roman" w:cs="Times New Roman"/>
                <w:color w:val="auto"/>
                <w:spacing w:val="-1"/>
                <w:sz w:val="24"/>
                <w:szCs w:val="24"/>
                <w:highlight w:val="none"/>
                <w:lang w:eastAsia="zh-CN"/>
              </w:rPr>
              <w:t>域地下水产生影响。</w:t>
            </w:r>
          </w:p>
          <w:p w14:paraId="56B9B06E">
            <w:pPr>
              <w:pStyle w:val="22"/>
              <w:widowControl w:val="0"/>
              <w:kinsoku/>
              <w:spacing w:line="219" w:lineRule="auto"/>
              <w:ind w:left="487"/>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综上所述，项目的实施对所在区域的水环境质量影响不大。</w:t>
            </w:r>
          </w:p>
          <w:p w14:paraId="2CB25A7B">
            <w:pPr>
              <w:pStyle w:val="22"/>
              <w:widowControl w:val="0"/>
              <w:kinsoku/>
              <w:spacing w:before="181" w:line="360" w:lineRule="auto"/>
              <w:ind w:left="1"/>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2"/>
                <w:sz w:val="24"/>
                <w:szCs w:val="24"/>
                <w:highlight w:val="none"/>
                <w:lang w:eastAsia="zh-CN"/>
              </w:rPr>
              <w:t>4.4事故状态下水环境影响分析</w:t>
            </w:r>
          </w:p>
          <w:p w14:paraId="5145F773">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（1）井漏事故的泥浆对地下水的影响</w:t>
            </w:r>
          </w:p>
          <w:p w14:paraId="0432DDA8">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井漏事故对地下水的污染是钻井泥浆漏失于地下水含水层中，由于其含Ca、Na等离子，且盐分较多，易造成地下含水层水质污染。</w:t>
            </w:r>
          </w:p>
          <w:p w14:paraId="2E6E3892">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本项目采用下套管注水泥的方式进行固井，可对潜水和承压水所在的地层进行固封。在固井合格的前提下，可以有效隔离含水层与井内泥浆的交换，有效保护地下水层。</w:t>
            </w:r>
          </w:p>
          <w:p w14:paraId="557CF7E7">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因此，推广使用清洁无害的泥浆，严格要求套管下入深度，可以有效控制钻井液在含水层中的漏失，减轻对地下水环境的影响。</w:t>
            </w:r>
          </w:p>
          <w:p w14:paraId="363F41F8">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（2）油水窜层对地下水的污染影响</w:t>
            </w:r>
          </w:p>
          <w:p w14:paraId="33D293E5">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钻井完井后试油过程中原油窜层污染的主要原因是：</w:t>
            </w:r>
            <w:r>
              <w:rPr>
                <w:rFonts w:ascii="Cambria Math" w:hAnsi="Cambria Math" w:cs="Cambria Math"/>
                <w:color w:val="auto"/>
                <w:sz w:val="24"/>
                <w:szCs w:val="24"/>
                <w:highlight w:val="none"/>
                <w:lang w:eastAsia="zh-CN"/>
              </w:rPr>
              <w:t>①</w:t>
            </w:r>
            <w:r>
              <w:rPr>
                <w:rFonts w:ascii="Times New Roman" w:hAnsi="Times New Roman" w:cs="Times New Roman"/>
                <w:color w:val="auto"/>
                <w:sz w:val="24"/>
                <w:szCs w:val="24"/>
                <w:highlight w:val="none"/>
                <w:lang w:eastAsia="zh-CN"/>
              </w:rPr>
              <w:t>下入的表层套管未封住含水层；</w:t>
            </w:r>
            <w:r>
              <w:rPr>
                <w:rFonts w:ascii="Cambria Math" w:hAnsi="Cambria Math" w:cs="Cambria Math"/>
                <w:color w:val="auto"/>
                <w:sz w:val="24"/>
                <w:szCs w:val="24"/>
                <w:highlight w:val="none"/>
                <w:lang w:eastAsia="zh-CN"/>
              </w:rPr>
              <w:t>②</w:t>
            </w:r>
            <w:r>
              <w:rPr>
                <w:rFonts w:ascii="Times New Roman" w:hAnsi="Times New Roman" w:cs="Times New Roman"/>
                <w:color w:val="auto"/>
                <w:sz w:val="24"/>
                <w:szCs w:val="24"/>
                <w:highlight w:val="none"/>
                <w:lang w:eastAsia="zh-CN"/>
              </w:rPr>
              <w:t>固井质量差；</w:t>
            </w:r>
            <w:r>
              <w:rPr>
                <w:rFonts w:ascii="Cambria Math" w:hAnsi="Cambria Math" w:cs="Cambria Math"/>
                <w:color w:val="auto"/>
                <w:sz w:val="24"/>
                <w:szCs w:val="24"/>
                <w:highlight w:val="none"/>
                <w:lang w:eastAsia="zh-CN"/>
              </w:rPr>
              <w:t>③</w:t>
            </w:r>
            <w:r>
              <w:rPr>
                <w:rFonts w:ascii="Times New Roman" w:hAnsi="Times New Roman" w:cs="Times New Roman"/>
                <w:color w:val="auto"/>
                <w:sz w:val="24"/>
                <w:szCs w:val="24"/>
                <w:highlight w:val="none"/>
                <w:lang w:eastAsia="zh-CN"/>
              </w:rPr>
              <w:t>工艺措施不合理或未实施。因此，为预防污染的发生和污染源的形成，表层套管必须严格封闭含水层，固井质量应符合环保要求。</w:t>
            </w:r>
          </w:p>
          <w:p w14:paraId="30809900">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（3）井喷事故对地下水的污染影响</w:t>
            </w:r>
          </w:p>
          <w:p w14:paraId="507A628D">
            <w:pPr>
              <w:pStyle w:val="22"/>
              <w:widowControl w:val="0"/>
              <w:kinsoku/>
              <w:spacing w:before="36" w:line="360" w:lineRule="auto"/>
              <w:ind w:left="5"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井喷事故一旦发生，大量的油气喷出井口，散落于井场周围，除造成重大经济损失外，还会造成严重的环境污染。根据测算，井喷发生后，一般需要1-2d才能得以控制。</w:t>
            </w:r>
            <w:r>
              <w:rPr>
                <w:rFonts w:hint="eastAsia" w:ascii="Times New Roman" w:hAnsi="Times New Roman" w:cs="Times New Roman"/>
                <w:color w:val="auto"/>
                <w:sz w:val="24"/>
                <w:szCs w:val="24"/>
                <w:highlight w:val="none"/>
                <w:lang w:val="en-US" w:eastAsia="zh-CN"/>
              </w:rPr>
              <w:t>根</w:t>
            </w:r>
            <w:r>
              <w:rPr>
                <w:rFonts w:ascii="Times New Roman" w:hAnsi="Times New Roman" w:cs="Times New Roman"/>
                <w:color w:val="auto"/>
                <w:sz w:val="24"/>
                <w:szCs w:val="24"/>
                <w:highlight w:val="none"/>
                <w:lang w:eastAsia="zh-CN"/>
              </w:rPr>
              <w:t>据类比资料，井喷污染范围在半径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环境的影响主要表现为对其周围土壤的影响，对地下水体有一定的影响，若及时采取有效措施治理污染，井喷对地下水的影响极小。</w:t>
            </w:r>
          </w:p>
          <w:p w14:paraId="022394FE">
            <w:pPr>
              <w:widowControl/>
              <w:kinsoku/>
              <w:spacing w:line="360" w:lineRule="auto"/>
              <w:jc w:val="both"/>
              <w:rPr>
                <w:rFonts w:ascii="Times New Roman" w:hAnsi="Times New Roman" w:eastAsia="宋体" w:cs="Times New Roman"/>
                <w:b/>
                <w:bCs/>
                <w:color w:val="auto"/>
                <w:spacing w:val="-2"/>
                <w:sz w:val="24"/>
                <w:szCs w:val="24"/>
                <w:highlight w:val="none"/>
                <w:lang w:eastAsia="zh-CN"/>
              </w:rPr>
            </w:pPr>
            <w:r>
              <w:rPr>
                <w:rFonts w:ascii="Times New Roman" w:hAnsi="Times New Roman" w:eastAsia="宋体" w:cs="Times New Roman"/>
                <w:b/>
                <w:bCs/>
                <w:color w:val="auto"/>
                <w:spacing w:val="-2"/>
                <w:sz w:val="24"/>
                <w:szCs w:val="24"/>
                <w:highlight w:val="none"/>
                <w:lang w:eastAsia="zh-CN"/>
              </w:rPr>
              <w:t>5.施工期声环境影响分析</w:t>
            </w:r>
          </w:p>
          <w:p w14:paraId="2A17789E">
            <w:pPr>
              <w:pStyle w:val="8"/>
              <w:widowControl w:val="0"/>
              <w:kinsoku/>
              <w:spacing w:line="360" w:lineRule="auto"/>
              <w:ind w:firstLine="48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施工期噪声来源于井场、生活营地建设等钻前作业、钻井作业及试油作业等施工活动。噪声源主要包括柴油发电机、柴油机等以及各类施工机械，如挖土机、推土机、轮式装载车等，贯穿于整个施工过程，待施工结束后噪声影响消失。根据现场调查，井场周边50m范围内无声环境敏感目标，不会对周围声环境产生明显影响。本环评要求建设单位选用低噪声设备，</w:t>
            </w:r>
            <w:r>
              <w:rPr>
                <w:rFonts w:ascii="Times New Roman" w:hAnsi="Times New Roman" w:eastAsia="宋体" w:cs="Times New Roman"/>
                <w:color w:val="auto"/>
                <w:sz w:val="24"/>
                <w:szCs w:val="24"/>
                <w:highlight w:val="none"/>
                <w:lang w:eastAsia="zh-CN"/>
              </w:rPr>
              <w:t>对高噪声设备采取隔声措施，</w:t>
            </w:r>
            <w:r>
              <w:rPr>
                <w:rFonts w:ascii="Times New Roman" w:hAnsi="Times New Roman" w:eastAsia="宋体" w:cs="Times New Roman"/>
                <w:color w:val="auto"/>
                <w:spacing w:val="-2"/>
                <w:sz w:val="24"/>
                <w:szCs w:val="24"/>
                <w:highlight w:val="none"/>
                <w:lang w:eastAsia="zh-CN"/>
              </w:rPr>
              <w:t>加强设备维护和保养，</w:t>
            </w:r>
            <w:r>
              <w:rPr>
                <w:rFonts w:ascii="Times New Roman" w:hAnsi="Times New Roman" w:eastAsia="宋体" w:cs="Times New Roman"/>
                <w:color w:val="auto"/>
                <w:sz w:val="24"/>
                <w:szCs w:val="24"/>
                <w:highlight w:val="none"/>
                <w:lang w:eastAsia="zh-CN"/>
              </w:rPr>
              <w:t>保证机械设备的正常运转，以降低设备正常运转的噪声。</w:t>
            </w:r>
            <w:r>
              <w:rPr>
                <w:rFonts w:ascii="Times New Roman" w:hAnsi="Times New Roman" w:eastAsia="宋体" w:cs="Times New Roman"/>
                <w:color w:val="auto"/>
                <w:spacing w:val="-2"/>
                <w:sz w:val="24"/>
                <w:szCs w:val="24"/>
                <w:highlight w:val="none"/>
                <w:lang w:eastAsia="zh-CN"/>
              </w:rPr>
              <w:t>在设施底部进行基础减振处理。加强施工场地管理，合理疏导进入施工区的车辆，符合《建筑施工噪声排放标准》（GB12523-2025）要求。</w:t>
            </w:r>
            <w:r>
              <w:rPr>
                <w:rFonts w:ascii="Times New Roman" w:hAnsi="Times New Roman" w:eastAsia="宋体" w:cs="Times New Roman"/>
                <w:color w:val="auto"/>
                <w:sz w:val="24"/>
                <w:szCs w:val="24"/>
                <w:highlight w:val="none"/>
                <w:lang w:eastAsia="zh-CN"/>
              </w:rPr>
              <w:t>进一步落实以上措施后，施工期噪声对周边环境及施工人员的影响将进一步减少，施工期产生噪声对周边环境影响不大。</w:t>
            </w:r>
          </w:p>
          <w:p w14:paraId="617AFC8C">
            <w:pPr>
              <w:pStyle w:val="22"/>
              <w:widowControl w:val="0"/>
              <w:kinsoku/>
              <w:spacing w:before="3" w:line="359" w:lineRule="auto"/>
              <w:ind w:right="4"/>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6.施工期固体废物影响分析</w:t>
            </w:r>
          </w:p>
          <w:p w14:paraId="46376BB6">
            <w:pPr>
              <w:pStyle w:val="22"/>
              <w:widowControl w:val="0"/>
              <w:kinsoku/>
              <w:spacing w:before="3" w:line="359" w:lineRule="auto"/>
              <w:ind w:left="2" w:right="4" w:firstLine="481"/>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固体废物主要为钻井泥浆、钻井岩屑、落地油、机械设备废油和废润滑油桶以及废防渗材料、生活垃圾，均得到有效处置，对环境影响较小。</w:t>
            </w:r>
          </w:p>
          <w:p w14:paraId="572C11B0">
            <w:pPr>
              <w:pStyle w:val="22"/>
              <w:widowControl w:val="0"/>
              <w:kinsoku/>
              <w:spacing w:line="219" w:lineRule="auto"/>
              <w:ind w:left="2"/>
              <w:jc w:val="both"/>
              <w:rPr>
                <w:rFonts w:ascii="Times New Roman" w:hAnsi="Times New Roman" w:cs="Times New Roman"/>
                <w:color w:val="auto"/>
                <w:sz w:val="24"/>
                <w:szCs w:val="24"/>
                <w:highlight w:val="none"/>
                <w:lang w:eastAsia="zh-CN"/>
              </w:rPr>
            </w:pPr>
            <w:r>
              <w:rPr>
                <w:rFonts w:ascii="Times New Roman" w:hAnsi="Times New Roman" w:eastAsia="Times New Roman" w:cs="Times New Roman"/>
                <w:b/>
                <w:bCs/>
                <w:color w:val="auto"/>
                <w:spacing w:val="-3"/>
                <w:sz w:val="24"/>
                <w:szCs w:val="24"/>
                <w:highlight w:val="none"/>
                <w:lang w:eastAsia="zh-CN"/>
              </w:rPr>
              <w:t>6.1</w:t>
            </w:r>
            <w:r>
              <w:rPr>
                <w:rFonts w:ascii="Times New Roman" w:hAnsi="Times New Roman" w:cs="Times New Roman"/>
                <w:b/>
                <w:bCs/>
                <w:color w:val="auto"/>
                <w:spacing w:val="-3"/>
                <w:sz w:val="24"/>
                <w:szCs w:val="24"/>
                <w:highlight w:val="none"/>
                <w:lang w:eastAsia="zh-CN"/>
              </w:rPr>
              <w:t>钻井泥浆</w:t>
            </w:r>
          </w:p>
          <w:p w14:paraId="50AF6E58">
            <w:pPr>
              <w:pStyle w:val="22"/>
              <w:widowControl w:val="0"/>
              <w:kinsoku/>
              <w:spacing w:before="180" w:line="340" w:lineRule="auto"/>
              <w:ind w:left="14" w:right="4" w:firstLine="467"/>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2"/>
                <w:sz w:val="24"/>
                <w:szCs w:val="24"/>
                <w:highlight w:val="none"/>
                <w:lang w:eastAsia="zh-CN"/>
              </w:rPr>
              <w:t>钻井泥浆的排放量依井的深度而增加，其排放量计算采用《油田开发环境影响评价文集》中的经验公式</w:t>
            </w:r>
            <w:r>
              <w:rPr>
                <w:rFonts w:hint="eastAsia" w:ascii="Times New Roman" w:hAnsi="Times New Roman" w:cs="Times New Roman"/>
                <w:color w:val="auto"/>
                <w:spacing w:val="-2"/>
                <w:sz w:val="24"/>
                <w:szCs w:val="24"/>
                <w:highlight w:val="none"/>
                <w:lang w:eastAsia="zh-CN"/>
              </w:rPr>
              <w:t>，</w:t>
            </w:r>
            <w:r>
              <w:rPr>
                <w:rFonts w:ascii="宋体" w:hAnsi="宋体" w:eastAsia="宋体" w:cs="宋体"/>
                <w:color w:val="auto"/>
                <w:sz w:val="24"/>
                <w:szCs w:val="24"/>
              </w:rPr>
              <w:t>该公式综合考虑了井眼几何体积、地层造浆以及必要的泥浆储备量</w:t>
            </w:r>
            <w:r>
              <w:rPr>
                <w:rFonts w:ascii="Times New Roman" w:hAnsi="Times New Roman" w:cs="Times New Roman"/>
                <w:color w:val="auto"/>
                <w:spacing w:val="-2"/>
                <w:sz w:val="24"/>
                <w:szCs w:val="24"/>
                <w:highlight w:val="none"/>
                <w:lang w:eastAsia="zh-CN"/>
              </w:rPr>
              <w:t>：</w:t>
            </w:r>
          </w:p>
          <w:p w14:paraId="752904E6">
            <w:pPr>
              <w:widowControl w:val="0"/>
              <w:kinsoku/>
              <w:spacing w:line="585" w:lineRule="exact"/>
              <w:ind w:left="2612"/>
              <w:jc w:val="both"/>
              <w:rPr>
                <w:rFonts w:ascii="Times New Roman" w:hAnsi="Times New Roman" w:cs="Times New Roman"/>
                <w:color w:val="auto"/>
                <w:highlight w:val="none"/>
              </w:rPr>
            </w:pPr>
            <w:r>
              <w:rPr>
                <w:rFonts w:ascii="Times New Roman" w:hAnsi="Times New Roman" w:cs="Times New Roman"/>
                <w:color w:val="auto"/>
                <w:position w:val="-12"/>
                <w:highlight w:val="none"/>
              </w:rPr>
              <w:drawing>
                <wp:inline distT="0" distB="0" distL="0" distR="0">
                  <wp:extent cx="1968500" cy="370840"/>
                  <wp:effectExtent l="0" t="0" r="12700" b="10795"/>
                  <wp:docPr id="35" name="IM 34"/>
                  <wp:cNvGraphicFramePr/>
                  <a:graphic xmlns:a="http://schemas.openxmlformats.org/drawingml/2006/main">
                    <a:graphicData uri="http://schemas.openxmlformats.org/drawingml/2006/picture">
                      <pic:pic xmlns:pic="http://schemas.openxmlformats.org/drawingml/2006/picture">
                        <pic:nvPicPr>
                          <pic:cNvPr id="35" name="IM 34"/>
                          <pic:cNvPicPr/>
                        </pic:nvPicPr>
                        <pic:blipFill>
                          <a:blip r:embed="rId19"/>
                          <a:stretch>
                            <a:fillRect/>
                          </a:stretch>
                        </pic:blipFill>
                        <pic:spPr>
                          <a:xfrm>
                            <a:off x="0" y="0"/>
                            <a:ext cx="1968791" cy="371078"/>
                          </a:xfrm>
                          <a:prstGeom prst="rect">
                            <a:avLst/>
                          </a:prstGeom>
                        </pic:spPr>
                      </pic:pic>
                    </a:graphicData>
                  </a:graphic>
                </wp:inline>
              </w:drawing>
            </w:r>
          </w:p>
          <w:p w14:paraId="41ADF114">
            <w:pPr>
              <w:pStyle w:val="22"/>
              <w:widowControl w:val="0"/>
              <w:kinsoku/>
              <w:spacing w:before="199" w:line="360" w:lineRule="auto"/>
              <w:ind w:firstLine="512" w:firstLineChars="200"/>
              <w:jc w:val="both"/>
              <w:rPr>
                <w:rFonts w:ascii="Times New Roman" w:hAnsi="Times New Roman" w:cs="Times New Roman"/>
                <w:color w:val="auto"/>
                <w:spacing w:val="8"/>
                <w:sz w:val="24"/>
                <w:szCs w:val="24"/>
                <w:highlight w:val="none"/>
                <w:lang w:eastAsia="zh-CN"/>
              </w:rPr>
            </w:pPr>
            <w:r>
              <w:rPr>
                <w:rFonts w:ascii="Times New Roman" w:hAnsi="Times New Roman" w:cs="Times New Roman"/>
                <w:color w:val="auto"/>
                <w:spacing w:val="8"/>
                <w:sz w:val="24"/>
                <w:szCs w:val="24"/>
                <w:highlight w:val="none"/>
                <w:lang w:eastAsia="zh-CN"/>
              </w:rPr>
              <w:t>上述公式中：</w:t>
            </w:r>
          </w:p>
          <w:p w14:paraId="49065A1E">
            <w:pPr>
              <w:pStyle w:val="22"/>
              <w:widowControl w:val="0"/>
              <w:kinsoku/>
              <w:spacing w:line="360" w:lineRule="auto"/>
              <w:ind w:firstLine="1280" w:firstLineChars="500"/>
              <w:jc w:val="both"/>
              <w:rPr>
                <w:rFonts w:ascii="Times New Roman" w:hAnsi="Times New Roman" w:cs="Times New Roman"/>
                <w:color w:val="auto"/>
                <w:sz w:val="24"/>
                <w:szCs w:val="24"/>
                <w:highlight w:val="none"/>
                <w:lang w:eastAsia="zh-CN"/>
              </w:rPr>
            </w:pPr>
            <w:r>
              <w:rPr>
                <w:rFonts w:ascii="Times New Roman" w:hAnsi="Times New Roman" w:eastAsia="Times New Roman" w:cs="Times New Roman"/>
                <w:color w:val="auto"/>
                <w:spacing w:val="8"/>
                <w:sz w:val="24"/>
                <w:szCs w:val="24"/>
                <w:highlight w:val="none"/>
                <w:lang w:eastAsia="zh-CN"/>
              </w:rPr>
              <w:t>V——</w:t>
            </w:r>
            <w:r>
              <w:rPr>
                <w:rFonts w:ascii="Times New Roman" w:hAnsi="Times New Roman" w:cs="Times New Roman"/>
                <w:color w:val="auto"/>
                <w:spacing w:val="8"/>
                <w:sz w:val="24"/>
                <w:szCs w:val="24"/>
                <w:highlight w:val="none"/>
                <w:lang w:eastAsia="zh-CN"/>
              </w:rPr>
              <w:t>排到地面上的泥浆量（</w:t>
            </w:r>
            <w:r>
              <w:rPr>
                <w:rFonts w:ascii="Times New Roman" w:hAnsi="Times New Roman" w:eastAsia="Times New Roman" w:cs="Times New Roman"/>
                <w:color w:val="auto"/>
                <w:spacing w:val="8"/>
                <w:sz w:val="24"/>
                <w:szCs w:val="24"/>
                <w:highlight w:val="none"/>
                <w:lang w:eastAsia="zh-CN"/>
              </w:rPr>
              <w:t>m</w:t>
            </w:r>
            <w:r>
              <w:rPr>
                <w:rFonts w:ascii="Times New Roman" w:hAnsi="Times New Roman" w:cs="Times New Roman"/>
                <w:color w:val="auto"/>
                <w:spacing w:val="8"/>
                <w:sz w:val="24"/>
                <w:szCs w:val="24"/>
                <w:highlight w:val="none"/>
                <w:vertAlign w:val="superscript"/>
                <w:lang w:eastAsia="zh-CN"/>
              </w:rPr>
              <w:t>3</w:t>
            </w:r>
            <w:r>
              <w:rPr>
                <w:rFonts w:ascii="Times New Roman" w:hAnsi="Times New Roman" w:cs="Times New Roman"/>
                <w:color w:val="auto"/>
                <w:spacing w:val="-14"/>
                <w:sz w:val="24"/>
                <w:szCs w:val="24"/>
                <w:highlight w:val="none"/>
                <w:lang w:eastAsia="zh-CN"/>
              </w:rPr>
              <w:t>）；</w:t>
            </w:r>
          </w:p>
          <w:p w14:paraId="13BC002D">
            <w:pPr>
              <w:pStyle w:val="22"/>
              <w:widowControl w:val="0"/>
              <w:kinsoku/>
              <w:spacing w:before="3" w:line="360" w:lineRule="auto"/>
              <w:ind w:right="4" w:firstLine="1290" w:firstLineChars="500"/>
              <w:jc w:val="both"/>
              <w:rPr>
                <w:rFonts w:ascii="Times New Roman" w:hAnsi="Times New Roman" w:cs="Times New Roman"/>
                <w:color w:val="auto"/>
                <w:spacing w:val="-14"/>
                <w:sz w:val="24"/>
                <w:szCs w:val="24"/>
                <w:highlight w:val="none"/>
                <w:lang w:eastAsia="zh-CN"/>
              </w:rPr>
            </w:pPr>
            <w:r>
              <w:rPr>
                <w:rFonts w:ascii="Times New Roman" w:hAnsi="Times New Roman" w:eastAsia="Times New Roman" w:cs="Times New Roman"/>
                <w:color w:val="auto"/>
                <w:spacing w:val="9"/>
                <w:sz w:val="24"/>
                <w:szCs w:val="24"/>
                <w:highlight w:val="none"/>
                <w:lang w:eastAsia="zh-CN"/>
              </w:rPr>
              <w:t>D——</w:t>
            </w:r>
            <w:r>
              <w:rPr>
                <w:rFonts w:ascii="Times New Roman" w:hAnsi="Times New Roman" w:cs="Times New Roman"/>
                <w:color w:val="auto"/>
                <w:spacing w:val="9"/>
                <w:sz w:val="24"/>
                <w:szCs w:val="24"/>
                <w:highlight w:val="none"/>
                <w:lang w:eastAsia="zh-CN"/>
              </w:rPr>
              <w:t>井眼的直径（</w:t>
            </w:r>
            <w:r>
              <w:rPr>
                <w:rFonts w:ascii="Times New Roman" w:hAnsi="Times New Roman" w:eastAsia="Times New Roman" w:cs="Times New Roman"/>
                <w:color w:val="auto"/>
                <w:spacing w:val="9"/>
                <w:sz w:val="24"/>
                <w:szCs w:val="24"/>
                <w:highlight w:val="none"/>
                <w:lang w:eastAsia="zh-CN"/>
              </w:rPr>
              <w:t>m</w:t>
            </w:r>
            <w:r>
              <w:rPr>
                <w:rFonts w:ascii="Times New Roman" w:hAnsi="Times New Roman" w:cs="Times New Roman"/>
                <w:color w:val="auto"/>
                <w:spacing w:val="-14"/>
                <w:sz w:val="24"/>
                <w:szCs w:val="24"/>
                <w:highlight w:val="none"/>
                <w:lang w:eastAsia="zh-CN"/>
              </w:rPr>
              <w:t>）；</w:t>
            </w:r>
          </w:p>
          <w:p w14:paraId="2E5F7891">
            <w:pPr>
              <w:pStyle w:val="22"/>
              <w:widowControl w:val="0"/>
              <w:kinsoku/>
              <w:spacing w:before="32" w:line="360" w:lineRule="auto"/>
              <w:ind w:firstLine="1280" w:firstLineChars="500"/>
              <w:jc w:val="both"/>
              <w:rPr>
                <w:rFonts w:ascii="Times New Roman" w:hAnsi="Times New Roman" w:cs="Times New Roman"/>
                <w:color w:val="auto"/>
                <w:sz w:val="24"/>
                <w:szCs w:val="24"/>
                <w:highlight w:val="none"/>
                <w:lang w:eastAsia="zh-CN"/>
              </w:rPr>
            </w:pPr>
            <w:r>
              <w:rPr>
                <w:rFonts w:ascii="Times New Roman" w:hAnsi="Times New Roman" w:eastAsia="Times New Roman" w:cs="Times New Roman"/>
                <w:color w:val="auto"/>
                <w:spacing w:val="8"/>
                <w:sz w:val="24"/>
                <w:szCs w:val="24"/>
                <w:highlight w:val="none"/>
                <w:lang w:eastAsia="zh-CN"/>
              </w:rPr>
              <w:t>h——</w:t>
            </w:r>
            <w:r>
              <w:rPr>
                <w:rFonts w:ascii="Times New Roman" w:hAnsi="Times New Roman" w:cs="Times New Roman"/>
                <w:color w:val="auto"/>
                <w:spacing w:val="8"/>
                <w:sz w:val="24"/>
                <w:szCs w:val="24"/>
                <w:highlight w:val="none"/>
                <w:lang w:eastAsia="zh-CN"/>
              </w:rPr>
              <w:t>井深（</w:t>
            </w:r>
            <w:r>
              <w:rPr>
                <w:rFonts w:ascii="Times New Roman" w:hAnsi="Times New Roman" w:eastAsia="Times New Roman" w:cs="Times New Roman"/>
                <w:color w:val="auto"/>
                <w:spacing w:val="8"/>
                <w:sz w:val="24"/>
                <w:szCs w:val="24"/>
                <w:highlight w:val="none"/>
                <w:lang w:eastAsia="zh-CN"/>
              </w:rPr>
              <w:t>m</w:t>
            </w:r>
            <w:r>
              <w:rPr>
                <w:rFonts w:ascii="Times New Roman" w:hAnsi="Times New Roman" w:cs="Times New Roman"/>
                <w:color w:val="auto"/>
                <w:spacing w:val="-12"/>
                <w:sz w:val="24"/>
                <w:szCs w:val="24"/>
                <w:highlight w:val="none"/>
                <w:lang w:eastAsia="zh-CN"/>
              </w:rPr>
              <w:t>）；</w:t>
            </w:r>
          </w:p>
          <w:p w14:paraId="1FA131B0">
            <w:pPr>
              <w:pStyle w:val="5"/>
              <w:widowControl w:val="0"/>
              <w:kinsoku/>
              <w:spacing w:line="360" w:lineRule="auto"/>
              <w:ind w:firstLine="472"/>
              <w:jc w:val="both"/>
              <w:rPr>
                <w:rFonts w:ascii="Times New Roman" w:hAnsi="Times New Roman" w:cs="Times New Roman"/>
                <w:color w:val="auto"/>
                <w:highlight w:val="none"/>
                <w:lang w:eastAsia="zh-CN"/>
              </w:rPr>
            </w:pPr>
            <w:r>
              <w:rPr>
                <w:rFonts w:ascii="Times New Roman" w:hAnsi="Times New Roman" w:eastAsia="宋体" w:cs="Times New Roman"/>
                <w:color w:val="auto"/>
                <w:spacing w:val="-2"/>
                <w:sz w:val="24"/>
                <w:szCs w:val="24"/>
                <w:highlight w:val="none"/>
                <w:lang w:eastAsia="zh-CN"/>
              </w:rPr>
              <w:t>泥浆产生量详见下表4-4。</w:t>
            </w:r>
          </w:p>
          <w:p w14:paraId="05FBECB5">
            <w:pPr>
              <w:pStyle w:val="5"/>
              <w:widowControl w:val="0"/>
              <w:kinsoku/>
              <w:ind w:firstLine="0" w:firstLineChars="0"/>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表4-4 钻井泥浆产生量一览表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1090"/>
              <w:gridCol w:w="875"/>
              <w:gridCol w:w="1093"/>
              <w:gridCol w:w="4587"/>
            </w:tblGrid>
            <w:tr w14:paraId="08CB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0" w:space="0"/>
                    <w:bottom w:val="single" w:color="auto" w:sz="4" w:space="0"/>
                    <w:right w:val="single" w:color="auto" w:sz="4" w:space="0"/>
                  </w:tcBorders>
                  <w:vAlign w:val="center"/>
                </w:tcPr>
                <w:p w14:paraId="2CB47EF9">
                  <w:pPr>
                    <w:pStyle w:val="25"/>
                    <w:rPr>
                      <w:color w:val="auto"/>
                      <w:szCs w:val="21"/>
                      <w:highlight w:val="none"/>
                    </w:rPr>
                  </w:pPr>
                  <w:r>
                    <w:rPr>
                      <w:color w:val="auto"/>
                      <w:szCs w:val="21"/>
                      <w:highlight w:val="none"/>
                    </w:rPr>
                    <w:t>开钻</w:t>
                  </w:r>
                </w:p>
                <w:p w14:paraId="2377D82C">
                  <w:pPr>
                    <w:pStyle w:val="25"/>
                    <w:rPr>
                      <w:color w:val="auto"/>
                      <w:szCs w:val="21"/>
                      <w:highlight w:val="none"/>
                    </w:rPr>
                  </w:pPr>
                  <w:r>
                    <w:rPr>
                      <w:color w:val="auto"/>
                      <w:szCs w:val="21"/>
                      <w:highlight w:val="none"/>
                    </w:rPr>
                    <w:t>次序</w:t>
                  </w:r>
                </w:p>
              </w:tc>
              <w:tc>
                <w:tcPr>
                  <w:tcW w:w="674" w:type="pct"/>
                  <w:tcBorders>
                    <w:top w:val="single" w:color="auto" w:sz="4" w:space="0"/>
                    <w:left w:val="single" w:color="auto" w:sz="4" w:space="0"/>
                    <w:bottom w:val="single" w:color="auto" w:sz="4" w:space="0"/>
                    <w:right w:val="single" w:color="auto" w:sz="4" w:space="0"/>
                  </w:tcBorders>
                  <w:vAlign w:val="center"/>
                </w:tcPr>
                <w:p w14:paraId="47ACCEED">
                  <w:pPr>
                    <w:pStyle w:val="25"/>
                    <w:rPr>
                      <w:color w:val="auto"/>
                      <w:szCs w:val="21"/>
                      <w:highlight w:val="none"/>
                    </w:rPr>
                  </w:pPr>
                  <w:r>
                    <w:rPr>
                      <w:color w:val="auto"/>
                      <w:szCs w:val="21"/>
                      <w:highlight w:val="none"/>
                    </w:rPr>
                    <w:t>钻井液类型</w:t>
                  </w:r>
                </w:p>
              </w:tc>
              <w:tc>
                <w:tcPr>
                  <w:tcW w:w="541" w:type="pct"/>
                  <w:tcBorders>
                    <w:top w:val="single" w:color="auto" w:sz="4" w:space="0"/>
                    <w:left w:val="single" w:color="auto" w:sz="4" w:space="0"/>
                    <w:bottom w:val="single" w:color="auto" w:sz="4" w:space="0"/>
                    <w:right w:val="single" w:color="auto" w:sz="4" w:space="0"/>
                  </w:tcBorders>
                  <w:vAlign w:val="center"/>
                </w:tcPr>
                <w:p w14:paraId="4B8B23C0">
                  <w:pPr>
                    <w:pStyle w:val="25"/>
                    <w:rPr>
                      <w:color w:val="auto"/>
                      <w:szCs w:val="21"/>
                      <w:highlight w:val="none"/>
                    </w:rPr>
                  </w:pPr>
                  <w:r>
                    <w:rPr>
                      <w:color w:val="auto"/>
                      <w:szCs w:val="21"/>
                      <w:highlight w:val="none"/>
                    </w:rPr>
                    <w:t>钻头尺寸</w:t>
                  </w:r>
                </w:p>
                <w:p w14:paraId="33E76BCB">
                  <w:pPr>
                    <w:pStyle w:val="25"/>
                    <w:rPr>
                      <w:color w:val="auto"/>
                      <w:szCs w:val="21"/>
                      <w:highlight w:val="none"/>
                    </w:rPr>
                  </w:pPr>
                  <w:r>
                    <w:rPr>
                      <w:color w:val="auto"/>
                      <w:szCs w:val="21"/>
                      <w:highlight w:val="none"/>
                    </w:rPr>
                    <w:t>(mm)</w:t>
                  </w:r>
                </w:p>
              </w:tc>
              <w:tc>
                <w:tcPr>
                  <w:tcW w:w="674" w:type="pct"/>
                  <w:tcBorders>
                    <w:top w:val="single" w:color="auto" w:sz="4" w:space="0"/>
                    <w:left w:val="single" w:color="auto" w:sz="4" w:space="0"/>
                    <w:bottom w:val="single" w:color="auto" w:sz="4" w:space="0"/>
                    <w:right w:val="single" w:color="auto" w:sz="4" w:space="0"/>
                  </w:tcBorders>
                  <w:vAlign w:val="center"/>
                </w:tcPr>
                <w:p w14:paraId="501F2BED">
                  <w:pPr>
                    <w:pStyle w:val="22"/>
                    <w:kinsoku/>
                    <w:spacing w:before="60" w:line="228" w:lineRule="auto"/>
                    <w:jc w:val="center"/>
                    <w:rPr>
                      <w:rFonts w:ascii="Times New Roman" w:hAnsi="Times New Roman" w:cs="Times New Roman" w:eastAsiaTheme="minorEastAsia"/>
                      <w:b/>
                      <w:bCs/>
                      <w:color w:val="auto"/>
                      <w:sz w:val="21"/>
                      <w:szCs w:val="21"/>
                      <w:highlight w:val="none"/>
                    </w:rPr>
                  </w:pPr>
                  <w:r>
                    <w:rPr>
                      <w:rFonts w:ascii="Times New Roman" w:hAnsi="Times New Roman" w:cs="Times New Roman" w:eastAsiaTheme="minorEastAsia"/>
                      <w:b/>
                      <w:bCs/>
                      <w:color w:val="auto"/>
                      <w:spacing w:val="4"/>
                      <w:sz w:val="21"/>
                      <w:szCs w:val="21"/>
                      <w:highlight w:val="none"/>
                      <w:lang w:eastAsia="zh-CN"/>
                    </w:rPr>
                    <w:t>井段（m）</w:t>
                  </w:r>
                </w:p>
              </w:tc>
              <w:tc>
                <w:tcPr>
                  <w:tcW w:w="2835" w:type="pct"/>
                  <w:tcBorders>
                    <w:top w:val="single" w:color="auto" w:sz="4" w:space="0"/>
                    <w:left w:val="single" w:color="auto" w:sz="4" w:space="0"/>
                    <w:bottom w:val="single" w:color="auto" w:sz="4" w:space="0"/>
                    <w:right w:val="single" w:color="auto" w:sz="4" w:space="0"/>
                  </w:tcBorders>
                  <w:vAlign w:val="center"/>
                </w:tcPr>
                <w:p w14:paraId="56E5137D">
                  <w:pPr>
                    <w:pStyle w:val="22"/>
                    <w:kinsoku/>
                    <w:spacing w:before="60" w:line="228" w:lineRule="auto"/>
                    <w:jc w:val="center"/>
                    <w:rPr>
                      <w:rFonts w:ascii="Times New Roman" w:hAnsi="Times New Roman" w:cs="Times New Roman" w:eastAsiaTheme="minorEastAsia"/>
                      <w:b/>
                      <w:bCs/>
                      <w:color w:val="auto"/>
                      <w:spacing w:val="4"/>
                      <w:sz w:val="21"/>
                      <w:szCs w:val="21"/>
                      <w:highlight w:val="none"/>
                      <w:lang w:eastAsia="zh-CN"/>
                    </w:rPr>
                  </w:pPr>
                  <w:r>
                    <w:rPr>
                      <w:rFonts w:ascii="Times New Roman" w:hAnsi="Times New Roman" w:cs="Times New Roman" w:eastAsiaTheme="minorEastAsia"/>
                      <w:b/>
                      <w:bCs/>
                      <w:color w:val="auto"/>
                      <w:spacing w:val="7"/>
                      <w:sz w:val="21"/>
                      <w:szCs w:val="21"/>
                      <w:highlight w:val="none"/>
                      <w:lang w:eastAsia="zh-CN"/>
                    </w:rPr>
                    <w:t>泥浆产生量</w:t>
                  </w:r>
                </w:p>
                <w:p w14:paraId="2D298DEF">
                  <w:pPr>
                    <w:pStyle w:val="22"/>
                    <w:kinsoku/>
                    <w:spacing w:before="60" w:line="228" w:lineRule="auto"/>
                    <w:jc w:val="center"/>
                    <w:rPr>
                      <w:rFonts w:ascii="Times New Roman" w:hAnsi="Times New Roman" w:cs="Times New Roman" w:eastAsiaTheme="minorEastAsia"/>
                      <w:b/>
                      <w:bCs/>
                      <w:color w:val="auto"/>
                      <w:sz w:val="21"/>
                      <w:szCs w:val="21"/>
                      <w:highlight w:val="none"/>
                      <w:lang w:eastAsia="zh-CN"/>
                    </w:rPr>
                  </w:pPr>
                  <w:r>
                    <w:rPr>
                      <w:rFonts w:ascii="Times New Roman" w:hAnsi="Times New Roman" w:cs="Times New Roman" w:eastAsiaTheme="minorEastAsia"/>
                      <w:b/>
                      <w:bCs/>
                      <w:color w:val="auto"/>
                      <w:spacing w:val="4"/>
                      <w:sz w:val="21"/>
                      <w:szCs w:val="21"/>
                      <w:highlight w:val="none"/>
                      <w:lang w:eastAsia="zh-CN"/>
                    </w:rPr>
                    <w:t>（</w:t>
                  </w:r>
                  <w:r>
                    <w:rPr>
                      <w:rFonts w:ascii="Times New Roman" w:hAnsi="Times New Roman" w:cs="Times New Roman" w:eastAsiaTheme="minorEastAsia"/>
                      <w:b/>
                      <w:bCs/>
                      <w:color w:val="auto"/>
                      <w:spacing w:val="1"/>
                      <w:sz w:val="21"/>
                      <w:szCs w:val="21"/>
                      <w:highlight w:val="none"/>
                      <w:lang w:eastAsia="zh-CN"/>
                    </w:rPr>
                    <w:t>m</w:t>
                  </w:r>
                  <w:r>
                    <w:rPr>
                      <w:rFonts w:ascii="Times New Roman" w:hAnsi="Times New Roman" w:cs="Times New Roman" w:eastAsiaTheme="minorEastAsia"/>
                      <w:b/>
                      <w:bCs/>
                      <w:color w:val="auto"/>
                      <w:spacing w:val="1"/>
                      <w:sz w:val="21"/>
                      <w:szCs w:val="21"/>
                      <w:highlight w:val="none"/>
                      <w:vertAlign w:val="superscript"/>
                      <w:lang w:eastAsia="zh-CN"/>
                    </w:rPr>
                    <w:t>3</w:t>
                  </w:r>
                  <w:r>
                    <w:rPr>
                      <w:rFonts w:ascii="Times New Roman" w:hAnsi="Times New Roman" w:cs="Times New Roman" w:eastAsiaTheme="minorEastAsia"/>
                      <w:b/>
                      <w:bCs/>
                      <w:color w:val="auto"/>
                      <w:spacing w:val="4"/>
                      <w:sz w:val="21"/>
                      <w:szCs w:val="21"/>
                      <w:highlight w:val="none"/>
                      <w:lang w:eastAsia="zh-CN"/>
                    </w:rPr>
                    <w:t>）</w:t>
                  </w:r>
                </w:p>
              </w:tc>
            </w:tr>
            <w:tr w14:paraId="4043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DC9C2CF">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阜4803H</w:t>
                  </w:r>
                </w:p>
              </w:tc>
            </w:tr>
            <w:tr w14:paraId="391F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142898B5">
                  <w:pPr>
                    <w:pStyle w:val="25"/>
                    <w:rPr>
                      <w:b w:val="0"/>
                      <w:bCs w:val="0"/>
                      <w:color w:val="auto"/>
                      <w:szCs w:val="21"/>
                      <w:highlight w:val="none"/>
                    </w:rPr>
                  </w:pPr>
                  <w:r>
                    <w:rPr>
                      <w:b w:val="0"/>
                      <w:bCs w:val="0"/>
                      <w:color w:val="auto"/>
                      <w:szCs w:val="21"/>
                      <w:highlight w:val="none"/>
                    </w:rPr>
                    <w:t>导眼</w:t>
                  </w:r>
                </w:p>
              </w:tc>
              <w:tc>
                <w:tcPr>
                  <w:tcW w:w="674" w:type="pct"/>
                  <w:vMerge w:val="restart"/>
                  <w:tcBorders>
                    <w:top w:val="single" w:color="auto" w:sz="4" w:space="0"/>
                    <w:left w:val="single" w:color="auto" w:sz="4" w:space="0"/>
                    <w:right w:val="single" w:color="auto" w:sz="4" w:space="0"/>
                  </w:tcBorders>
                  <w:vAlign w:val="center"/>
                </w:tcPr>
                <w:p w14:paraId="74770A07">
                  <w:pPr>
                    <w:pStyle w:val="25"/>
                    <w:rPr>
                      <w:b w:val="0"/>
                      <w:bCs w:val="0"/>
                      <w:color w:val="auto"/>
                      <w:szCs w:val="21"/>
                      <w:highlight w:val="none"/>
                    </w:rPr>
                  </w:pPr>
                  <w:r>
                    <w:rPr>
                      <w:b w:val="0"/>
                      <w:bCs w:val="0"/>
                      <w:color w:val="auto"/>
                      <w:szCs w:val="21"/>
                      <w:highlight w:val="none"/>
                    </w:rPr>
                    <w:t>水基钻井液</w:t>
                  </w:r>
                </w:p>
              </w:tc>
              <w:tc>
                <w:tcPr>
                  <w:tcW w:w="541" w:type="pct"/>
                  <w:tcBorders>
                    <w:top w:val="single" w:color="auto" w:sz="4" w:space="0"/>
                    <w:left w:val="single" w:color="auto" w:sz="4" w:space="0"/>
                    <w:bottom w:val="single" w:color="auto" w:sz="4" w:space="0"/>
                    <w:right w:val="single" w:color="auto" w:sz="4" w:space="0"/>
                  </w:tcBorders>
                  <w:vAlign w:val="center"/>
                </w:tcPr>
                <w:p w14:paraId="15C8AA2D">
                  <w:pPr>
                    <w:pStyle w:val="25"/>
                    <w:rPr>
                      <w:b w:val="0"/>
                      <w:bCs w:val="0"/>
                      <w:color w:val="auto"/>
                      <w:szCs w:val="21"/>
                      <w:highlight w:val="none"/>
                    </w:rPr>
                  </w:pPr>
                  <w:r>
                    <w:rPr>
                      <w:b w:val="0"/>
                      <w:bCs w:val="0"/>
                      <w:color w:val="auto"/>
                      <w:szCs w:val="21"/>
                      <w:highlight w:val="none"/>
                    </w:rPr>
                    <w:t>Φ660</w:t>
                  </w:r>
                </w:p>
              </w:tc>
              <w:tc>
                <w:tcPr>
                  <w:tcW w:w="674" w:type="pct"/>
                  <w:tcBorders>
                    <w:top w:val="single" w:color="auto" w:sz="4" w:space="0"/>
                    <w:left w:val="single" w:color="auto" w:sz="4" w:space="0"/>
                    <w:bottom w:val="single" w:color="auto" w:sz="4" w:space="0"/>
                    <w:right w:val="single" w:color="auto" w:sz="4" w:space="0"/>
                  </w:tcBorders>
                  <w:vAlign w:val="center"/>
                </w:tcPr>
                <w:p w14:paraId="4E354F19">
                  <w:pPr>
                    <w:kinsoku/>
                    <w:jc w:val="center"/>
                    <w:textAlignment w:val="center"/>
                    <w:rPr>
                      <w:rFonts w:ascii="Times New Roman" w:hAnsi="Times New Roman" w:cs="Times New Roman" w:eastAsiaTheme="minorEastAsia"/>
                      <w:color w:val="auto"/>
                      <w:highlight w:val="none"/>
                      <w:lang w:val="zh-CN" w:eastAsia="zh-CN" w:bidi="ar"/>
                    </w:rPr>
                  </w:pPr>
                  <w:r>
                    <w:rPr>
                      <w:rFonts w:ascii="Times New Roman" w:hAnsi="Times New Roman" w:cs="Times New Roman" w:eastAsiaTheme="minorEastAsia"/>
                      <w:color w:val="auto"/>
                      <w:highlight w:val="none"/>
                      <w:lang w:eastAsia="zh-CN" w:bidi="ar"/>
                    </w:rPr>
                    <w:t>0-30</w:t>
                  </w:r>
                </w:p>
              </w:tc>
              <w:tc>
                <w:tcPr>
                  <w:tcW w:w="2835" w:type="pct"/>
                  <w:tcBorders>
                    <w:top w:val="single" w:color="auto" w:sz="4" w:space="0"/>
                    <w:left w:val="single" w:color="auto" w:sz="4" w:space="0"/>
                    <w:bottom w:val="single" w:color="auto" w:sz="4" w:space="0"/>
                    <w:right w:val="single" w:color="auto" w:sz="4" w:space="0"/>
                  </w:tcBorders>
                  <w:vAlign w:val="center"/>
                </w:tcPr>
                <w:p w14:paraId="6E28483F">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86.21</w:t>
                  </w:r>
                </w:p>
              </w:tc>
            </w:tr>
            <w:tr w14:paraId="5812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7A329D24">
                  <w:pPr>
                    <w:pStyle w:val="25"/>
                    <w:rPr>
                      <w:b w:val="0"/>
                      <w:bCs w:val="0"/>
                      <w:color w:val="auto"/>
                      <w:szCs w:val="21"/>
                      <w:highlight w:val="none"/>
                    </w:rPr>
                  </w:pPr>
                  <w:r>
                    <w:rPr>
                      <w:b w:val="0"/>
                      <w:bCs w:val="0"/>
                      <w:color w:val="auto"/>
                      <w:szCs w:val="21"/>
                      <w:highlight w:val="none"/>
                    </w:rPr>
                    <w:t>一开</w:t>
                  </w:r>
                </w:p>
              </w:tc>
              <w:tc>
                <w:tcPr>
                  <w:tcW w:w="674" w:type="pct"/>
                  <w:vMerge w:val="continue"/>
                  <w:tcBorders>
                    <w:left w:val="single" w:color="auto" w:sz="4" w:space="0"/>
                    <w:right w:val="single" w:color="auto" w:sz="4" w:space="0"/>
                  </w:tcBorders>
                  <w:vAlign w:val="center"/>
                </w:tcPr>
                <w:p w14:paraId="02C36F2F">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1E8D105A">
                  <w:pPr>
                    <w:pStyle w:val="25"/>
                    <w:rPr>
                      <w:b w:val="0"/>
                      <w:bCs w:val="0"/>
                      <w:color w:val="auto"/>
                      <w:szCs w:val="21"/>
                      <w:highlight w:val="none"/>
                    </w:rPr>
                  </w:pPr>
                  <w:r>
                    <w:rPr>
                      <w:b w:val="0"/>
                      <w:bCs w:val="0"/>
                      <w:color w:val="auto"/>
                      <w:szCs w:val="21"/>
                      <w:highlight w:val="none"/>
                    </w:rPr>
                    <w:t>Φ444.5</w:t>
                  </w:r>
                </w:p>
              </w:tc>
              <w:tc>
                <w:tcPr>
                  <w:tcW w:w="674" w:type="pct"/>
                  <w:tcBorders>
                    <w:top w:val="single" w:color="auto" w:sz="4" w:space="0"/>
                    <w:left w:val="single" w:color="auto" w:sz="4" w:space="0"/>
                    <w:bottom w:val="single" w:color="auto" w:sz="4" w:space="0"/>
                    <w:right w:val="single" w:color="auto" w:sz="4" w:space="0"/>
                  </w:tcBorders>
                  <w:vAlign w:val="center"/>
                </w:tcPr>
                <w:p w14:paraId="24B921F8">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30-500</w:t>
                  </w:r>
                </w:p>
              </w:tc>
              <w:tc>
                <w:tcPr>
                  <w:tcW w:w="2835" w:type="pct"/>
                  <w:tcBorders>
                    <w:top w:val="single" w:color="auto" w:sz="4" w:space="0"/>
                    <w:left w:val="single" w:color="auto" w:sz="4" w:space="0"/>
                    <w:bottom w:val="single" w:color="auto" w:sz="4" w:space="0"/>
                    <w:right w:val="single" w:color="auto" w:sz="4" w:space="0"/>
                  </w:tcBorders>
                  <w:vAlign w:val="center"/>
                </w:tcPr>
                <w:p w14:paraId="6D58E655">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133.39</w:t>
                  </w:r>
                </w:p>
              </w:tc>
            </w:tr>
            <w:tr w14:paraId="70EF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67D1A028">
                  <w:pPr>
                    <w:pStyle w:val="25"/>
                    <w:rPr>
                      <w:b w:val="0"/>
                      <w:bCs w:val="0"/>
                      <w:color w:val="auto"/>
                      <w:szCs w:val="21"/>
                      <w:highlight w:val="none"/>
                    </w:rPr>
                  </w:pPr>
                  <w:r>
                    <w:rPr>
                      <w:b w:val="0"/>
                      <w:bCs w:val="0"/>
                      <w:color w:val="auto"/>
                      <w:szCs w:val="21"/>
                      <w:highlight w:val="none"/>
                    </w:rPr>
                    <w:t>二开</w:t>
                  </w:r>
                </w:p>
              </w:tc>
              <w:tc>
                <w:tcPr>
                  <w:tcW w:w="674" w:type="pct"/>
                  <w:vMerge w:val="continue"/>
                  <w:tcBorders>
                    <w:left w:val="single" w:color="auto" w:sz="4" w:space="0"/>
                    <w:right w:val="single" w:color="auto" w:sz="4" w:space="0"/>
                  </w:tcBorders>
                  <w:vAlign w:val="center"/>
                </w:tcPr>
                <w:p w14:paraId="6FF9FCB7">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6460DEAE">
                  <w:pPr>
                    <w:pStyle w:val="25"/>
                    <w:rPr>
                      <w:b w:val="0"/>
                      <w:bCs w:val="0"/>
                      <w:color w:val="auto"/>
                      <w:szCs w:val="21"/>
                      <w:highlight w:val="none"/>
                    </w:rPr>
                  </w:pPr>
                  <w:r>
                    <w:rPr>
                      <w:b w:val="0"/>
                      <w:bCs w:val="0"/>
                      <w:color w:val="auto"/>
                      <w:szCs w:val="21"/>
                      <w:highlight w:val="none"/>
                    </w:rPr>
                    <w:t>Φ311</w:t>
                  </w:r>
                </w:p>
              </w:tc>
              <w:tc>
                <w:tcPr>
                  <w:tcW w:w="674" w:type="pct"/>
                  <w:tcBorders>
                    <w:top w:val="single" w:color="auto" w:sz="4" w:space="0"/>
                    <w:left w:val="single" w:color="auto" w:sz="4" w:space="0"/>
                    <w:bottom w:val="single" w:color="auto" w:sz="4" w:space="0"/>
                    <w:right w:val="single" w:color="auto" w:sz="4" w:space="0"/>
                  </w:tcBorders>
                  <w:vAlign w:val="center"/>
                </w:tcPr>
                <w:p w14:paraId="734BB01F">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500-3600</w:t>
                  </w:r>
                </w:p>
              </w:tc>
              <w:tc>
                <w:tcPr>
                  <w:tcW w:w="2835" w:type="pct"/>
                  <w:tcBorders>
                    <w:top w:val="single" w:color="auto" w:sz="4" w:space="0"/>
                    <w:left w:val="single" w:color="auto" w:sz="4" w:space="0"/>
                    <w:bottom w:val="single" w:color="auto" w:sz="4" w:space="0"/>
                    <w:right w:val="single" w:color="auto" w:sz="4" w:space="0"/>
                  </w:tcBorders>
                  <w:vAlign w:val="center"/>
                </w:tcPr>
                <w:p w14:paraId="39B07937">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309.34</w:t>
                  </w:r>
                </w:p>
              </w:tc>
            </w:tr>
            <w:tr w14:paraId="60E8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31A4D644">
                  <w:pPr>
                    <w:pStyle w:val="25"/>
                    <w:rPr>
                      <w:b w:val="0"/>
                      <w:bCs w:val="0"/>
                      <w:color w:val="auto"/>
                      <w:szCs w:val="21"/>
                      <w:highlight w:val="none"/>
                    </w:rPr>
                  </w:pPr>
                  <w:r>
                    <w:rPr>
                      <w:b w:val="0"/>
                      <w:bCs w:val="0"/>
                      <w:color w:val="auto"/>
                      <w:szCs w:val="21"/>
                      <w:highlight w:val="none"/>
                    </w:rPr>
                    <w:t>三开</w:t>
                  </w:r>
                </w:p>
              </w:tc>
              <w:tc>
                <w:tcPr>
                  <w:tcW w:w="674" w:type="pct"/>
                  <w:vMerge w:val="continue"/>
                  <w:tcBorders>
                    <w:left w:val="single" w:color="auto" w:sz="4" w:space="0"/>
                    <w:right w:val="single" w:color="auto" w:sz="4" w:space="0"/>
                  </w:tcBorders>
                  <w:vAlign w:val="center"/>
                </w:tcPr>
                <w:p w14:paraId="1BBCAC39">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3027BF0E">
                  <w:pPr>
                    <w:pStyle w:val="25"/>
                    <w:rPr>
                      <w:b w:val="0"/>
                      <w:bCs w:val="0"/>
                      <w:color w:val="auto"/>
                      <w:szCs w:val="21"/>
                      <w:highlight w:val="none"/>
                      <w:lang w:bidi="ar"/>
                    </w:rPr>
                  </w:pPr>
                  <w:r>
                    <w:rPr>
                      <w:b w:val="0"/>
                      <w:bCs w:val="0"/>
                      <w:color w:val="auto"/>
                      <w:szCs w:val="21"/>
                      <w:highlight w:val="none"/>
                    </w:rPr>
                    <w:t>Φ216</w:t>
                  </w:r>
                </w:p>
              </w:tc>
              <w:tc>
                <w:tcPr>
                  <w:tcW w:w="674" w:type="pct"/>
                  <w:tcBorders>
                    <w:top w:val="single" w:color="auto" w:sz="4" w:space="0"/>
                    <w:left w:val="single" w:color="auto" w:sz="4" w:space="0"/>
                    <w:bottom w:val="single" w:color="auto" w:sz="4" w:space="0"/>
                    <w:right w:val="single" w:color="auto" w:sz="4" w:space="0"/>
                  </w:tcBorders>
                  <w:vAlign w:val="center"/>
                </w:tcPr>
                <w:p w14:paraId="7FD94656">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3600-5410</w:t>
                  </w:r>
                </w:p>
              </w:tc>
              <w:tc>
                <w:tcPr>
                  <w:tcW w:w="2835" w:type="pct"/>
                  <w:tcBorders>
                    <w:top w:val="single" w:color="auto" w:sz="4" w:space="0"/>
                    <w:left w:val="single" w:color="auto" w:sz="4" w:space="0"/>
                    <w:bottom w:val="single" w:color="auto" w:sz="4" w:space="0"/>
                    <w:right w:val="single" w:color="auto" w:sz="4" w:space="0"/>
                  </w:tcBorders>
                  <w:vAlign w:val="center"/>
                </w:tcPr>
                <w:p w14:paraId="4D6C51AB">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178.32</w:t>
                  </w:r>
                </w:p>
              </w:tc>
            </w:tr>
            <w:tr w14:paraId="598D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1B2F5D5">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阜4805H</w:t>
                  </w:r>
                </w:p>
              </w:tc>
            </w:tr>
            <w:tr w14:paraId="1083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53EC18F9">
                  <w:pPr>
                    <w:pStyle w:val="25"/>
                    <w:rPr>
                      <w:b w:val="0"/>
                      <w:bCs w:val="0"/>
                      <w:color w:val="auto"/>
                      <w:szCs w:val="21"/>
                      <w:highlight w:val="none"/>
                    </w:rPr>
                  </w:pPr>
                  <w:r>
                    <w:rPr>
                      <w:b w:val="0"/>
                      <w:bCs w:val="0"/>
                      <w:color w:val="auto"/>
                      <w:szCs w:val="21"/>
                      <w:highlight w:val="none"/>
                    </w:rPr>
                    <w:t>导眼</w:t>
                  </w:r>
                </w:p>
              </w:tc>
              <w:tc>
                <w:tcPr>
                  <w:tcW w:w="674" w:type="pct"/>
                  <w:vMerge w:val="restart"/>
                  <w:tcBorders>
                    <w:left w:val="single" w:color="auto" w:sz="4" w:space="0"/>
                    <w:right w:val="single" w:color="auto" w:sz="4" w:space="0"/>
                  </w:tcBorders>
                  <w:vAlign w:val="center"/>
                </w:tcPr>
                <w:p w14:paraId="2386E299">
                  <w:pPr>
                    <w:pStyle w:val="25"/>
                    <w:rPr>
                      <w:b w:val="0"/>
                      <w:bCs w:val="0"/>
                      <w:color w:val="auto"/>
                      <w:szCs w:val="21"/>
                      <w:highlight w:val="none"/>
                    </w:rPr>
                  </w:pPr>
                  <w:r>
                    <w:rPr>
                      <w:b w:val="0"/>
                      <w:bCs w:val="0"/>
                      <w:color w:val="auto"/>
                      <w:szCs w:val="21"/>
                      <w:highlight w:val="none"/>
                    </w:rPr>
                    <w:t>水基钻井液</w:t>
                  </w:r>
                </w:p>
              </w:tc>
              <w:tc>
                <w:tcPr>
                  <w:tcW w:w="541" w:type="pct"/>
                  <w:tcBorders>
                    <w:top w:val="single" w:color="auto" w:sz="4" w:space="0"/>
                    <w:left w:val="single" w:color="auto" w:sz="4" w:space="0"/>
                    <w:bottom w:val="single" w:color="auto" w:sz="4" w:space="0"/>
                    <w:right w:val="single" w:color="auto" w:sz="4" w:space="0"/>
                  </w:tcBorders>
                  <w:vAlign w:val="center"/>
                </w:tcPr>
                <w:p w14:paraId="08AFCEC5">
                  <w:pPr>
                    <w:pStyle w:val="25"/>
                    <w:rPr>
                      <w:b w:val="0"/>
                      <w:bCs w:val="0"/>
                      <w:color w:val="auto"/>
                      <w:szCs w:val="21"/>
                      <w:highlight w:val="none"/>
                    </w:rPr>
                  </w:pPr>
                  <w:r>
                    <w:rPr>
                      <w:b w:val="0"/>
                      <w:bCs w:val="0"/>
                      <w:color w:val="auto"/>
                      <w:szCs w:val="21"/>
                      <w:highlight w:val="none"/>
                    </w:rPr>
                    <w:t>Φ660</w:t>
                  </w:r>
                </w:p>
              </w:tc>
              <w:tc>
                <w:tcPr>
                  <w:tcW w:w="674" w:type="pct"/>
                  <w:tcBorders>
                    <w:top w:val="single" w:color="auto" w:sz="4" w:space="0"/>
                    <w:left w:val="single" w:color="auto" w:sz="4" w:space="0"/>
                    <w:bottom w:val="single" w:color="auto" w:sz="4" w:space="0"/>
                    <w:right w:val="single" w:color="auto" w:sz="4" w:space="0"/>
                  </w:tcBorders>
                  <w:vAlign w:val="center"/>
                </w:tcPr>
                <w:p w14:paraId="5B9BFE1B">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0-50</w:t>
                  </w:r>
                </w:p>
              </w:tc>
              <w:tc>
                <w:tcPr>
                  <w:tcW w:w="2835" w:type="pct"/>
                  <w:tcBorders>
                    <w:top w:val="single" w:color="auto" w:sz="4" w:space="0"/>
                    <w:left w:val="single" w:color="auto" w:sz="4" w:space="0"/>
                    <w:bottom w:val="single" w:color="auto" w:sz="4" w:space="0"/>
                    <w:right w:val="single" w:color="auto" w:sz="4" w:space="0"/>
                  </w:tcBorders>
                </w:tcPr>
                <w:p w14:paraId="0A7047E6">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149.</w:t>
                  </w:r>
                  <w:r>
                    <w:rPr>
                      <w:rFonts w:ascii="Times New Roman" w:hAnsi="Times New Roman" w:cs="Times New Roman" w:eastAsiaTheme="minorEastAsia"/>
                      <w:color w:val="auto"/>
                      <w:highlight w:val="none"/>
                      <w:lang w:eastAsia="zh-CN"/>
                    </w:rPr>
                    <w:t>20</w:t>
                  </w:r>
                </w:p>
              </w:tc>
            </w:tr>
            <w:tr w14:paraId="59CE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305BB41C">
                  <w:pPr>
                    <w:pStyle w:val="25"/>
                    <w:rPr>
                      <w:b w:val="0"/>
                      <w:bCs w:val="0"/>
                      <w:color w:val="auto"/>
                      <w:szCs w:val="21"/>
                      <w:highlight w:val="none"/>
                    </w:rPr>
                  </w:pPr>
                  <w:r>
                    <w:rPr>
                      <w:b w:val="0"/>
                      <w:bCs w:val="0"/>
                      <w:color w:val="auto"/>
                      <w:szCs w:val="21"/>
                      <w:highlight w:val="none"/>
                    </w:rPr>
                    <w:t>一开</w:t>
                  </w:r>
                </w:p>
              </w:tc>
              <w:tc>
                <w:tcPr>
                  <w:tcW w:w="674" w:type="pct"/>
                  <w:vMerge w:val="continue"/>
                  <w:tcBorders>
                    <w:left w:val="single" w:color="auto" w:sz="4" w:space="0"/>
                    <w:right w:val="single" w:color="auto" w:sz="4" w:space="0"/>
                  </w:tcBorders>
                  <w:vAlign w:val="center"/>
                </w:tcPr>
                <w:p w14:paraId="49196765">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6EA063A2">
                  <w:pPr>
                    <w:pStyle w:val="25"/>
                    <w:rPr>
                      <w:b w:val="0"/>
                      <w:bCs w:val="0"/>
                      <w:color w:val="auto"/>
                      <w:szCs w:val="21"/>
                      <w:highlight w:val="none"/>
                    </w:rPr>
                  </w:pPr>
                  <w:r>
                    <w:rPr>
                      <w:b w:val="0"/>
                      <w:bCs w:val="0"/>
                      <w:color w:val="auto"/>
                      <w:szCs w:val="21"/>
                      <w:highlight w:val="none"/>
                    </w:rPr>
                    <w:t>Φ444.5</w:t>
                  </w:r>
                </w:p>
              </w:tc>
              <w:tc>
                <w:tcPr>
                  <w:tcW w:w="674" w:type="pct"/>
                  <w:tcBorders>
                    <w:top w:val="single" w:color="auto" w:sz="4" w:space="0"/>
                    <w:left w:val="single" w:color="auto" w:sz="4" w:space="0"/>
                    <w:bottom w:val="single" w:color="auto" w:sz="4" w:space="0"/>
                    <w:right w:val="single" w:color="auto" w:sz="4" w:space="0"/>
                  </w:tcBorders>
                  <w:vAlign w:val="center"/>
                </w:tcPr>
                <w:p w14:paraId="1A1B24CE">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50-500</w:t>
                  </w:r>
                </w:p>
              </w:tc>
              <w:tc>
                <w:tcPr>
                  <w:tcW w:w="2835" w:type="pct"/>
                  <w:tcBorders>
                    <w:top w:val="single" w:color="auto" w:sz="4" w:space="0"/>
                    <w:left w:val="single" w:color="auto" w:sz="4" w:space="0"/>
                    <w:bottom w:val="single" w:color="auto" w:sz="4" w:space="0"/>
                    <w:right w:val="single" w:color="auto" w:sz="4" w:space="0"/>
                  </w:tcBorders>
                </w:tcPr>
                <w:p w14:paraId="1E5FBC7E">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202.</w:t>
                  </w:r>
                  <w:r>
                    <w:rPr>
                      <w:rFonts w:ascii="Times New Roman" w:hAnsi="Times New Roman" w:cs="Times New Roman" w:eastAsiaTheme="minorEastAsia"/>
                      <w:color w:val="auto"/>
                      <w:highlight w:val="none"/>
                      <w:lang w:eastAsia="zh-CN"/>
                    </w:rPr>
                    <w:t>70</w:t>
                  </w:r>
                </w:p>
              </w:tc>
            </w:tr>
            <w:tr w14:paraId="1E3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73D1A152">
                  <w:pPr>
                    <w:pStyle w:val="25"/>
                    <w:rPr>
                      <w:b w:val="0"/>
                      <w:bCs w:val="0"/>
                      <w:color w:val="auto"/>
                      <w:szCs w:val="21"/>
                      <w:highlight w:val="none"/>
                    </w:rPr>
                  </w:pPr>
                  <w:r>
                    <w:rPr>
                      <w:b w:val="0"/>
                      <w:bCs w:val="0"/>
                      <w:color w:val="auto"/>
                      <w:szCs w:val="21"/>
                      <w:highlight w:val="none"/>
                    </w:rPr>
                    <w:t>二开</w:t>
                  </w:r>
                </w:p>
              </w:tc>
              <w:tc>
                <w:tcPr>
                  <w:tcW w:w="674" w:type="pct"/>
                  <w:vMerge w:val="continue"/>
                  <w:tcBorders>
                    <w:left w:val="single" w:color="auto" w:sz="4" w:space="0"/>
                    <w:right w:val="single" w:color="auto" w:sz="4" w:space="0"/>
                  </w:tcBorders>
                  <w:vAlign w:val="center"/>
                </w:tcPr>
                <w:p w14:paraId="4C26B72E">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044E4B3D">
                  <w:pPr>
                    <w:pStyle w:val="25"/>
                    <w:rPr>
                      <w:b w:val="0"/>
                      <w:bCs w:val="0"/>
                      <w:color w:val="auto"/>
                      <w:szCs w:val="21"/>
                      <w:highlight w:val="none"/>
                    </w:rPr>
                  </w:pPr>
                  <w:r>
                    <w:rPr>
                      <w:b w:val="0"/>
                      <w:bCs w:val="0"/>
                      <w:color w:val="auto"/>
                      <w:szCs w:val="21"/>
                      <w:highlight w:val="none"/>
                    </w:rPr>
                    <w:t>Φ311</w:t>
                  </w:r>
                </w:p>
              </w:tc>
              <w:tc>
                <w:tcPr>
                  <w:tcW w:w="674" w:type="pct"/>
                  <w:tcBorders>
                    <w:top w:val="single" w:color="auto" w:sz="4" w:space="0"/>
                    <w:left w:val="single" w:color="auto" w:sz="4" w:space="0"/>
                    <w:bottom w:val="single" w:color="auto" w:sz="4" w:space="0"/>
                    <w:right w:val="single" w:color="auto" w:sz="4" w:space="0"/>
                  </w:tcBorders>
                  <w:vAlign w:val="center"/>
                </w:tcPr>
                <w:p w14:paraId="4AA90960">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500-3730</w:t>
                  </w:r>
                </w:p>
              </w:tc>
              <w:tc>
                <w:tcPr>
                  <w:tcW w:w="2835" w:type="pct"/>
                  <w:tcBorders>
                    <w:top w:val="single" w:color="auto" w:sz="4" w:space="0"/>
                    <w:left w:val="single" w:color="auto" w:sz="4" w:space="0"/>
                    <w:bottom w:val="single" w:color="auto" w:sz="4" w:space="0"/>
                    <w:right w:val="single" w:color="auto" w:sz="4" w:space="0"/>
                  </w:tcBorders>
                </w:tcPr>
                <w:p w14:paraId="51D973C7">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383.70</w:t>
                  </w:r>
                </w:p>
              </w:tc>
            </w:tr>
            <w:tr w14:paraId="2FDE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148FA8BD">
                  <w:pPr>
                    <w:pStyle w:val="25"/>
                    <w:rPr>
                      <w:b w:val="0"/>
                      <w:bCs w:val="0"/>
                      <w:color w:val="auto"/>
                      <w:szCs w:val="21"/>
                      <w:highlight w:val="none"/>
                    </w:rPr>
                  </w:pPr>
                  <w:r>
                    <w:rPr>
                      <w:b w:val="0"/>
                      <w:bCs w:val="0"/>
                      <w:color w:val="auto"/>
                      <w:szCs w:val="21"/>
                      <w:highlight w:val="none"/>
                    </w:rPr>
                    <w:t>三开</w:t>
                  </w:r>
                </w:p>
              </w:tc>
              <w:tc>
                <w:tcPr>
                  <w:tcW w:w="674" w:type="pct"/>
                  <w:tcBorders>
                    <w:left w:val="single" w:color="auto" w:sz="4" w:space="0"/>
                    <w:right w:val="single" w:color="auto" w:sz="4" w:space="0"/>
                  </w:tcBorders>
                  <w:vAlign w:val="center"/>
                </w:tcPr>
                <w:p w14:paraId="664926DC">
                  <w:pPr>
                    <w:pStyle w:val="25"/>
                    <w:rPr>
                      <w:b w:val="0"/>
                      <w:bCs w:val="0"/>
                      <w:color w:val="auto"/>
                      <w:szCs w:val="21"/>
                      <w:highlight w:val="none"/>
                    </w:rPr>
                  </w:pPr>
                  <w:r>
                    <w:rPr>
                      <w:b w:val="0"/>
                      <w:bCs w:val="0"/>
                      <w:color w:val="auto"/>
                      <w:szCs w:val="21"/>
                      <w:highlight w:val="none"/>
                    </w:rPr>
                    <w:t>油基钻井液</w:t>
                  </w:r>
                </w:p>
              </w:tc>
              <w:tc>
                <w:tcPr>
                  <w:tcW w:w="541" w:type="pct"/>
                  <w:tcBorders>
                    <w:top w:val="single" w:color="auto" w:sz="4" w:space="0"/>
                    <w:left w:val="single" w:color="auto" w:sz="4" w:space="0"/>
                    <w:bottom w:val="single" w:color="auto" w:sz="4" w:space="0"/>
                    <w:right w:val="single" w:color="auto" w:sz="4" w:space="0"/>
                  </w:tcBorders>
                  <w:vAlign w:val="center"/>
                </w:tcPr>
                <w:p w14:paraId="1F64BBB6">
                  <w:pPr>
                    <w:pStyle w:val="25"/>
                    <w:rPr>
                      <w:b w:val="0"/>
                      <w:bCs w:val="0"/>
                      <w:color w:val="auto"/>
                      <w:szCs w:val="21"/>
                      <w:highlight w:val="none"/>
                    </w:rPr>
                  </w:pPr>
                  <w:r>
                    <w:rPr>
                      <w:b w:val="0"/>
                      <w:bCs w:val="0"/>
                      <w:color w:val="auto"/>
                      <w:szCs w:val="21"/>
                      <w:highlight w:val="none"/>
                    </w:rPr>
                    <w:t>Φ216</w:t>
                  </w:r>
                </w:p>
              </w:tc>
              <w:tc>
                <w:tcPr>
                  <w:tcW w:w="674" w:type="pct"/>
                  <w:tcBorders>
                    <w:top w:val="single" w:color="auto" w:sz="4" w:space="0"/>
                    <w:left w:val="single" w:color="auto" w:sz="4" w:space="0"/>
                    <w:bottom w:val="single" w:color="auto" w:sz="4" w:space="0"/>
                    <w:right w:val="single" w:color="auto" w:sz="4" w:space="0"/>
                  </w:tcBorders>
                  <w:vAlign w:val="center"/>
                </w:tcPr>
                <w:p w14:paraId="7681FD45">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3730-6992</w:t>
                  </w:r>
                </w:p>
              </w:tc>
              <w:tc>
                <w:tcPr>
                  <w:tcW w:w="2835" w:type="pct"/>
                  <w:tcBorders>
                    <w:top w:val="single" w:color="auto" w:sz="4" w:space="0"/>
                    <w:left w:val="single" w:color="auto" w:sz="4" w:space="0"/>
                    <w:bottom w:val="single" w:color="auto" w:sz="4" w:space="0"/>
                    <w:right w:val="single" w:color="auto" w:sz="4" w:space="0"/>
                  </w:tcBorders>
                </w:tcPr>
                <w:p w14:paraId="73DE3D32">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257.99</w:t>
                  </w:r>
                </w:p>
              </w:tc>
            </w:tr>
            <w:tr w14:paraId="1D29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164" w:type="pct"/>
                  <w:gridSpan w:val="4"/>
                  <w:tcBorders>
                    <w:top w:val="single" w:color="auto" w:sz="4" w:space="0"/>
                    <w:left w:val="single" w:color="auto" w:sz="4" w:space="0"/>
                    <w:bottom w:val="single" w:color="auto" w:sz="4" w:space="0"/>
                    <w:right w:val="single" w:color="auto" w:sz="4" w:space="0"/>
                  </w:tcBorders>
                  <w:vAlign w:val="center"/>
                </w:tcPr>
                <w:p w14:paraId="51EF67D8">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合计</w:t>
                  </w:r>
                </w:p>
              </w:tc>
              <w:tc>
                <w:tcPr>
                  <w:tcW w:w="2835" w:type="pct"/>
                  <w:tcBorders>
                    <w:top w:val="single" w:color="auto" w:sz="4" w:space="0"/>
                    <w:left w:val="single" w:color="auto" w:sz="4" w:space="0"/>
                    <w:bottom w:val="single" w:color="auto" w:sz="4" w:space="0"/>
                    <w:right w:val="single" w:color="auto" w:sz="4" w:space="0"/>
                  </w:tcBorders>
                </w:tcPr>
                <w:p w14:paraId="686F9EBC">
                  <w:pPr>
                    <w:kinsoku/>
                    <w:jc w:val="center"/>
                    <w:textAlignment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1700.85，其中水基泥浆1442.86，油基泥浆257.99</w:t>
                  </w:r>
                </w:p>
              </w:tc>
            </w:tr>
          </w:tbl>
          <w:p w14:paraId="67D862A7">
            <w:pPr>
              <w:widowControl w:val="0"/>
              <w:kinsoku/>
              <w:jc w:val="both"/>
              <w:rPr>
                <w:rFonts w:ascii="Times New Roman" w:hAnsi="Times New Roman" w:eastAsia="宋体" w:cs="Times New Roman"/>
                <w:b/>
                <w:bCs/>
                <w:color w:val="auto"/>
                <w:highlight w:val="none"/>
                <w:lang w:eastAsia="zh-CN"/>
              </w:rPr>
            </w:pPr>
          </w:p>
          <w:p w14:paraId="734D90D5">
            <w:pPr>
              <w:pStyle w:val="26"/>
              <w:widowControl w:val="0"/>
              <w:kinsoku/>
              <w:spacing w:line="360" w:lineRule="auto"/>
              <w:ind w:firstLine="460"/>
              <w:jc w:val="both"/>
              <w:rPr>
                <w:rFonts w:ascii="Times New Roman" w:hAnsi="Times New Roman" w:cs="Times New Roman"/>
                <w:color w:val="auto"/>
                <w:spacing w:val="-1"/>
                <w:sz w:val="24"/>
                <w:szCs w:val="24"/>
                <w:highlight w:val="none"/>
                <w:lang w:eastAsia="zh-CN"/>
              </w:rPr>
            </w:pPr>
            <w:r>
              <w:rPr>
                <w:rFonts w:hint="eastAsia" w:eastAsia="宋体" w:cs="宋体"/>
                <w:color w:val="auto"/>
                <w:spacing w:val="-5"/>
                <w:sz w:val="24"/>
                <w:szCs w:val="24"/>
                <w:highlight w:val="none"/>
                <w:lang w:eastAsia="zh-CN"/>
              </w:rPr>
              <w:t>本项目钻井泥浆</w:t>
            </w:r>
            <w:r>
              <w:rPr>
                <w:rFonts w:ascii="Times New Roman" w:hAnsi="Times New Roman" w:eastAsia="宋体" w:cs="Times New Roman"/>
                <w:color w:val="auto"/>
                <w:spacing w:val="-5"/>
                <w:sz w:val="24"/>
                <w:szCs w:val="24"/>
                <w:highlight w:val="none"/>
                <w:lang w:eastAsia="zh-CN"/>
              </w:rPr>
              <w:t>最大产生</w:t>
            </w:r>
            <w:r>
              <w:rPr>
                <w:rFonts w:hint="eastAsia" w:eastAsia="宋体" w:cs="宋体"/>
                <w:color w:val="auto"/>
                <w:spacing w:val="-5"/>
                <w:sz w:val="24"/>
                <w:szCs w:val="24"/>
                <w:highlight w:val="none"/>
                <w:lang w:eastAsia="zh-CN"/>
              </w:rPr>
              <w:t>量为</w:t>
            </w:r>
            <w:r>
              <w:rPr>
                <w:rFonts w:ascii="Times New Roman" w:hAnsi="Times New Roman" w:eastAsia="宋体" w:cs="Times New Roman"/>
                <w:color w:val="auto"/>
                <w:spacing w:val="-5"/>
                <w:sz w:val="24"/>
                <w:szCs w:val="24"/>
                <w:highlight w:val="none"/>
                <w:lang w:eastAsia="zh-CN"/>
              </w:rPr>
              <w:t>1770.85</w:t>
            </w:r>
            <w:r>
              <w:rPr>
                <w:rFonts w:ascii="Times New Roman" w:hAnsi="Times New Roman" w:eastAsia="Times New Roman" w:cs="Times New Roman"/>
                <w:color w:val="auto"/>
                <w:spacing w:val="-5"/>
                <w:sz w:val="24"/>
                <w:szCs w:val="24"/>
                <w:highlight w:val="none"/>
                <w:lang w:eastAsia="zh-CN"/>
              </w:rPr>
              <w:t>m</w:t>
            </w:r>
            <w:r>
              <w:rPr>
                <w:rFonts w:ascii="Times New Roman" w:hAnsi="Times New Roman" w:eastAsia="Times New Roman" w:cs="Times New Roman"/>
                <w:color w:val="auto"/>
                <w:spacing w:val="-5"/>
                <w:position w:val="8"/>
                <w:sz w:val="15"/>
                <w:szCs w:val="15"/>
                <w:highlight w:val="none"/>
                <w:lang w:eastAsia="zh-CN"/>
              </w:rPr>
              <w:t>3</w:t>
            </w:r>
            <w:r>
              <w:rPr>
                <w:rFonts w:hint="eastAsia" w:eastAsia="宋体" w:cs="宋体"/>
                <w:color w:val="auto"/>
                <w:spacing w:val="-5"/>
                <w:sz w:val="24"/>
                <w:szCs w:val="24"/>
                <w:highlight w:val="none"/>
                <w:lang w:eastAsia="zh-CN"/>
              </w:rPr>
              <w:t>（</w:t>
            </w:r>
            <w:r>
              <w:rPr>
                <w:rFonts w:ascii="Times New Roman" w:hAnsi="Times New Roman" w:eastAsia="宋体" w:cs="Times New Roman"/>
                <w:color w:val="auto"/>
                <w:spacing w:val="-6"/>
                <w:sz w:val="24"/>
                <w:szCs w:val="24"/>
                <w:highlight w:val="none"/>
                <w:lang w:eastAsia="zh-CN"/>
              </w:rPr>
              <w:t>其中水基泥浆</w:t>
            </w:r>
            <w:r>
              <w:rPr>
                <w:rFonts w:ascii="Times New Roman" w:hAnsi="Times New Roman" w:cs="Times New Roman"/>
                <w:color w:val="auto"/>
                <w:spacing w:val="-6"/>
                <w:sz w:val="24"/>
                <w:szCs w:val="24"/>
                <w:highlight w:val="none"/>
                <w:lang w:eastAsia="zh-CN"/>
              </w:rPr>
              <w:t>1442.86</w:t>
            </w:r>
            <w:r>
              <w:rPr>
                <w:rFonts w:ascii="Times New Roman" w:hAnsi="Times New Roman" w:eastAsia="Times New Roman" w:cs="Times New Roman"/>
                <w:color w:val="auto"/>
                <w:spacing w:val="-5"/>
                <w:sz w:val="24"/>
                <w:szCs w:val="24"/>
                <w:highlight w:val="none"/>
                <w:lang w:eastAsia="zh-CN"/>
              </w:rPr>
              <w:t>m</w:t>
            </w:r>
            <w:r>
              <w:rPr>
                <w:rFonts w:ascii="Times New Roman" w:hAnsi="Times New Roman" w:eastAsia="Times New Roman" w:cs="Times New Roman"/>
                <w:color w:val="auto"/>
                <w:spacing w:val="-5"/>
                <w:position w:val="8"/>
                <w:sz w:val="15"/>
                <w:szCs w:val="15"/>
                <w:highlight w:val="none"/>
                <w:lang w:eastAsia="zh-CN"/>
              </w:rPr>
              <w:t>3</w:t>
            </w:r>
            <w:r>
              <w:rPr>
                <w:rFonts w:ascii="Times New Roman" w:hAnsi="Times New Roman" w:eastAsia="宋体" w:cs="Times New Roman"/>
                <w:color w:val="auto"/>
                <w:spacing w:val="-6"/>
                <w:sz w:val="24"/>
                <w:szCs w:val="24"/>
                <w:highlight w:val="none"/>
                <w:lang w:eastAsia="zh-CN"/>
              </w:rPr>
              <w:t>，油基泥浆</w:t>
            </w:r>
            <w:r>
              <w:rPr>
                <w:rFonts w:ascii="Times New Roman" w:hAnsi="Times New Roman" w:cs="Times New Roman"/>
                <w:color w:val="auto"/>
                <w:spacing w:val="-6"/>
                <w:sz w:val="24"/>
                <w:szCs w:val="24"/>
                <w:highlight w:val="none"/>
                <w:lang w:eastAsia="zh-CN"/>
              </w:rPr>
              <w:t>257.99</w:t>
            </w:r>
            <w:r>
              <w:rPr>
                <w:rFonts w:ascii="Times New Roman" w:hAnsi="Times New Roman" w:eastAsia="Times New Roman" w:cs="Times New Roman"/>
                <w:color w:val="auto"/>
                <w:spacing w:val="-5"/>
                <w:sz w:val="24"/>
                <w:szCs w:val="24"/>
                <w:highlight w:val="none"/>
                <w:lang w:eastAsia="zh-CN"/>
              </w:rPr>
              <w:t>m</w:t>
            </w:r>
            <w:r>
              <w:rPr>
                <w:rFonts w:ascii="Times New Roman" w:hAnsi="Times New Roman" w:eastAsia="Times New Roman" w:cs="Times New Roman"/>
                <w:color w:val="auto"/>
                <w:spacing w:val="-5"/>
                <w:position w:val="8"/>
                <w:sz w:val="15"/>
                <w:szCs w:val="15"/>
                <w:highlight w:val="none"/>
                <w:lang w:eastAsia="zh-CN"/>
              </w:rPr>
              <w:t>3</w:t>
            </w:r>
            <w:r>
              <w:rPr>
                <w:rFonts w:hint="eastAsia" w:eastAsia="宋体" w:cs="宋体"/>
                <w:color w:val="auto"/>
                <w:spacing w:val="-14"/>
                <w:sz w:val="24"/>
                <w:szCs w:val="24"/>
                <w:highlight w:val="none"/>
                <w:lang w:eastAsia="zh-CN"/>
              </w:rPr>
              <w:t>），项目采用泥浆不落地系统实现固液分离，分离后的液相循环使用，</w:t>
            </w:r>
            <w:r>
              <w:rPr>
                <w:rFonts w:hint="eastAsia" w:eastAsia="宋体" w:cs="宋体"/>
                <w:color w:val="auto"/>
                <w:sz w:val="24"/>
                <w:szCs w:val="24"/>
                <w:highlight w:val="none"/>
                <w:lang w:eastAsia="zh-CN"/>
              </w:rPr>
              <w:t>无法综合利用的由具备资质的单位及时转运处理，处置过程符合《油气田钻井固体废弃物综合利用污染物控制要求》（</w:t>
            </w:r>
            <w:r>
              <w:rPr>
                <w:rFonts w:ascii="Times New Roman" w:hAnsi="Times New Roman" w:cs="Times New Roman"/>
                <w:color w:val="auto"/>
                <w:sz w:val="24"/>
                <w:szCs w:val="24"/>
                <w:highlight w:val="none"/>
                <w:lang w:eastAsia="zh-CN"/>
              </w:rPr>
              <w:t>DB</w:t>
            </w:r>
            <w:r>
              <w:rPr>
                <w:rFonts w:ascii="Times New Roman" w:hAnsi="Times New Roman" w:eastAsia="宋体" w:cs="Times New Roman"/>
                <w:color w:val="auto"/>
                <w:sz w:val="24"/>
                <w:szCs w:val="24"/>
                <w:highlight w:val="none"/>
                <w:lang w:eastAsia="zh-CN"/>
              </w:rPr>
              <w:t xml:space="preserve"> </w:t>
            </w:r>
            <w:r>
              <w:rPr>
                <w:rFonts w:ascii="Times New Roman" w:hAnsi="Times New Roman" w:cs="Times New Roman"/>
                <w:color w:val="auto"/>
                <w:sz w:val="24"/>
                <w:szCs w:val="24"/>
                <w:highlight w:val="none"/>
                <w:lang w:eastAsia="zh-CN"/>
              </w:rPr>
              <w:t>65/T</w:t>
            </w:r>
            <w:r>
              <w:rPr>
                <w:rFonts w:ascii="Times New Roman" w:hAnsi="Times New Roman" w:eastAsia="宋体" w:cs="Times New Roman"/>
                <w:color w:val="auto"/>
                <w:sz w:val="24"/>
                <w:szCs w:val="24"/>
                <w:highlight w:val="none"/>
                <w:lang w:eastAsia="zh-CN"/>
              </w:rPr>
              <w:t xml:space="preserve"> </w:t>
            </w:r>
            <w:r>
              <w:rPr>
                <w:rFonts w:ascii="Times New Roman" w:hAnsi="Times New Roman" w:cs="Times New Roman"/>
                <w:color w:val="auto"/>
                <w:sz w:val="24"/>
                <w:szCs w:val="24"/>
                <w:highlight w:val="none"/>
                <w:lang w:eastAsia="zh-CN"/>
              </w:rPr>
              <w:t>3997—2017</w:t>
            </w:r>
            <w:r>
              <w:rPr>
                <w:rFonts w:hint="eastAsia" w:eastAsia="宋体" w:cs="宋体"/>
                <w:color w:val="auto"/>
                <w:sz w:val="24"/>
                <w:szCs w:val="24"/>
                <w:highlight w:val="none"/>
                <w:lang w:eastAsia="zh-CN"/>
              </w:rPr>
              <w:t>）相关要求，具备条件的可综合利用。</w:t>
            </w:r>
          </w:p>
          <w:p w14:paraId="01BA385D">
            <w:pPr>
              <w:pStyle w:val="22"/>
              <w:widowControl w:val="0"/>
              <w:kinsoku/>
              <w:spacing w:before="3" w:line="359" w:lineRule="auto"/>
              <w:ind w:right="4"/>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6.2钻井岩屑</w:t>
            </w:r>
          </w:p>
          <w:p w14:paraId="6010FA5C">
            <w:pPr>
              <w:pStyle w:val="26"/>
              <w:widowControl w:val="0"/>
              <w:kinsoku/>
              <w:spacing w:line="360" w:lineRule="auto"/>
              <w:ind w:firstLine="460"/>
              <w:jc w:val="both"/>
              <w:rPr>
                <w:rFonts w:ascii="Times New Roman" w:hAnsi="Times New Roman" w:cs="Times New Roman"/>
                <w:color w:val="auto"/>
                <w:sz w:val="24"/>
                <w:szCs w:val="24"/>
                <w:highlight w:val="none"/>
                <w:lang w:eastAsia="zh-CN"/>
              </w:rPr>
            </w:pPr>
            <w:r>
              <w:rPr>
                <w:rFonts w:hint="eastAsia" w:ascii="宋体" w:hAnsi="宋体" w:eastAsia="宋体" w:cs="宋体"/>
                <w:color w:val="auto"/>
                <w:sz w:val="24"/>
                <w:szCs w:val="24"/>
                <w:highlight w:val="none"/>
                <w:lang w:eastAsia="zh-CN"/>
              </w:rPr>
              <w:t>钻井岩屑产生量采用“体积膨胀法”进行核算，即根据钻头切削破坏地层岩石的几何体积乘以岩石破碎后的膨胀系数确定：</w:t>
            </w:r>
          </w:p>
          <w:p w14:paraId="06618C92">
            <w:pPr>
              <w:widowControl w:val="0"/>
              <w:kinsoku/>
              <w:spacing w:line="322" w:lineRule="exact"/>
              <w:ind w:left="3254"/>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pacing w:val="-4"/>
                <w:position w:val="1"/>
                <w:sz w:val="24"/>
                <w:szCs w:val="24"/>
                <w:highlight w:val="none"/>
                <w:lang w:eastAsia="zh-CN"/>
              </w:rPr>
              <w:t>W=1/4×</w:t>
            </w:r>
            <w:r>
              <w:rPr>
                <w:rFonts w:ascii="Times New Roman" w:hAnsi="Times New Roman" w:eastAsia="宋体" w:cs="Times New Roman"/>
                <w:color w:val="auto"/>
                <w:spacing w:val="-4"/>
                <w:position w:val="1"/>
                <w:sz w:val="24"/>
                <w:szCs w:val="24"/>
                <w:highlight w:val="none"/>
              </w:rPr>
              <w:t>π</w:t>
            </w:r>
            <w:r>
              <w:rPr>
                <w:rFonts w:ascii="Times New Roman" w:hAnsi="Times New Roman" w:eastAsia="宋体" w:cs="Times New Roman"/>
                <w:color w:val="auto"/>
                <w:spacing w:val="-4"/>
                <w:position w:val="1"/>
                <w:sz w:val="24"/>
                <w:szCs w:val="24"/>
                <w:highlight w:val="none"/>
                <w:lang w:eastAsia="zh-CN"/>
              </w:rPr>
              <w:t>×D</w:t>
            </w:r>
            <w:r>
              <w:rPr>
                <w:rFonts w:ascii="Times New Roman" w:hAnsi="Times New Roman" w:eastAsia="宋体" w:cs="Times New Roman"/>
                <w:color w:val="auto"/>
                <w:spacing w:val="-4"/>
                <w:position w:val="8"/>
                <w:sz w:val="15"/>
                <w:szCs w:val="15"/>
                <w:highlight w:val="none"/>
                <w:lang w:eastAsia="zh-CN"/>
              </w:rPr>
              <w:t>2</w:t>
            </w:r>
            <w:r>
              <w:rPr>
                <w:rFonts w:ascii="Times New Roman" w:hAnsi="Times New Roman" w:eastAsia="宋体" w:cs="Times New Roman"/>
                <w:color w:val="auto"/>
                <w:spacing w:val="-4"/>
                <w:position w:val="1"/>
                <w:sz w:val="24"/>
                <w:szCs w:val="24"/>
                <w:highlight w:val="none"/>
                <w:lang w:eastAsia="zh-CN"/>
              </w:rPr>
              <w:t>×h×P</w:t>
            </w:r>
          </w:p>
          <w:p w14:paraId="675A6BCB">
            <w:pPr>
              <w:pStyle w:val="22"/>
              <w:widowControl w:val="0"/>
              <w:kinsoku/>
              <w:spacing w:before="153" w:line="219" w:lineRule="auto"/>
              <w:ind w:left="488"/>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式中：W——产生的岩屑量，m</w:t>
            </w:r>
            <w:r>
              <w:rPr>
                <w:rFonts w:ascii="Times New Roman" w:hAnsi="Times New Roman" w:cs="Times New Roman"/>
                <w:color w:val="auto"/>
                <w:spacing w:val="-1"/>
                <w:position w:val="8"/>
                <w:sz w:val="15"/>
                <w:szCs w:val="15"/>
                <w:highlight w:val="none"/>
                <w:lang w:eastAsia="zh-CN"/>
              </w:rPr>
              <w:t>3</w:t>
            </w:r>
            <w:r>
              <w:rPr>
                <w:rFonts w:ascii="Times New Roman" w:hAnsi="Times New Roman" w:cs="Times New Roman"/>
                <w:color w:val="auto"/>
                <w:spacing w:val="-1"/>
                <w:sz w:val="24"/>
                <w:szCs w:val="24"/>
                <w:highlight w:val="none"/>
                <w:lang w:eastAsia="zh-CN"/>
              </w:rPr>
              <w:t>；</w:t>
            </w:r>
          </w:p>
          <w:p w14:paraId="12E631C7">
            <w:pPr>
              <w:pStyle w:val="22"/>
              <w:widowControl w:val="0"/>
              <w:kinsoku/>
              <w:spacing w:before="183" w:line="219" w:lineRule="auto"/>
              <w:ind w:left="1198"/>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D——井眼平均井径，m；</w:t>
            </w:r>
          </w:p>
          <w:p w14:paraId="24104968">
            <w:pPr>
              <w:pStyle w:val="22"/>
              <w:widowControl w:val="0"/>
              <w:kinsoku/>
              <w:spacing w:before="180" w:line="360" w:lineRule="auto"/>
              <w:ind w:left="1195"/>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h——裸眼长度，m；</w:t>
            </w:r>
          </w:p>
          <w:p w14:paraId="1FDCD168">
            <w:pPr>
              <w:pStyle w:val="22"/>
              <w:widowControl w:val="0"/>
              <w:kinsoku/>
              <w:spacing w:before="3" w:line="360" w:lineRule="auto"/>
              <w:ind w:right="4" w:firstLine="1200" w:firstLineChars="5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P——膨胀系数，使用水基钻井液体系时取P= 1.8，油基钻井液体系取P=4。</w:t>
            </w:r>
          </w:p>
          <w:p w14:paraId="755A4637">
            <w:pPr>
              <w:pStyle w:val="5"/>
              <w:widowControl w:val="0"/>
              <w:kinsoku/>
              <w:ind w:firstLine="472"/>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pacing w:val="-2"/>
                <w:sz w:val="24"/>
                <w:szCs w:val="24"/>
                <w:highlight w:val="none"/>
                <w:lang w:eastAsia="zh-CN"/>
              </w:rPr>
              <w:t>岩屑产生量详见下表</w:t>
            </w:r>
          </w:p>
          <w:p w14:paraId="2344981B">
            <w:pPr>
              <w:pStyle w:val="28"/>
              <w:widowControl w:val="0"/>
              <w:kinsoku/>
              <w:ind w:firstLine="0" w:firstLineChars="0"/>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表4-5 钻井岩屑产生量一览表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1090"/>
              <w:gridCol w:w="875"/>
              <w:gridCol w:w="1093"/>
              <w:gridCol w:w="4587"/>
            </w:tblGrid>
            <w:tr w14:paraId="11FC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0" w:space="0"/>
                    <w:bottom w:val="single" w:color="auto" w:sz="4" w:space="0"/>
                    <w:right w:val="single" w:color="auto" w:sz="4" w:space="0"/>
                  </w:tcBorders>
                  <w:vAlign w:val="center"/>
                </w:tcPr>
                <w:p w14:paraId="47EA18AD">
                  <w:pPr>
                    <w:pStyle w:val="25"/>
                    <w:rPr>
                      <w:color w:val="auto"/>
                      <w:szCs w:val="21"/>
                      <w:highlight w:val="none"/>
                    </w:rPr>
                  </w:pPr>
                  <w:r>
                    <w:rPr>
                      <w:color w:val="auto"/>
                      <w:szCs w:val="21"/>
                      <w:highlight w:val="none"/>
                    </w:rPr>
                    <w:t>开钻</w:t>
                  </w:r>
                </w:p>
                <w:p w14:paraId="7AC175B1">
                  <w:pPr>
                    <w:pStyle w:val="25"/>
                    <w:rPr>
                      <w:color w:val="auto"/>
                      <w:szCs w:val="21"/>
                      <w:highlight w:val="none"/>
                    </w:rPr>
                  </w:pPr>
                  <w:r>
                    <w:rPr>
                      <w:color w:val="auto"/>
                      <w:szCs w:val="21"/>
                      <w:highlight w:val="none"/>
                    </w:rPr>
                    <w:t>次序</w:t>
                  </w:r>
                </w:p>
              </w:tc>
              <w:tc>
                <w:tcPr>
                  <w:tcW w:w="674" w:type="pct"/>
                  <w:tcBorders>
                    <w:top w:val="single" w:color="auto" w:sz="4" w:space="0"/>
                    <w:left w:val="single" w:color="auto" w:sz="4" w:space="0"/>
                    <w:bottom w:val="single" w:color="auto" w:sz="4" w:space="0"/>
                    <w:right w:val="single" w:color="auto" w:sz="4" w:space="0"/>
                  </w:tcBorders>
                  <w:vAlign w:val="center"/>
                </w:tcPr>
                <w:p w14:paraId="6ACD0720">
                  <w:pPr>
                    <w:pStyle w:val="25"/>
                    <w:rPr>
                      <w:color w:val="auto"/>
                      <w:szCs w:val="21"/>
                      <w:highlight w:val="none"/>
                    </w:rPr>
                  </w:pPr>
                  <w:r>
                    <w:rPr>
                      <w:color w:val="auto"/>
                      <w:szCs w:val="21"/>
                      <w:highlight w:val="none"/>
                    </w:rPr>
                    <w:t>钻井液类型</w:t>
                  </w:r>
                </w:p>
              </w:tc>
              <w:tc>
                <w:tcPr>
                  <w:tcW w:w="541" w:type="pct"/>
                  <w:tcBorders>
                    <w:top w:val="single" w:color="auto" w:sz="4" w:space="0"/>
                    <w:left w:val="single" w:color="auto" w:sz="4" w:space="0"/>
                    <w:bottom w:val="single" w:color="auto" w:sz="4" w:space="0"/>
                    <w:right w:val="single" w:color="auto" w:sz="4" w:space="0"/>
                  </w:tcBorders>
                  <w:vAlign w:val="center"/>
                </w:tcPr>
                <w:p w14:paraId="56975255">
                  <w:pPr>
                    <w:pStyle w:val="25"/>
                    <w:rPr>
                      <w:color w:val="auto"/>
                      <w:szCs w:val="21"/>
                      <w:highlight w:val="none"/>
                    </w:rPr>
                  </w:pPr>
                  <w:r>
                    <w:rPr>
                      <w:color w:val="auto"/>
                      <w:szCs w:val="21"/>
                      <w:highlight w:val="none"/>
                    </w:rPr>
                    <w:t>钻头尺寸</w:t>
                  </w:r>
                </w:p>
                <w:p w14:paraId="063E5C87">
                  <w:pPr>
                    <w:pStyle w:val="25"/>
                    <w:rPr>
                      <w:color w:val="auto"/>
                      <w:szCs w:val="21"/>
                      <w:highlight w:val="none"/>
                    </w:rPr>
                  </w:pPr>
                  <w:r>
                    <w:rPr>
                      <w:color w:val="auto"/>
                      <w:szCs w:val="21"/>
                      <w:highlight w:val="none"/>
                    </w:rPr>
                    <w:t>(mm)</w:t>
                  </w:r>
                </w:p>
              </w:tc>
              <w:tc>
                <w:tcPr>
                  <w:tcW w:w="674" w:type="pct"/>
                  <w:tcBorders>
                    <w:top w:val="single" w:color="auto" w:sz="4" w:space="0"/>
                    <w:left w:val="single" w:color="auto" w:sz="4" w:space="0"/>
                    <w:bottom w:val="single" w:color="auto" w:sz="4" w:space="0"/>
                    <w:right w:val="single" w:color="auto" w:sz="4" w:space="0"/>
                  </w:tcBorders>
                  <w:vAlign w:val="center"/>
                </w:tcPr>
                <w:p w14:paraId="21704BC3">
                  <w:pPr>
                    <w:pStyle w:val="22"/>
                    <w:kinsoku/>
                    <w:spacing w:before="60" w:line="228" w:lineRule="auto"/>
                    <w:jc w:val="center"/>
                    <w:rPr>
                      <w:rFonts w:ascii="Times New Roman" w:hAnsi="Times New Roman" w:cs="Times New Roman" w:eastAsiaTheme="minorEastAsia"/>
                      <w:b/>
                      <w:bCs/>
                      <w:color w:val="auto"/>
                      <w:sz w:val="21"/>
                      <w:szCs w:val="21"/>
                      <w:highlight w:val="none"/>
                    </w:rPr>
                  </w:pPr>
                  <w:r>
                    <w:rPr>
                      <w:rFonts w:ascii="Times New Roman" w:hAnsi="Times New Roman" w:cs="Times New Roman" w:eastAsiaTheme="minorEastAsia"/>
                      <w:b/>
                      <w:bCs/>
                      <w:color w:val="auto"/>
                      <w:spacing w:val="4"/>
                      <w:sz w:val="21"/>
                      <w:szCs w:val="21"/>
                      <w:highlight w:val="none"/>
                      <w:lang w:eastAsia="zh-CN"/>
                    </w:rPr>
                    <w:t>井段（m）</w:t>
                  </w:r>
                </w:p>
              </w:tc>
              <w:tc>
                <w:tcPr>
                  <w:tcW w:w="2835" w:type="pct"/>
                  <w:tcBorders>
                    <w:top w:val="single" w:color="auto" w:sz="4" w:space="0"/>
                    <w:left w:val="single" w:color="auto" w:sz="4" w:space="0"/>
                    <w:bottom w:val="single" w:color="auto" w:sz="4" w:space="0"/>
                    <w:right w:val="single" w:color="auto" w:sz="4" w:space="0"/>
                  </w:tcBorders>
                  <w:vAlign w:val="center"/>
                </w:tcPr>
                <w:p w14:paraId="6C172B77">
                  <w:pPr>
                    <w:pStyle w:val="22"/>
                    <w:kinsoku/>
                    <w:spacing w:before="60" w:line="228" w:lineRule="auto"/>
                    <w:jc w:val="center"/>
                    <w:rPr>
                      <w:rFonts w:ascii="Times New Roman" w:hAnsi="Times New Roman" w:cs="Times New Roman" w:eastAsiaTheme="minorEastAsia"/>
                      <w:b/>
                      <w:bCs/>
                      <w:color w:val="auto"/>
                      <w:spacing w:val="4"/>
                      <w:sz w:val="21"/>
                      <w:szCs w:val="21"/>
                      <w:highlight w:val="none"/>
                      <w:lang w:eastAsia="zh-CN"/>
                    </w:rPr>
                  </w:pPr>
                  <w:r>
                    <w:rPr>
                      <w:rFonts w:ascii="Times New Roman" w:hAnsi="Times New Roman" w:cs="Times New Roman" w:eastAsiaTheme="minorEastAsia"/>
                      <w:b/>
                      <w:bCs/>
                      <w:color w:val="auto"/>
                      <w:spacing w:val="7"/>
                      <w:sz w:val="21"/>
                      <w:szCs w:val="21"/>
                      <w:highlight w:val="none"/>
                      <w:lang w:eastAsia="zh-CN"/>
                    </w:rPr>
                    <w:t>岩屑产生量</w:t>
                  </w:r>
                </w:p>
                <w:p w14:paraId="4FEB53D7">
                  <w:pPr>
                    <w:pStyle w:val="22"/>
                    <w:kinsoku/>
                    <w:spacing w:before="60" w:line="228" w:lineRule="auto"/>
                    <w:jc w:val="center"/>
                    <w:rPr>
                      <w:rFonts w:ascii="Times New Roman" w:hAnsi="Times New Roman" w:cs="Times New Roman" w:eastAsiaTheme="minorEastAsia"/>
                      <w:b/>
                      <w:bCs/>
                      <w:color w:val="auto"/>
                      <w:sz w:val="21"/>
                      <w:szCs w:val="21"/>
                      <w:highlight w:val="none"/>
                      <w:lang w:eastAsia="zh-CN"/>
                    </w:rPr>
                  </w:pPr>
                  <w:r>
                    <w:rPr>
                      <w:rFonts w:ascii="Times New Roman" w:hAnsi="Times New Roman" w:cs="Times New Roman" w:eastAsiaTheme="minorEastAsia"/>
                      <w:b/>
                      <w:bCs/>
                      <w:color w:val="auto"/>
                      <w:spacing w:val="4"/>
                      <w:sz w:val="21"/>
                      <w:szCs w:val="21"/>
                      <w:highlight w:val="none"/>
                      <w:lang w:eastAsia="zh-CN"/>
                    </w:rPr>
                    <w:t>（</w:t>
                  </w:r>
                  <w:r>
                    <w:rPr>
                      <w:rFonts w:ascii="Times New Roman" w:hAnsi="Times New Roman" w:cs="Times New Roman" w:eastAsiaTheme="minorEastAsia"/>
                      <w:b/>
                      <w:bCs/>
                      <w:color w:val="auto"/>
                      <w:spacing w:val="1"/>
                      <w:sz w:val="21"/>
                      <w:szCs w:val="21"/>
                      <w:highlight w:val="none"/>
                      <w:lang w:eastAsia="zh-CN"/>
                    </w:rPr>
                    <w:t>m</w:t>
                  </w:r>
                  <w:r>
                    <w:rPr>
                      <w:rFonts w:ascii="Times New Roman" w:hAnsi="Times New Roman" w:cs="Times New Roman" w:eastAsiaTheme="minorEastAsia"/>
                      <w:b/>
                      <w:bCs/>
                      <w:color w:val="auto"/>
                      <w:spacing w:val="1"/>
                      <w:sz w:val="21"/>
                      <w:szCs w:val="21"/>
                      <w:highlight w:val="none"/>
                      <w:vertAlign w:val="superscript"/>
                      <w:lang w:eastAsia="zh-CN"/>
                    </w:rPr>
                    <w:t>3</w:t>
                  </w:r>
                  <w:r>
                    <w:rPr>
                      <w:rFonts w:ascii="Times New Roman" w:hAnsi="Times New Roman" w:cs="Times New Roman" w:eastAsiaTheme="minorEastAsia"/>
                      <w:b/>
                      <w:bCs/>
                      <w:color w:val="auto"/>
                      <w:spacing w:val="4"/>
                      <w:sz w:val="21"/>
                      <w:szCs w:val="21"/>
                      <w:highlight w:val="none"/>
                      <w:lang w:eastAsia="zh-CN"/>
                    </w:rPr>
                    <w:t>）</w:t>
                  </w:r>
                </w:p>
              </w:tc>
            </w:tr>
            <w:tr w14:paraId="698D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2D3FC97">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阜4803H</w:t>
                  </w:r>
                </w:p>
              </w:tc>
            </w:tr>
            <w:tr w14:paraId="1DC0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057910CF">
                  <w:pPr>
                    <w:pStyle w:val="25"/>
                    <w:rPr>
                      <w:b w:val="0"/>
                      <w:bCs w:val="0"/>
                      <w:color w:val="auto"/>
                      <w:szCs w:val="21"/>
                      <w:highlight w:val="none"/>
                    </w:rPr>
                  </w:pPr>
                  <w:r>
                    <w:rPr>
                      <w:b w:val="0"/>
                      <w:bCs w:val="0"/>
                      <w:color w:val="auto"/>
                      <w:szCs w:val="21"/>
                      <w:highlight w:val="none"/>
                    </w:rPr>
                    <w:t>导眼</w:t>
                  </w:r>
                </w:p>
              </w:tc>
              <w:tc>
                <w:tcPr>
                  <w:tcW w:w="674" w:type="pct"/>
                  <w:vMerge w:val="restart"/>
                  <w:tcBorders>
                    <w:top w:val="single" w:color="auto" w:sz="4" w:space="0"/>
                    <w:left w:val="single" w:color="auto" w:sz="4" w:space="0"/>
                    <w:right w:val="single" w:color="auto" w:sz="4" w:space="0"/>
                  </w:tcBorders>
                  <w:vAlign w:val="center"/>
                </w:tcPr>
                <w:p w14:paraId="10869378">
                  <w:pPr>
                    <w:pStyle w:val="25"/>
                    <w:rPr>
                      <w:b w:val="0"/>
                      <w:bCs w:val="0"/>
                      <w:color w:val="auto"/>
                      <w:szCs w:val="21"/>
                      <w:highlight w:val="none"/>
                    </w:rPr>
                  </w:pPr>
                  <w:r>
                    <w:rPr>
                      <w:b w:val="0"/>
                      <w:bCs w:val="0"/>
                      <w:color w:val="auto"/>
                      <w:szCs w:val="21"/>
                      <w:highlight w:val="none"/>
                    </w:rPr>
                    <w:t>水基钻井液</w:t>
                  </w:r>
                </w:p>
              </w:tc>
              <w:tc>
                <w:tcPr>
                  <w:tcW w:w="541" w:type="pct"/>
                  <w:tcBorders>
                    <w:top w:val="single" w:color="auto" w:sz="4" w:space="0"/>
                    <w:left w:val="single" w:color="auto" w:sz="4" w:space="0"/>
                    <w:bottom w:val="single" w:color="auto" w:sz="4" w:space="0"/>
                    <w:right w:val="single" w:color="auto" w:sz="4" w:space="0"/>
                  </w:tcBorders>
                  <w:vAlign w:val="center"/>
                </w:tcPr>
                <w:p w14:paraId="15D413E6">
                  <w:pPr>
                    <w:pStyle w:val="25"/>
                    <w:rPr>
                      <w:b w:val="0"/>
                      <w:bCs w:val="0"/>
                      <w:color w:val="auto"/>
                      <w:szCs w:val="21"/>
                      <w:highlight w:val="none"/>
                    </w:rPr>
                  </w:pPr>
                  <w:r>
                    <w:rPr>
                      <w:b w:val="0"/>
                      <w:bCs w:val="0"/>
                      <w:color w:val="auto"/>
                      <w:szCs w:val="21"/>
                      <w:highlight w:val="none"/>
                    </w:rPr>
                    <w:t>Φ660</w:t>
                  </w:r>
                </w:p>
              </w:tc>
              <w:tc>
                <w:tcPr>
                  <w:tcW w:w="674" w:type="pct"/>
                  <w:tcBorders>
                    <w:top w:val="single" w:color="auto" w:sz="4" w:space="0"/>
                    <w:left w:val="single" w:color="auto" w:sz="4" w:space="0"/>
                    <w:bottom w:val="single" w:color="auto" w:sz="4" w:space="0"/>
                    <w:right w:val="single" w:color="auto" w:sz="4" w:space="0"/>
                  </w:tcBorders>
                  <w:vAlign w:val="center"/>
                </w:tcPr>
                <w:p w14:paraId="040C25F7">
                  <w:pPr>
                    <w:kinsoku/>
                    <w:jc w:val="center"/>
                    <w:textAlignment w:val="center"/>
                    <w:rPr>
                      <w:rFonts w:ascii="Times New Roman" w:hAnsi="Times New Roman" w:cs="Times New Roman" w:eastAsiaTheme="minorEastAsia"/>
                      <w:color w:val="auto"/>
                      <w:highlight w:val="none"/>
                      <w:lang w:val="zh-CN" w:eastAsia="zh-CN" w:bidi="ar"/>
                    </w:rPr>
                  </w:pPr>
                  <w:r>
                    <w:rPr>
                      <w:rFonts w:ascii="Times New Roman" w:hAnsi="Times New Roman" w:cs="Times New Roman" w:eastAsiaTheme="minorEastAsia"/>
                      <w:color w:val="auto"/>
                      <w:highlight w:val="none"/>
                      <w:lang w:eastAsia="zh-CN" w:bidi="ar"/>
                    </w:rPr>
                    <w:t>0-30</w:t>
                  </w:r>
                </w:p>
              </w:tc>
              <w:tc>
                <w:tcPr>
                  <w:tcW w:w="2835" w:type="pct"/>
                  <w:tcBorders>
                    <w:top w:val="single" w:color="auto" w:sz="4" w:space="0"/>
                    <w:left w:val="single" w:color="auto" w:sz="4" w:space="0"/>
                    <w:bottom w:val="single" w:color="auto" w:sz="4" w:space="0"/>
                    <w:right w:val="single" w:color="auto" w:sz="4" w:space="0"/>
                  </w:tcBorders>
                  <w:vAlign w:val="center"/>
                </w:tcPr>
                <w:p w14:paraId="61192C2D">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eastAsia="宋体" w:cs="Times New Roman"/>
                      <w:color w:val="auto"/>
                      <w:highlight w:val="none"/>
                      <w:lang w:eastAsia="zh-CN" w:bidi="ar"/>
                    </w:rPr>
                    <w:t>18.47</w:t>
                  </w:r>
                </w:p>
              </w:tc>
            </w:tr>
            <w:tr w14:paraId="749E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02632BB2">
                  <w:pPr>
                    <w:pStyle w:val="25"/>
                    <w:rPr>
                      <w:b w:val="0"/>
                      <w:bCs w:val="0"/>
                      <w:color w:val="auto"/>
                      <w:szCs w:val="21"/>
                      <w:highlight w:val="none"/>
                    </w:rPr>
                  </w:pPr>
                  <w:r>
                    <w:rPr>
                      <w:b w:val="0"/>
                      <w:bCs w:val="0"/>
                      <w:color w:val="auto"/>
                      <w:szCs w:val="21"/>
                      <w:highlight w:val="none"/>
                    </w:rPr>
                    <w:t>一开</w:t>
                  </w:r>
                </w:p>
              </w:tc>
              <w:tc>
                <w:tcPr>
                  <w:tcW w:w="674" w:type="pct"/>
                  <w:vMerge w:val="continue"/>
                  <w:tcBorders>
                    <w:left w:val="single" w:color="auto" w:sz="4" w:space="0"/>
                    <w:right w:val="single" w:color="auto" w:sz="4" w:space="0"/>
                  </w:tcBorders>
                  <w:vAlign w:val="center"/>
                </w:tcPr>
                <w:p w14:paraId="31900762">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7D780B86">
                  <w:pPr>
                    <w:pStyle w:val="25"/>
                    <w:rPr>
                      <w:b w:val="0"/>
                      <w:bCs w:val="0"/>
                      <w:color w:val="auto"/>
                      <w:szCs w:val="21"/>
                      <w:highlight w:val="none"/>
                    </w:rPr>
                  </w:pPr>
                  <w:r>
                    <w:rPr>
                      <w:b w:val="0"/>
                      <w:bCs w:val="0"/>
                      <w:color w:val="auto"/>
                      <w:szCs w:val="21"/>
                      <w:highlight w:val="none"/>
                    </w:rPr>
                    <w:t>Φ444.5</w:t>
                  </w:r>
                </w:p>
              </w:tc>
              <w:tc>
                <w:tcPr>
                  <w:tcW w:w="674" w:type="pct"/>
                  <w:tcBorders>
                    <w:top w:val="single" w:color="auto" w:sz="4" w:space="0"/>
                    <w:left w:val="single" w:color="auto" w:sz="4" w:space="0"/>
                    <w:bottom w:val="single" w:color="auto" w:sz="4" w:space="0"/>
                    <w:right w:val="single" w:color="auto" w:sz="4" w:space="0"/>
                  </w:tcBorders>
                  <w:vAlign w:val="center"/>
                </w:tcPr>
                <w:p w14:paraId="015F0B1F">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30-500</w:t>
                  </w:r>
                </w:p>
              </w:tc>
              <w:tc>
                <w:tcPr>
                  <w:tcW w:w="2835" w:type="pct"/>
                  <w:tcBorders>
                    <w:top w:val="single" w:color="auto" w:sz="4" w:space="0"/>
                    <w:left w:val="single" w:color="auto" w:sz="4" w:space="0"/>
                    <w:bottom w:val="single" w:color="auto" w:sz="4" w:space="0"/>
                    <w:right w:val="single" w:color="auto" w:sz="4" w:space="0"/>
                  </w:tcBorders>
                  <w:vAlign w:val="center"/>
                </w:tcPr>
                <w:p w14:paraId="363A460E">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eastAsia="宋体" w:cs="Times New Roman"/>
                      <w:color w:val="auto"/>
                      <w:highlight w:val="none"/>
                      <w:lang w:eastAsia="zh-CN" w:bidi="ar"/>
                    </w:rPr>
                    <w:t>131.22</w:t>
                  </w:r>
                </w:p>
              </w:tc>
            </w:tr>
            <w:tr w14:paraId="1485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7A836688">
                  <w:pPr>
                    <w:pStyle w:val="25"/>
                    <w:rPr>
                      <w:b w:val="0"/>
                      <w:bCs w:val="0"/>
                      <w:color w:val="auto"/>
                      <w:szCs w:val="21"/>
                      <w:highlight w:val="none"/>
                    </w:rPr>
                  </w:pPr>
                  <w:r>
                    <w:rPr>
                      <w:b w:val="0"/>
                      <w:bCs w:val="0"/>
                      <w:color w:val="auto"/>
                      <w:szCs w:val="21"/>
                      <w:highlight w:val="none"/>
                    </w:rPr>
                    <w:t>二开</w:t>
                  </w:r>
                </w:p>
              </w:tc>
              <w:tc>
                <w:tcPr>
                  <w:tcW w:w="674" w:type="pct"/>
                  <w:vMerge w:val="continue"/>
                  <w:tcBorders>
                    <w:left w:val="single" w:color="auto" w:sz="4" w:space="0"/>
                    <w:right w:val="single" w:color="auto" w:sz="4" w:space="0"/>
                  </w:tcBorders>
                  <w:vAlign w:val="center"/>
                </w:tcPr>
                <w:p w14:paraId="1E0176CE">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39377901">
                  <w:pPr>
                    <w:pStyle w:val="25"/>
                    <w:rPr>
                      <w:b w:val="0"/>
                      <w:bCs w:val="0"/>
                      <w:color w:val="auto"/>
                      <w:szCs w:val="21"/>
                      <w:highlight w:val="none"/>
                    </w:rPr>
                  </w:pPr>
                  <w:r>
                    <w:rPr>
                      <w:b w:val="0"/>
                      <w:bCs w:val="0"/>
                      <w:color w:val="auto"/>
                      <w:szCs w:val="21"/>
                      <w:highlight w:val="none"/>
                    </w:rPr>
                    <w:t>Φ311</w:t>
                  </w:r>
                </w:p>
              </w:tc>
              <w:tc>
                <w:tcPr>
                  <w:tcW w:w="674" w:type="pct"/>
                  <w:tcBorders>
                    <w:top w:val="single" w:color="auto" w:sz="4" w:space="0"/>
                    <w:left w:val="single" w:color="auto" w:sz="4" w:space="0"/>
                    <w:bottom w:val="single" w:color="auto" w:sz="4" w:space="0"/>
                    <w:right w:val="single" w:color="auto" w:sz="4" w:space="0"/>
                  </w:tcBorders>
                  <w:vAlign w:val="center"/>
                </w:tcPr>
                <w:p w14:paraId="2029EFBC">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500-3600</w:t>
                  </w:r>
                </w:p>
              </w:tc>
              <w:tc>
                <w:tcPr>
                  <w:tcW w:w="2835" w:type="pct"/>
                  <w:tcBorders>
                    <w:top w:val="single" w:color="auto" w:sz="4" w:space="0"/>
                    <w:left w:val="single" w:color="auto" w:sz="4" w:space="0"/>
                    <w:bottom w:val="single" w:color="auto" w:sz="4" w:space="0"/>
                    <w:right w:val="single" w:color="auto" w:sz="4" w:space="0"/>
                  </w:tcBorders>
                  <w:vAlign w:val="center"/>
                </w:tcPr>
                <w:p w14:paraId="03DEC702">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eastAsia="宋体" w:cs="Times New Roman"/>
                      <w:color w:val="auto"/>
                      <w:highlight w:val="none"/>
                      <w:lang w:eastAsia="zh-CN" w:bidi="ar"/>
                    </w:rPr>
                    <w:t>423.67</w:t>
                  </w:r>
                </w:p>
              </w:tc>
            </w:tr>
            <w:tr w14:paraId="29A1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57A8C6D0">
                  <w:pPr>
                    <w:pStyle w:val="25"/>
                    <w:rPr>
                      <w:b w:val="0"/>
                      <w:bCs w:val="0"/>
                      <w:color w:val="auto"/>
                      <w:szCs w:val="21"/>
                      <w:highlight w:val="none"/>
                    </w:rPr>
                  </w:pPr>
                  <w:r>
                    <w:rPr>
                      <w:b w:val="0"/>
                      <w:bCs w:val="0"/>
                      <w:color w:val="auto"/>
                      <w:szCs w:val="21"/>
                      <w:highlight w:val="none"/>
                    </w:rPr>
                    <w:t>三开</w:t>
                  </w:r>
                </w:p>
              </w:tc>
              <w:tc>
                <w:tcPr>
                  <w:tcW w:w="674" w:type="pct"/>
                  <w:vMerge w:val="continue"/>
                  <w:tcBorders>
                    <w:left w:val="single" w:color="auto" w:sz="4" w:space="0"/>
                    <w:right w:val="single" w:color="auto" w:sz="4" w:space="0"/>
                  </w:tcBorders>
                  <w:vAlign w:val="center"/>
                </w:tcPr>
                <w:p w14:paraId="00E00038">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2C7511FA">
                  <w:pPr>
                    <w:pStyle w:val="25"/>
                    <w:rPr>
                      <w:b w:val="0"/>
                      <w:bCs w:val="0"/>
                      <w:color w:val="auto"/>
                      <w:szCs w:val="21"/>
                      <w:highlight w:val="none"/>
                      <w:lang w:bidi="ar"/>
                    </w:rPr>
                  </w:pPr>
                  <w:r>
                    <w:rPr>
                      <w:b w:val="0"/>
                      <w:bCs w:val="0"/>
                      <w:color w:val="auto"/>
                      <w:szCs w:val="21"/>
                      <w:highlight w:val="none"/>
                    </w:rPr>
                    <w:t>Φ216</w:t>
                  </w:r>
                </w:p>
              </w:tc>
              <w:tc>
                <w:tcPr>
                  <w:tcW w:w="674" w:type="pct"/>
                  <w:tcBorders>
                    <w:top w:val="single" w:color="auto" w:sz="4" w:space="0"/>
                    <w:left w:val="single" w:color="auto" w:sz="4" w:space="0"/>
                    <w:bottom w:val="single" w:color="auto" w:sz="4" w:space="0"/>
                    <w:right w:val="single" w:color="auto" w:sz="4" w:space="0"/>
                  </w:tcBorders>
                  <w:vAlign w:val="center"/>
                </w:tcPr>
                <w:p w14:paraId="223F6F0D">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3600-5410</w:t>
                  </w:r>
                </w:p>
              </w:tc>
              <w:tc>
                <w:tcPr>
                  <w:tcW w:w="2835" w:type="pct"/>
                  <w:tcBorders>
                    <w:top w:val="single" w:color="auto" w:sz="4" w:space="0"/>
                    <w:left w:val="single" w:color="auto" w:sz="4" w:space="0"/>
                    <w:bottom w:val="single" w:color="auto" w:sz="4" w:space="0"/>
                    <w:right w:val="single" w:color="auto" w:sz="4" w:space="0"/>
                  </w:tcBorders>
                  <w:vAlign w:val="center"/>
                </w:tcPr>
                <w:p w14:paraId="769412C9">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eastAsia="宋体" w:cs="Times New Roman"/>
                      <w:color w:val="auto"/>
                      <w:highlight w:val="none"/>
                      <w:lang w:eastAsia="zh-CN" w:bidi="ar"/>
                    </w:rPr>
                    <w:t>119.32</w:t>
                  </w:r>
                </w:p>
              </w:tc>
            </w:tr>
            <w:tr w14:paraId="3118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5F91E9E">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阜4805H</w:t>
                  </w:r>
                </w:p>
              </w:tc>
            </w:tr>
            <w:tr w14:paraId="5049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0EF8C7CC">
                  <w:pPr>
                    <w:pStyle w:val="25"/>
                    <w:rPr>
                      <w:b w:val="0"/>
                      <w:bCs w:val="0"/>
                      <w:color w:val="auto"/>
                      <w:szCs w:val="21"/>
                      <w:highlight w:val="none"/>
                    </w:rPr>
                  </w:pPr>
                  <w:r>
                    <w:rPr>
                      <w:b w:val="0"/>
                      <w:bCs w:val="0"/>
                      <w:color w:val="auto"/>
                      <w:szCs w:val="21"/>
                      <w:highlight w:val="none"/>
                    </w:rPr>
                    <w:t>导眼</w:t>
                  </w:r>
                </w:p>
              </w:tc>
              <w:tc>
                <w:tcPr>
                  <w:tcW w:w="674" w:type="pct"/>
                  <w:vMerge w:val="restart"/>
                  <w:tcBorders>
                    <w:left w:val="single" w:color="auto" w:sz="4" w:space="0"/>
                    <w:right w:val="single" w:color="auto" w:sz="4" w:space="0"/>
                  </w:tcBorders>
                  <w:vAlign w:val="center"/>
                </w:tcPr>
                <w:p w14:paraId="791585DE">
                  <w:pPr>
                    <w:pStyle w:val="25"/>
                    <w:rPr>
                      <w:b w:val="0"/>
                      <w:bCs w:val="0"/>
                      <w:color w:val="auto"/>
                      <w:szCs w:val="21"/>
                      <w:highlight w:val="none"/>
                    </w:rPr>
                  </w:pPr>
                  <w:r>
                    <w:rPr>
                      <w:b w:val="0"/>
                      <w:bCs w:val="0"/>
                      <w:color w:val="auto"/>
                      <w:szCs w:val="21"/>
                      <w:highlight w:val="none"/>
                    </w:rPr>
                    <w:t>水基钻井液</w:t>
                  </w:r>
                </w:p>
              </w:tc>
              <w:tc>
                <w:tcPr>
                  <w:tcW w:w="541" w:type="pct"/>
                  <w:tcBorders>
                    <w:top w:val="single" w:color="auto" w:sz="4" w:space="0"/>
                    <w:left w:val="single" w:color="auto" w:sz="4" w:space="0"/>
                    <w:bottom w:val="single" w:color="auto" w:sz="4" w:space="0"/>
                    <w:right w:val="single" w:color="auto" w:sz="4" w:space="0"/>
                  </w:tcBorders>
                  <w:vAlign w:val="center"/>
                </w:tcPr>
                <w:p w14:paraId="49BD8EA8">
                  <w:pPr>
                    <w:pStyle w:val="25"/>
                    <w:rPr>
                      <w:b w:val="0"/>
                      <w:bCs w:val="0"/>
                      <w:color w:val="auto"/>
                      <w:szCs w:val="21"/>
                      <w:highlight w:val="none"/>
                    </w:rPr>
                  </w:pPr>
                  <w:r>
                    <w:rPr>
                      <w:b w:val="0"/>
                      <w:bCs w:val="0"/>
                      <w:color w:val="auto"/>
                      <w:szCs w:val="21"/>
                      <w:highlight w:val="none"/>
                    </w:rPr>
                    <w:t>Φ660</w:t>
                  </w:r>
                </w:p>
              </w:tc>
              <w:tc>
                <w:tcPr>
                  <w:tcW w:w="674" w:type="pct"/>
                  <w:tcBorders>
                    <w:top w:val="single" w:color="auto" w:sz="4" w:space="0"/>
                    <w:left w:val="single" w:color="auto" w:sz="4" w:space="0"/>
                    <w:bottom w:val="single" w:color="auto" w:sz="4" w:space="0"/>
                    <w:right w:val="single" w:color="auto" w:sz="4" w:space="0"/>
                  </w:tcBorders>
                  <w:vAlign w:val="center"/>
                </w:tcPr>
                <w:p w14:paraId="0816AA5C">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0-50</w:t>
                  </w:r>
                </w:p>
              </w:tc>
              <w:tc>
                <w:tcPr>
                  <w:tcW w:w="2835" w:type="pct"/>
                  <w:tcBorders>
                    <w:top w:val="single" w:color="auto" w:sz="4" w:space="0"/>
                    <w:left w:val="single" w:color="auto" w:sz="4" w:space="0"/>
                    <w:bottom w:val="single" w:color="auto" w:sz="4" w:space="0"/>
                    <w:right w:val="single" w:color="auto" w:sz="4" w:space="0"/>
                  </w:tcBorders>
                </w:tcPr>
                <w:p w14:paraId="68925167">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rPr>
                    <w:t>30.78</w:t>
                  </w:r>
                </w:p>
              </w:tc>
            </w:tr>
            <w:tr w14:paraId="2104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3AA1E874">
                  <w:pPr>
                    <w:pStyle w:val="25"/>
                    <w:rPr>
                      <w:b w:val="0"/>
                      <w:bCs w:val="0"/>
                      <w:color w:val="auto"/>
                      <w:szCs w:val="21"/>
                      <w:highlight w:val="none"/>
                    </w:rPr>
                  </w:pPr>
                  <w:r>
                    <w:rPr>
                      <w:b w:val="0"/>
                      <w:bCs w:val="0"/>
                      <w:color w:val="auto"/>
                      <w:szCs w:val="21"/>
                      <w:highlight w:val="none"/>
                    </w:rPr>
                    <w:t>一开</w:t>
                  </w:r>
                </w:p>
              </w:tc>
              <w:tc>
                <w:tcPr>
                  <w:tcW w:w="674" w:type="pct"/>
                  <w:vMerge w:val="continue"/>
                  <w:tcBorders>
                    <w:left w:val="single" w:color="auto" w:sz="4" w:space="0"/>
                    <w:right w:val="single" w:color="auto" w:sz="4" w:space="0"/>
                  </w:tcBorders>
                  <w:vAlign w:val="center"/>
                </w:tcPr>
                <w:p w14:paraId="705F882C">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1BF7FE9E">
                  <w:pPr>
                    <w:pStyle w:val="25"/>
                    <w:rPr>
                      <w:b w:val="0"/>
                      <w:bCs w:val="0"/>
                      <w:color w:val="auto"/>
                      <w:szCs w:val="21"/>
                      <w:highlight w:val="none"/>
                    </w:rPr>
                  </w:pPr>
                  <w:r>
                    <w:rPr>
                      <w:b w:val="0"/>
                      <w:bCs w:val="0"/>
                      <w:color w:val="auto"/>
                      <w:szCs w:val="21"/>
                      <w:highlight w:val="none"/>
                    </w:rPr>
                    <w:t>Φ444.5</w:t>
                  </w:r>
                </w:p>
              </w:tc>
              <w:tc>
                <w:tcPr>
                  <w:tcW w:w="674" w:type="pct"/>
                  <w:tcBorders>
                    <w:top w:val="single" w:color="auto" w:sz="4" w:space="0"/>
                    <w:left w:val="single" w:color="auto" w:sz="4" w:space="0"/>
                    <w:bottom w:val="single" w:color="auto" w:sz="4" w:space="0"/>
                    <w:right w:val="single" w:color="auto" w:sz="4" w:space="0"/>
                  </w:tcBorders>
                  <w:vAlign w:val="center"/>
                </w:tcPr>
                <w:p w14:paraId="13EFA5FA">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50-500</w:t>
                  </w:r>
                </w:p>
              </w:tc>
              <w:tc>
                <w:tcPr>
                  <w:tcW w:w="2835" w:type="pct"/>
                  <w:tcBorders>
                    <w:top w:val="single" w:color="auto" w:sz="4" w:space="0"/>
                    <w:left w:val="single" w:color="auto" w:sz="4" w:space="0"/>
                    <w:bottom w:val="single" w:color="auto" w:sz="4" w:space="0"/>
                    <w:right w:val="single" w:color="auto" w:sz="4" w:space="0"/>
                  </w:tcBorders>
                </w:tcPr>
                <w:p w14:paraId="6BBF3299">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rPr>
                    <w:t>125.63</w:t>
                  </w:r>
                </w:p>
              </w:tc>
            </w:tr>
            <w:tr w14:paraId="747B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5746BB9E">
                  <w:pPr>
                    <w:pStyle w:val="25"/>
                    <w:rPr>
                      <w:b w:val="0"/>
                      <w:bCs w:val="0"/>
                      <w:color w:val="auto"/>
                      <w:szCs w:val="21"/>
                      <w:highlight w:val="none"/>
                    </w:rPr>
                  </w:pPr>
                  <w:r>
                    <w:rPr>
                      <w:b w:val="0"/>
                      <w:bCs w:val="0"/>
                      <w:color w:val="auto"/>
                      <w:szCs w:val="21"/>
                      <w:highlight w:val="none"/>
                    </w:rPr>
                    <w:t>二开</w:t>
                  </w:r>
                </w:p>
              </w:tc>
              <w:tc>
                <w:tcPr>
                  <w:tcW w:w="674" w:type="pct"/>
                  <w:vMerge w:val="continue"/>
                  <w:tcBorders>
                    <w:left w:val="single" w:color="auto" w:sz="4" w:space="0"/>
                    <w:right w:val="single" w:color="auto" w:sz="4" w:space="0"/>
                  </w:tcBorders>
                  <w:vAlign w:val="center"/>
                </w:tcPr>
                <w:p w14:paraId="4F987304">
                  <w:pPr>
                    <w:pStyle w:val="25"/>
                    <w:rPr>
                      <w:b w:val="0"/>
                      <w:bCs w:val="0"/>
                      <w:color w:val="auto"/>
                      <w:szCs w:val="21"/>
                      <w:highlight w:val="none"/>
                    </w:rPr>
                  </w:pPr>
                </w:p>
              </w:tc>
              <w:tc>
                <w:tcPr>
                  <w:tcW w:w="541" w:type="pct"/>
                  <w:tcBorders>
                    <w:top w:val="single" w:color="auto" w:sz="4" w:space="0"/>
                    <w:left w:val="single" w:color="auto" w:sz="4" w:space="0"/>
                    <w:bottom w:val="single" w:color="auto" w:sz="4" w:space="0"/>
                    <w:right w:val="single" w:color="auto" w:sz="4" w:space="0"/>
                  </w:tcBorders>
                  <w:vAlign w:val="center"/>
                </w:tcPr>
                <w:p w14:paraId="26813965">
                  <w:pPr>
                    <w:pStyle w:val="25"/>
                    <w:rPr>
                      <w:b w:val="0"/>
                      <w:bCs w:val="0"/>
                      <w:color w:val="auto"/>
                      <w:szCs w:val="21"/>
                      <w:highlight w:val="none"/>
                    </w:rPr>
                  </w:pPr>
                  <w:r>
                    <w:rPr>
                      <w:b w:val="0"/>
                      <w:bCs w:val="0"/>
                      <w:color w:val="auto"/>
                      <w:szCs w:val="21"/>
                      <w:highlight w:val="none"/>
                    </w:rPr>
                    <w:t>Φ311</w:t>
                  </w:r>
                </w:p>
              </w:tc>
              <w:tc>
                <w:tcPr>
                  <w:tcW w:w="674" w:type="pct"/>
                  <w:tcBorders>
                    <w:top w:val="single" w:color="auto" w:sz="4" w:space="0"/>
                    <w:left w:val="single" w:color="auto" w:sz="4" w:space="0"/>
                    <w:bottom w:val="single" w:color="auto" w:sz="4" w:space="0"/>
                    <w:right w:val="single" w:color="auto" w:sz="4" w:space="0"/>
                  </w:tcBorders>
                  <w:vAlign w:val="center"/>
                </w:tcPr>
                <w:p w14:paraId="4683A278">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500-3730</w:t>
                  </w:r>
                </w:p>
              </w:tc>
              <w:tc>
                <w:tcPr>
                  <w:tcW w:w="2835" w:type="pct"/>
                  <w:tcBorders>
                    <w:top w:val="single" w:color="auto" w:sz="4" w:space="0"/>
                    <w:left w:val="single" w:color="auto" w:sz="4" w:space="0"/>
                    <w:bottom w:val="single" w:color="auto" w:sz="4" w:space="0"/>
                    <w:right w:val="single" w:color="auto" w:sz="4" w:space="0"/>
                  </w:tcBorders>
                </w:tcPr>
                <w:p w14:paraId="42FCBA13">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rPr>
                    <w:t>441.43</w:t>
                  </w:r>
                </w:p>
              </w:tc>
            </w:tr>
            <w:tr w14:paraId="7AA0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359EFA80">
                  <w:pPr>
                    <w:pStyle w:val="25"/>
                    <w:rPr>
                      <w:b w:val="0"/>
                      <w:bCs w:val="0"/>
                      <w:color w:val="auto"/>
                      <w:szCs w:val="21"/>
                      <w:highlight w:val="none"/>
                    </w:rPr>
                  </w:pPr>
                  <w:r>
                    <w:rPr>
                      <w:b w:val="0"/>
                      <w:bCs w:val="0"/>
                      <w:color w:val="auto"/>
                      <w:szCs w:val="21"/>
                      <w:highlight w:val="none"/>
                    </w:rPr>
                    <w:t>三开</w:t>
                  </w:r>
                </w:p>
              </w:tc>
              <w:tc>
                <w:tcPr>
                  <w:tcW w:w="674" w:type="pct"/>
                  <w:tcBorders>
                    <w:left w:val="single" w:color="auto" w:sz="4" w:space="0"/>
                    <w:right w:val="single" w:color="auto" w:sz="4" w:space="0"/>
                  </w:tcBorders>
                  <w:vAlign w:val="center"/>
                </w:tcPr>
                <w:p w14:paraId="2EFCDDA3">
                  <w:pPr>
                    <w:pStyle w:val="25"/>
                    <w:rPr>
                      <w:b w:val="0"/>
                      <w:bCs w:val="0"/>
                      <w:color w:val="auto"/>
                      <w:szCs w:val="21"/>
                      <w:highlight w:val="none"/>
                    </w:rPr>
                  </w:pPr>
                  <w:r>
                    <w:rPr>
                      <w:b w:val="0"/>
                      <w:bCs w:val="0"/>
                      <w:color w:val="auto"/>
                      <w:szCs w:val="21"/>
                      <w:highlight w:val="none"/>
                    </w:rPr>
                    <w:t>油基钻井液</w:t>
                  </w:r>
                </w:p>
              </w:tc>
              <w:tc>
                <w:tcPr>
                  <w:tcW w:w="541" w:type="pct"/>
                  <w:tcBorders>
                    <w:top w:val="single" w:color="auto" w:sz="4" w:space="0"/>
                    <w:left w:val="single" w:color="auto" w:sz="4" w:space="0"/>
                    <w:bottom w:val="single" w:color="auto" w:sz="4" w:space="0"/>
                    <w:right w:val="single" w:color="auto" w:sz="4" w:space="0"/>
                  </w:tcBorders>
                  <w:vAlign w:val="center"/>
                </w:tcPr>
                <w:p w14:paraId="35CF8797">
                  <w:pPr>
                    <w:pStyle w:val="25"/>
                    <w:rPr>
                      <w:b w:val="0"/>
                      <w:bCs w:val="0"/>
                      <w:color w:val="auto"/>
                      <w:szCs w:val="21"/>
                      <w:highlight w:val="none"/>
                    </w:rPr>
                  </w:pPr>
                  <w:r>
                    <w:rPr>
                      <w:b w:val="0"/>
                      <w:bCs w:val="0"/>
                      <w:color w:val="auto"/>
                      <w:szCs w:val="21"/>
                      <w:highlight w:val="none"/>
                    </w:rPr>
                    <w:t>Φ216</w:t>
                  </w:r>
                </w:p>
              </w:tc>
              <w:tc>
                <w:tcPr>
                  <w:tcW w:w="674" w:type="pct"/>
                  <w:tcBorders>
                    <w:top w:val="single" w:color="auto" w:sz="4" w:space="0"/>
                    <w:left w:val="single" w:color="auto" w:sz="4" w:space="0"/>
                    <w:bottom w:val="single" w:color="auto" w:sz="4" w:space="0"/>
                    <w:right w:val="single" w:color="auto" w:sz="4" w:space="0"/>
                  </w:tcBorders>
                  <w:vAlign w:val="center"/>
                </w:tcPr>
                <w:p w14:paraId="7591695E">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lang w:eastAsia="zh-CN" w:bidi="ar"/>
                    </w:rPr>
                    <w:t>3730-6992</w:t>
                  </w:r>
                </w:p>
              </w:tc>
              <w:tc>
                <w:tcPr>
                  <w:tcW w:w="2835" w:type="pct"/>
                  <w:tcBorders>
                    <w:top w:val="single" w:color="auto" w:sz="4" w:space="0"/>
                    <w:left w:val="single" w:color="auto" w:sz="4" w:space="0"/>
                    <w:bottom w:val="single" w:color="auto" w:sz="4" w:space="0"/>
                    <w:right w:val="single" w:color="auto" w:sz="4" w:space="0"/>
                  </w:tcBorders>
                </w:tcPr>
                <w:p w14:paraId="66844038">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2</w:t>
                  </w:r>
                  <w:r>
                    <w:rPr>
                      <w:rFonts w:ascii="Times New Roman" w:hAnsi="Times New Roman" w:cs="Times New Roman" w:eastAsiaTheme="minorEastAsia"/>
                      <w:color w:val="auto"/>
                      <w:highlight w:val="none"/>
                      <w:lang w:eastAsia="zh-CN"/>
                    </w:rPr>
                    <w:t>15.05</w:t>
                  </w:r>
                </w:p>
              </w:tc>
            </w:tr>
            <w:tr w14:paraId="3D46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2164" w:type="pct"/>
                  <w:gridSpan w:val="4"/>
                  <w:tcBorders>
                    <w:top w:val="single" w:color="auto" w:sz="4" w:space="0"/>
                    <w:left w:val="single" w:color="auto" w:sz="4" w:space="0"/>
                    <w:bottom w:val="single" w:color="auto" w:sz="4" w:space="0"/>
                    <w:right w:val="single" w:color="auto" w:sz="4" w:space="0"/>
                  </w:tcBorders>
                  <w:vAlign w:val="center"/>
                </w:tcPr>
                <w:p w14:paraId="7D7F7B6D">
                  <w:pPr>
                    <w:kinsoku/>
                    <w:jc w:val="center"/>
                    <w:textAlignment w:val="center"/>
                    <w:rPr>
                      <w:rFonts w:ascii="Times New Roman" w:hAnsi="Times New Roman" w:cs="Times New Roman" w:eastAsiaTheme="minorEastAsia"/>
                      <w:color w:val="auto"/>
                      <w:highlight w:val="none"/>
                      <w:lang w:eastAsia="zh-CN" w:bidi="ar"/>
                    </w:rPr>
                  </w:pPr>
                  <w:r>
                    <w:rPr>
                      <w:rFonts w:ascii="Times New Roman" w:hAnsi="Times New Roman" w:cs="Times New Roman" w:eastAsiaTheme="minorEastAsia"/>
                      <w:color w:val="auto"/>
                      <w:highlight w:val="none"/>
                    </w:rPr>
                    <w:t>合计</w:t>
                  </w:r>
                </w:p>
              </w:tc>
              <w:tc>
                <w:tcPr>
                  <w:tcW w:w="2835" w:type="pct"/>
                  <w:tcBorders>
                    <w:top w:val="single" w:color="auto" w:sz="4" w:space="0"/>
                    <w:left w:val="single" w:color="auto" w:sz="4" w:space="0"/>
                    <w:bottom w:val="single" w:color="auto" w:sz="4" w:space="0"/>
                    <w:right w:val="single" w:color="auto" w:sz="4" w:space="0"/>
                  </w:tcBorders>
                </w:tcPr>
                <w:p w14:paraId="1EAF11B1">
                  <w:pPr>
                    <w:kinsoku/>
                    <w:jc w:val="center"/>
                    <w:textAlignment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1505.57，其中水基岩屑1290.52，油基岩屑215.05</w:t>
                  </w:r>
                </w:p>
              </w:tc>
            </w:tr>
          </w:tbl>
          <w:p w14:paraId="53D6EC61">
            <w:pPr>
              <w:pStyle w:val="28"/>
              <w:widowControl w:val="0"/>
              <w:kinsoku/>
              <w:ind w:firstLine="0" w:firstLineChars="0"/>
              <w:rPr>
                <w:rFonts w:ascii="Times New Roman" w:hAnsi="Times New Roman" w:eastAsia="宋体" w:cs="Times New Roman"/>
                <w:b/>
                <w:bCs/>
                <w:color w:val="auto"/>
                <w:highlight w:val="none"/>
                <w:lang w:eastAsia="zh-CN"/>
              </w:rPr>
            </w:pPr>
          </w:p>
          <w:p w14:paraId="5DA12FD2">
            <w:pPr>
              <w:pStyle w:val="22"/>
              <w:widowControl w:val="0"/>
              <w:kinsoku/>
              <w:spacing w:before="38" w:line="360" w:lineRule="auto"/>
              <w:ind w:right="4" w:firstLine="480"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根据中国石油天然气股份有限公司吐哈油田分公司准东采油管理区钻井工程相关要求，钻井过程中产生的水基岩屑均由建设单位负责监管，油基岩屑委托有资质的单位进行处置。</w:t>
            </w:r>
          </w:p>
          <w:p w14:paraId="28314225">
            <w:pPr>
              <w:pStyle w:val="22"/>
              <w:widowControl w:val="0"/>
              <w:kinsoku/>
              <w:spacing w:before="38" w:line="360" w:lineRule="auto"/>
              <w:ind w:left="3" w:right="4" w:firstLine="48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本项目产生的废弃水基钻井泥浆及岩屑采用“不落地”系统处理。经固液分离后，液相回收用于配制新钻井液；固相（水基岩屑）</w:t>
            </w:r>
            <w:r>
              <w:rPr>
                <w:rFonts w:hint="eastAsia" w:ascii="Times New Roman" w:hAnsi="Times New Roman" w:cs="Times New Roman"/>
                <w:color w:val="auto"/>
                <w:spacing w:val="-2"/>
                <w:sz w:val="24"/>
                <w:szCs w:val="24"/>
                <w:highlight w:val="none"/>
                <w:lang w:val="en-US" w:eastAsia="zh-CN"/>
              </w:rPr>
              <w:t>委托第三方处置，</w:t>
            </w:r>
            <w:r>
              <w:rPr>
                <w:rFonts w:ascii="Times New Roman" w:hAnsi="Times New Roman" w:cs="Times New Roman"/>
                <w:color w:val="auto"/>
                <w:spacing w:val="-2"/>
                <w:sz w:val="24"/>
                <w:szCs w:val="24"/>
                <w:highlight w:val="none"/>
                <w:lang w:eastAsia="zh-CN"/>
              </w:rPr>
              <w:t>检测满足《油气田钻井固体废物综合利用污染控制要求》（DB 65/T3997-2017）相关标准限值后，优先实现资源化利用；无法利用部分运至当地合规的填埋场填埋。 合理性分析：该处置方式符合“减量化、资源化、无害化”原则。水基岩屑主要成分为岩石碎屑和膨润土，不含重金属等有毒有害物质，经脱水处理后理化性质稳定。用于铺路既解决了固废出路，又减少了筑路取土对地貌的扰动，技术成熟可靠，符合新疆维吾尔自治区及当地环保管理要求，处置方式合理可行。</w:t>
            </w:r>
          </w:p>
          <w:p w14:paraId="04C350E6">
            <w:pPr>
              <w:pStyle w:val="22"/>
              <w:widowControl w:val="0"/>
              <w:kinsoku/>
              <w:spacing w:line="360" w:lineRule="auto"/>
              <w:ind w:left="3"/>
              <w:jc w:val="both"/>
              <w:rPr>
                <w:rFonts w:ascii="Times New Roman" w:hAnsi="Times New Roman" w:cs="Times New Roman"/>
                <w:color w:val="auto"/>
                <w:sz w:val="24"/>
                <w:szCs w:val="24"/>
                <w:highlight w:val="none"/>
                <w:lang w:eastAsia="zh-CN"/>
              </w:rPr>
            </w:pPr>
            <w:r>
              <w:rPr>
                <w:rFonts w:ascii="Times New Roman" w:hAnsi="Times New Roman" w:cs="Times New Roman"/>
                <w:b/>
                <w:bCs/>
                <w:color w:val="auto"/>
                <w:spacing w:val="-3"/>
                <w:sz w:val="24"/>
                <w:szCs w:val="24"/>
                <w:highlight w:val="none"/>
                <w:lang w:eastAsia="zh-CN"/>
              </w:rPr>
              <w:t>6.3生活垃圾</w:t>
            </w:r>
          </w:p>
          <w:p w14:paraId="540337A8">
            <w:pPr>
              <w:pStyle w:val="22"/>
              <w:widowControl w:val="0"/>
              <w:kinsoku/>
              <w:spacing w:before="38" w:line="360" w:lineRule="auto"/>
              <w:ind w:left="3" w:right="4" w:firstLine="48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施工期生活垃圾产生量按0.8kg/人·d计算，</w:t>
            </w:r>
            <w:r>
              <w:rPr>
                <w:rFonts w:ascii="Times New Roman" w:hAnsi="Times New Roman" w:cs="Times New Roman"/>
                <w:color w:val="auto"/>
                <w:spacing w:val="4"/>
                <w:sz w:val="24"/>
                <w:szCs w:val="24"/>
                <w:highlight w:val="none"/>
                <w:lang w:eastAsia="zh-CN"/>
              </w:rPr>
              <w:t>钻井期钻井人数30人，单井钻井天数90天，本工程设置2口评价井</w:t>
            </w:r>
            <w:r>
              <w:rPr>
                <w:rFonts w:hint="eastAsia" w:ascii="Times New Roman" w:hAnsi="Times New Roman" w:cs="Times New Roman"/>
                <w:color w:val="auto"/>
                <w:spacing w:val="4"/>
                <w:sz w:val="24"/>
                <w:szCs w:val="24"/>
                <w:highlight w:val="none"/>
                <w:lang w:eastAsia="zh-CN"/>
              </w:rPr>
              <w:t>，</w:t>
            </w:r>
            <w:r>
              <w:rPr>
                <w:rFonts w:ascii="Times New Roman" w:hAnsi="Times New Roman" w:cs="Times New Roman"/>
                <w:color w:val="auto"/>
                <w:spacing w:val="-2"/>
                <w:sz w:val="24"/>
                <w:szCs w:val="24"/>
                <w:highlight w:val="none"/>
                <w:lang w:eastAsia="zh-CN"/>
              </w:rPr>
              <w:t>则施工期间生活垃圾产生量约4.32t，生活垃圾集中收集后委托第三方拉运至当地垃圾场处理。</w:t>
            </w:r>
          </w:p>
          <w:p w14:paraId="1A7B1966">
            <w:pPr>
              <w:pStyle w:val="22"/>
              <w:widowControl w:val="0"/>
              <w:kinsoku/>
              <w:spacing w:before="2" w:line="360" w:lineRule="auto"/>
              <w:ind w:left="3"/>
              <w:jc w:val="both"/>
              <w:rPr>
                <w:rFonts w:ascii="Times New Roman" w:hAnsi="Times New Roman" w:cs="Times New Roman"/>
                <w:b/>
                <w:bCs/>
                <w:color w:val="auto"/>
                <w:spacing w:val="-3"/>
                <w:sz w:val="24"/>
                <w:szCs w:val="24"/>
                <w:highlight w:val="none"/>
                <w:lang w:eastAsia="zh-CN"/>
              </w:rPr>
            </w:pPr>
            <w:r>
              <w:rPr>
                <w:rFonts w:ascii="Times New Roman" w:hAnsi="Times New Roman" w:cs="Times New Roman"/>
                <w:b/>
                <w:bCs/>
                <w:color w:val="auto"/>
                <w:spacing w:val="-3"/>
                <w:sz w:val="24"/>
                <w:szCs w:val="24"/>
                <w:highlight w:val="none"/>
                <w:lang w:eastAsia="zh-CN"/>
              </w:rPr>
              <w:t>6.4废防渗材料</w:t>
            </w:r>
          </w:p>
          <w:p w14:paraId="7F8A3112">
            <w:pPr>
              <w:pStyle w:val="22"/>
              <w:widowControl w:val="0"/>
              <w:kinsoku/>
              <w:spacing w:before="2" w:line="360" w:lineRule="auto"/>
              <w:ind w:left="3" w:firstLine="472"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2"/>
                <w:sz w:val="24"/>
                <w:szCs w:val="24"/>
                <w:highlight w:val="none"/>
                <w:lang w:eastAsia="zh-CN"/>
              </w:rPr>
              <w:t>施工结束对场地进行清理时，会产生在防渗区域铺设的废防渗材料，拆除的未破损且未沾油的防渗材料由建设单位集中回收利用，类比其他钻井井场施工经</w:t>
            </w:r>
            <w:r>
              <w:rPr>
                <w:rFonts w:ascii="Times New Roman" w:hAnsi="Times New Roman" w:cs="Times New Roman"/>
                <w:color w:val="auto"/>
                <w:spacing w:val="-1"/>
                <w:sz w:val="24"/>
                <w:szCs w:val="24"/>
                <w:highlight w:val="none"/>
                <w:lang w:eastAsia="zh-CN"/>
              </w:rPr>
              <w:t>验，沾油的废防渗材料产生量约0.02t/井，本项目共计2口勘探井，预计产生量约为0.04t。沾油的</w:t>
            </w:r>
            <w:r>
              <w:rPr>
                <w:rFonts w:ascii="Times New Roman" w:hAnsi="Times New Roman" w:cs="Times New Roman"/>
                <w:color w:val="auto"/>
                <w:sz w:val="24"/>
                <w:szCs w:val="24"/>
                <w:highlight w:val="none"/>
                <w:lang w:eastAsia="zh-CN"/>
              </w:rPr>
              <w:t>废防渗材料属于《国家危险废物名录》（2025年版）中的</w:t>
            </w:r>
            <w:r>
              <w:rPr>
                <w:rFonts w:ascii="Times New Roman" w:hAnsi="Times New Roman" w:cs="Times New Roman"/>
                <w:color w:val="auto"/>
                <w:spacing w:val="-1"/>
                <w:sz w:val="24"/>
                <w:szCs w:val="24"/>
                <w:highlight w:val="none"/>
                <w:lang w:eastAsia="zh-CN"/>
              </w:rPr>
              <w:t>HW08废矿物油与含矿物油类危险废物（废物代码为900-249-08，危险特</w:t>
            </w:r>
            <w:r>
              <w:rPr>
                <w:rFonts w:ascii="Times New Roman" w:hAnsi="Times New Roman" w:cs="Times New Roman"/>
                <w:color w:val="auto"/>
                <w:spacing w:val="-2"/>
                <w:sz w:val="24"/>
                <w:szCs w:val="24"/>
                <w:highlight w:val="none"/>
                <w:lang w:eastAsia="zh-CN"/>
              </w:rPr>
              <w:t>性为毒性和易燃性</w:t>
            </w:r>
            <w:r>
              <w:rPr>
                <w:rFonts w:ascii="Times New Roman" w:hAnsi="Times New Roman" w:cs="Times New Roman"/>
                <w:color w:val="auto"/>
                <w:spacing w:val="4"/>
                <w:sz w:val="24"/>
                <w:szCs w:val="24"/>
                <w:highlight w:val="none"/>
                <w:lang w:eastAsia="zh-CN"/>
              </w:rPr>
              <w:t>），</w:t>
            </w:r>
            <w:r>
              <w:rPr>
                <w:rFonts w:ascii="Times New Roman" w:hAnsi="Times New Roman" w:cs="Times New Roman"/>
                <w:color w:val="auto"/>
                <w:spacing w:val="-2"/>
                <w:sz w:val="24"/>
                <w:szCs w:val="24"/>
                <w:highlight w:val="none"/>
                <w:lang w:eastAsia="zh-CN"/>
              </w:rPr>
              <w:t>施工结</w:t>
            </w:r>
            <w:r>
              <w:rPr>
                <w:rFonts w:ascii="Times New Roman" w:hAnsi="Times New Roman" w:cs="Times New Roman"/>
                <w:color w:val="auto"/>
                <w:spacing w:val="-1"/>
                <w:sz w:val="24"/>
                <w:szCs w:val="24"/>
                <w:highlight w:val="none"/>
                <w:lang w:eastAsia="zh-CN"/>
              </w:rPr>
              <w:t>束后委托具有相应危险废物处置资质的单位进行处置。</w:t>
            </w:r>
          </w:p>
          <w:p w14:paraId="738989A1">
            <w:pPr>
              <w:pStyle w:val="22"/>
              <w:widowControl w:val="0"/>
              <w:kinsoku/>
              <w:spacing w:before="38" w:line="359" w:lineRule="auto"/>
              <w:ind w:right="4"/>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6.5落地油</w:t>
            </w:r>
          </w:p>
          <w:p w14:paraId="4BCC85F4">
            <w:pPr>
              <w:pStyle w:val="22"/>
              <w:widowControl w:val="0"/>
              <w:kinsoku/>
              <w:spacing w:before="2" w:line="360" w:lineRule="auto"/>
              <w:ind w:left="3" w:firstLine="472" w:firstLineChars="200"/>
              <w:jc w:val="both"/>
              <w:rPr>
                <w:rFonts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lang w:val="en-US" w:eastAsia="zh-CN"/>
              </w:rPr>
              <w:t>1</w:t>
            </w:r>
            <w:r>
              <w:rPr>
                <w:rFonts w:hint="eastAsia" w:ascii="Times New Roman" w:hAnsi="Times New Roman" w:eastAsia="宋体" w:cs="Times New Roman"/>
                <w:color w:val="auto"/>
                <w:spacing w:val="-2"/>
                <w:sz w:val="24"/>
                <w:szCs w:val="24"/>
                <w:highlight w:val="none"/>
                <w:lang w:eastAsia="zh-CN"/>
              </w:rPr>
              <w:t>）</w:t>
            </w:r>
            <w:r>
              <w:rPr>
                <w:rFonts w:ascii="Times New Roman" w:hAnsi="Times New Roman" w:eastAsia="宋体" w:cs="Times New Roman"/>
                <w:color w:val="auto"/>
                <w:spacing w:val="-2"/>
                <w:sz w:val="24"/>
                <w:szCs w:val="24"/>
                <w:highlight w:val="none"/>
                <w:lang w:eastAsia="zh-CN"/>
              </w:rPr>
              <w:t>产生情况</w:t>
            </w:r>
          </w:p>
          <w:p w14:paraId="3F9192FF">
            <w:pPr>
              <w:pStyle w:val="22"/>
              <w:widowControl w:val="0"/>
              <w:kinsoku/>
              <w:spacing w:before="2" w:line="360" w:lineRule="auto"/>
              <w:ind w:left="3" w:firstLine="472" w:firstLineChars="20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本工程钻井期和试油期间事故状态下可能产生少量落地原油和含油污泥，落地油要求100%回收。本工程试油期产生的液体首先进入试油产液缓冲罐后，采用槽车安装抽油泵的抽汲方式将试油产液吸入罐车，试油过程敷设防渗布。落地油产生量很小。根据相关资料，探井单井试油期产生的落地油产生量约在10-50kg/口。由于探井存在不出油的可能性。只有在有油条件下可能产生落地油，不出油时则没有落地油产生。假设本项目钻井全部出油，则落地油泥产生量共计0.1t。</w:t>
            </w:r>
          </w:p>
          <w:p w14:paraId="1A2A7C86">
            <w:pPr>
              <w:pStyle w:val="22"/>
              <w:widowControl w:val="0"/>
              <w:kinsoku/>
              <w:spacing w:before="2" w:line="360" w:lineRule="auto"/>
              <w:ind w:left="3" w:firstLine="472" w:firstLineChars="200"/>
              <w:jc w:val="both"/>
              <w:rPr>
                <w:rFonts w:ascii="Times New Roman" w:hAnsi="Times New Roman" w:eastAsia="宋体" w:cs="Times New Roman"/>
                <w:color w:val="auto"/>
                <w:spacing w:val="-2"/>
                <w:sz w:val="24"/>
                <w:szCs w:val="24"/>
                <w:highlight w:val="none"/>
                <w:lang w:eastAsia="zh-CN"/>
              </w:rPr>
            </w:pP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lang w:val="en-US" w:eastAsia="zh-CN"/>
              </w:rPr>
              <w:t>2</w:t>
            </w:r>
            <w:r>
              <w:rPr>
                <w:rFonts w:hint="eastAsia" w:ascii="Times New Roman" w:hAnsi="Times New Roman" w:eastAsia="宋体" w:cs="Times New Roman"/>
                <w:color w:val="auto"/>
                <w:spacing w:val="-2"/>
                <w:sz w:val="24"/>
                <w:szCs w:val="24"/>
                <w:highlight w:val="none"/>
                <w:lang w:eastAsia="zh-CN"/>
              </w:rPr>
              <w:t>）</w:t>
            </w:r>
            <w:r>
              <w:rPr>
                <w:rFonts w:ascii="Times New Roman" w:hAnsi="Times New Roman" w:eastAsia="宋体" w:cs="Times New Roman"/>
                <w:color w:val="auto"/>
                <w:spacing w:val="-2"/>
                <w:sz w:val="24"/>
                <w:szCs w:val="24"/>
                <w:highlight w:val="none"/>
                <w:lang w:eastAsia="zh-CN"/>
              </w:rPr>
              <w:t>存储方式</w:t>
            </w:r>
          </w:p>
          <w:p w14:paraId="0C39A59D">
            <w:pPr>
              <w:pStyle w:val="22"/>
              <w:widowControl w:val="0"/>
              <w:kinsoku/>
              <w:spacing w:before="2" w:line="360" w:lineRule="auto"/>
              <w:ind w:left="3" w:firstLine="472" w:firstLineChars="20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 xml:space="preserve">井场设置专门的危废暂存间（重点防渗），内设专用密闭钢制油桶用于收集落地油，油桶张贴规范的危废标签。落地油产生后立即人工清理收集装桶，严禁露天散堆或直接掩埋。 </w:t>
            </w:r>
          </w:p>
          <w:p w14:paraId="455F29F6">
            <w:pPr>
              <w:pStyle w:val="22"/>
              <w:widowControl w:val="0"/>
              <w:numPr>
                <w:ilvl w:val="0"/>
                <w:numId w:val="7"/>
              </w:numPr>
              <w:kinsoku/>
              <w:spacing w:before="2" w:line="360" w:lineRule="auto"/>
              <w:ind w:left="3" w:firstLine="472" w:firstLineChars="20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清运频次</w:t>
            </w:r>
          </w:p>
          <w:p w14:paraId="29814618">
            <w:pPr>
              <w:pStyle w:val="22"/>
              <w:widowControl w:val="0"/>
              <w:kinsoku/>
              <w:spacing w:before="2" w:line="360" w:lineRule="auto"/>
              <w:ind w:left="3" w:firstLine="472" w:firstLineChars="20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采取“累积收集、定期清运”的原则。</w:t>
            </w:r>
            <w:r>
              <w:rPr>
                <w:rFonts w:hint="eastAsia" w:ascii="Times New Roman" w:hAnsi="Times New Roman" w:eastAsia="宋体" w:cs="Times New Roman"/>
                <w:color w:val="auto"/>
                <w:spacing w:val="-2"/>
                <w:sz w:val="24"/>
                <w:szCs w:val="24"/>
                <w:highlight w:val="none"/>
                <w:lang w:val="en-US" w:eastAsia="zh-CN"/>
              </w:rPr>
              <w:t>钻井期</w:t>
            </w:r>
            <w:r>
              <w:rPr>
                <w:rFonts w:ascii="Times New Roman" w:hAnsi="Times New Roman" w:eastAsia="宋体" w:cs="Times New Roman"/>
                <w:color w:val="auto"/>
                <w:spacing w:val="-2"/>
                <w:sz w:val="24"/>
                <w:szCs w:val="24"/>
                <w:highlight w:val="none"/>
                <w:lang w:eastAsia="zh-CN"/>
              </w:rPr>
              <w:t>结束或危废暂存量接近容器容量80%时，立即通知有资质单位进行转运。</w:t>
            </w:r>
          </w:p>
          <w:p w14:paraId="39D0AEB7">
            <w:pPr>
              <w:pStyle w:val="22"/>
              <w:widowControl w:val="0"/>
              <w:kinsoku/>
              <w:spacing w:before="2" w:line="360" w:lineRule="auto"/>
              <w:ind w:left="3" w:firstLine="472" w:firstLineChars="20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（4）具体去向及可行性分析</w:t>
            </w:r>
          </w:p>
          <w:p w14:paraId="7E71DCB2">
            <w:pPr>
              <w:pStyle w:val="22"/>
              <w:widowControl w:val="0"/>
              <w:kinsoku/>
              <w:spacing w:before="2" w:line="360" w:lineRule="auto"/>
              <w:ind w:left="3" w:firstLine="472" w:firstLineChars="200"/>
              <w:jc w:val="both"/>
              <w:rPr>
                <w:rFonts w:ascii="Times New Roman" w:hAnsi="Times New Roman"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收集的落地油将委托具有HW08类危险废物经营许可证的单位（如新疆</w:t>
            </w:r>
            <w:r>
              <w:rPr>
                <w:rFonts w:hint="eastAsia" w:ascii="Times New Roman" w:hAnsi="Times New Roman" w:eastAsia="宋体" w:cs="Times New Roman"/>
                <w:color w:val="auto"/>
                <w:spacing w:val="-2"/>
                <w:sz w:val="24"/>
                <w:szCs w:val="24"/>
                <w:highlight w:val="none"/>
                <w:lang w:val="en-US" w:eastAsia="zh-CN"/>
              </w:rPr>
              <w:t>中建环能北庭</w:t>
            </w:r>
            <w:r>
              <w:rPr>
                <w:rFonts w:ascii="Times New Roman" w:hAnsi="Times New Roman" w:eastAsia="宋体" w:cs="Times New Roman"/>
                <w:color w:val="auto"/>
                <w:spacing w:val="-2"/>
                <w:sz w:val="24"/>
                <w:szCs w:val="24"/>
                <w:highlight w:val="none"/>
                <w:lang w:eastAsia="zh-CN"/>
              </w:rPr>
              <w:t>环保科技有限公司）进行无害化处置。</w:t>
            </w:r>
            <w:r>
              <w:rPr>
                <w:rFonts w:hint="default" w:ascii="Times New Roman" w:hAnsi="Times New Roman" w:eastAsia="宋体" w:cs="Times New Roman"/>
                <w:color w:val="auto"/>
                <w:spacing w:val="-2"/>
                <w:sz w:val="24"/>
                <w:szCs w:val="24"/>
                <w:highlight w:val="none"/>
                <w:lang w:eastAsia="zh-CN"/>
              </w:rPr>
              <w:t>新疆中建环能北庭环保科技有限公司经营危险废物类别</w:t>
            </w:r>
            <w:r>
              <w:rPr>
                <w:rFonts w:hint="eastAsia" w:ascii="Times New Roman" w:hAnsi="Times New Roman" w:eastAsia="宋体" w:cs="Times New Roman"/>
                <w:color w:val="auto"/>
                <w:spacing w:val="-2"/>
                <w:sz w:val="24"/>
                <w:szCs w:val="24"/>
                <w:highlight w:val="none"/>
                <w:lang w:val="en-US" w:eastAsia="zh-CN"/>
              </w:rPr>
              <w:t>为</w:t>
            </w:r>
            <w:r>
              <w:rPr>
                <w:rFonts w:hint="default" w:ascii="Times New Roman" w:hAnsi="Times New Roman" w:eastAsia="宋体" w:cs="Times New Roman"/>
                <w:color w:val="auto"/>
                <w:spacing w:val="-2"/>
                <w:sz w:val="24"/>
                <w:szCs w:val="24"/>
                <w:highlight w:val="none"/>
                <w:lang w:eastAsia="zh-CN"/>
              </w:rPr>
              <w:t>HW08废矿物油与含矿物油废物（071-001-08、071-002-08、072-001-08、251-002-08、251-003-08、251-004-08、251-006-08、251-010-08、251-011-08、900-210-08、900-221-08）</w:t>
            </w:r>
            <w:r>
              <w:rPr>
                <w:rFonts w:hint="eastAsia"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采用水泥窑协同处置危险废物，水泥窑协同处置10万t/a危险废物项目，其中液态危险废物2万t/a，半固态危险废物5万t/a，固态危险废物3万t/a，剩余处理能力为7万t/a。</w:t>
            </w:r>
          </w:p>
          <w:p w14:paraId="712C9890">
            <w:pPr>
              <w:pStyle w:val="22"/>
              <w:widowControl w:val="0"/>
              <w:kinsoku/>
              <w:spacing w:before="38" w:line="359" w:lineRule="auto"/>
              <w:ind w:right="4"/>
              <w:jc w:val="both"/>
              <w:rPr>
                <w:rFonts w:ascii="Times New Roman" w:hAnsi="Times New Roman" w:cs="Times New Roman"/>
                <w:b/>
                <w:bCs/>
                <w:color w:val="auto"/>
                <w:spacing w:val="-2"/>
                <w:sz w:val="24"/>
                <w:szCs w:val="24"/>
                <w:highlight w:val="none"/>
                <w:lang w:eastAsia="zh-CN"/>
              </w:rPr>
            </w:pPr>
            <w:r>
              <w:rPr>
                <w:rFonts w:ascii="Times New Roman" w:hAnsi="Times New Roman" w:cs="Times New Roman"/>
                <w:b/>
                <w:bCs/>
                <w:color w:val="auto"/>
                <w:spacing w:val="-2"/>
                <w:sz w:val="24"/>
                <w:szCs w:val="24"/>
                <w:highlight w:val="none"/>
                <w:lang w:eastAsia="zh-CN"/>
              </w:rPr>
              <w:t>6.6机械设备废油与废润滑油桶</w:t>
            </w:r>
          </w:p>
          <w:p w14:paraId="56E5CEE9">
            <w:pPr>
              <w:pStyle w:val="22"/>
              <w:widowControl w:val="0"/>
              <w:kinsoku/>
              <w:spacing w:before="38" w:line="359" w:lineRule="auto"/>
              <w:ind w:left="3" w:right="4" w:firstLine="48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钻井期间使用的机械设备运行过程中需进行维护、保养、维修等工作，以使其能正常运转，此过程中将产生少量的废油，如废润滑油、废机油等，与之相应会有废润滑油桶产生。类比调查一个钻井期机械设备产生的废油产生量不足0.5t，本工程2口评价井产生量约1t，废润滑油桶产生量为0.05t，钻井期间产生的废油与废润滑油桶暂存至危废贮存点，委托有资质单位进行处置。</w:t>
            </w:r>
          </w:p>
          <w:p w14:paraId="493FB190">
            <w:pPr>
              <w:pStyle w:val="22"/>
              <w:widowControl w:val="0"/>
              <w:kinsoku/>
              <w:spacing w:before="38" w:line="359" w:lineRule="auto"/>
              <w:ind w:left="3" w:right="4" w:firstLine="48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根据《国家危险废物名录》（2025年版），设备检修与维护过程间歇产生的废矿物油划分为“HW08废矿物油与含矿物油废物类”，其危险废物编号为900-214-08，废润滑油桶危险废物编号为900-249-08，上述危险废物暂存至危废贮存点，委托有资质单位进行处置。</w:t>
            </w:r>
          </w:p>
          <w:p w14:paraId="2B8BB0E3">
            <w:pPr>
              <w:pStyle w:val="22"/>
              <w:widowControl w:val="0"/>
              <w:kinsoku/>
              <w:spacing w:before="38" w:line="359" w:lineRule="auto"/>
              <w:ind w:left="3" w:right="4" w:firstLine="48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项目一般固废和危险废物清单见表4-6和表4-7。</w:t>
            </w:r>
          </w:p>
          <w:p w14:paraId="290DCA8F">
            <w:pPr>
              <w:widowControl w:val="0"/>
              <w:kinsoku/>
              <w:jc w:val="center"/>
              <w:rPr>
                <w:rFonts w:ascii="Times New Roman" w:hAnsi="Times New Roman" w:eastAsia="宋体" w:cs="Times New Roman"/>
                <w:b/>
                <w:bCs/>
                <w:color w:val="auto"/>
                <w:spacing w:val="5"/>
                <w:highlight w:val="none"/>
              </w:rPr>
            </w:pPr>
            <w:r>
              <w:rPr>
                <w:rFonts w:ascii="Times New Roman" w:hAnsi="Times New Roman" w:eastAsia="宋体" w:cs="Times New Roman"/>
                <w:b/>
                <w:bCs/>
                <w:color w:val="auto"/>
                <w:spacing w:val="5"/>
                <w:highlight w:val="none"/>
              </w:rPr>
              <w:t>表4-</w:t>
            </w:r>
            <w:r>
              <w:rPr>
                <w:rFonts w:ascii="Times New Roman" w:hAnsi="Times New Roman" w:eastAsia="宋体" w:cs="Times New Roman"/>
                <w:b/>
                <w:bCs/>
                <w:color w:val="auto"/>
                <w:spacing w:val="5"/>
                <w:highlight w:val="none"/>
                <w:lang w:eastAsia="zh-CN"/>
              </w:rPr>
              <w:t xml:space="preserve">6 </w:t>
            </w:r>
            <w:r>
              <w:rPr>
                <w:rFonts w:ascii="Times New Roman" w:hAnsi="Times New Roman" w:eastAsia="宋体" w:cs="Times New Roman"/>
                <w:b/>
                <w:bCs/>
                <w:color w:val="auto"/>
                <w:spacing w:val="5"/>
                <w:highlight w:val="none"/>
              </w:rPr>
              <w:t>本项目一般固废清单</w:t>
            </w:r>
          </w:p>
          <w:tbl>
            <w:tblPr>
              <w:tblStyle w:val="21"/>
              <w:tblW w:w="80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3"/>
              <w:gridCol w:w="968"/>
              <w:gridCol w:w="846"/>
              <w:gridCol w:w="1073"/>
              <w:gridCol w:w="1245"/>
              <w:gridCol w:w="3480"/>
            </w:tblGrid>
            <w:tr w14:paraId="64F2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jc w:val="center"/>
              </w:trPr>
              <w:tc>
                <w:tcPr>
                  <w:tcW w:w="483" w:type="dxa"/>
                  <w:vAlign w:val="center"/>
                </w:tcPr>
                <w:p w14:paraId="11209E7A">
                  <w:pPr>
                    <w:pStyle w:val="22"/>
                    <w:kinsoku/>
                    <w:spacing w:before="81" w:line="218" w:lineRule="auto"/>
                    <w:jc w:val="center"/>
                    <w:rPr>
                      <w:rFonts w:ascii="Times New Roman" w:hAnsi="Times New Roman" w:cs="Times New Roman"/>
                      <w:color w:val="auto"/>
                      <w:sz w:val="21"/>
                      <w:szCs w:val="21"/>
                      <w:highlight w:val="none"/>
                    </w:rPr>
                  </w:pPr>
                  <w:r>
                    <w:rPr>
                      <w:rFonts w:ascii="Times New Roman" w:hAnsi="Times New Roman" w:cs="Times New Roman"/>
                      <w:b/>
                      <w:bCs/>
                      <w:color w:val="auto"/>
                      <w:spacing w:val="6"/>
                      <w:sz w:val="21"/>
                      <w:szCs w:val="21"/>
                      <w:highlight w:val="none"/>
                    </w:rPr>
                    <w:t>序号</w:t>
                  </w:r>
                </w:p>
              </w:tc>
              <w:tc>
                <w:tcPr>
                  <w:tcW w:w="968" w:type="dxa"/>
                  <w:vAlign w:val="center"/>
                </w:tcPr>
                <w:p w14:paraId="2B6C6F96">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b/>
                      <w:bCs/>
                      <w:color w:val="auto"/>
                      <w:spacing w:val="1"/>
                      <w:sz w:val="21"/>
                      <w:szCs w:val="21"/>
                      <w:highlight w:val="none"/>
                    </w:rPr>
                    <w:t>固废名称</w:t>
                  </w:r>
                </w:p>
              </w:tc>
              <w:tc>
                <w:tcPr>
                  <w:tcW w:w="846" w:type="dxa"/>
                  <w:vAlign w:val="center"/>
                </w:tcPr>
                <w:p w14:paraId="7A0188FB">
                  <w:pPr>
                    <w:pStyle w:val="22"/>
                    <w:kinsoku/>
                    <w:spacing w:before="65" w:line="229" w:lineRule="auto"/>
                    <w:jc w:val="center"/>
                    <w:rPr>
                      <w:rFonts w:ascii="Times New Roman" w:hAnsi="Times New Roman" w:cs="Times New Roman"/>
                      <w:color w:val="auto"/>
                      <w:sz w:val="21"/>
                      <w:szCs w:val="21"/>
                      <w:highlight w:val="none"/>
                    </w:rPr>
                  </w:pPr>
                  <w:r>
                    <w:rPr>
                      <w:rFonts w:ascii="Times New Roman" w:hAnsi="Times New Roman" w:cs="Times New Roman"/>
                      <w:b/>
                      <w:bCs/>
                      <w:color w:val="auto"/>
                      <w:spacing w:val="3"/>
                      <w:sz w:val="21"/>
                      <w:szCs w:val="21"/>
                      <w:highlight w:val="none"/>
                    </w:rPr>
                    <w:t>属性</w:t>
                  </w:r>
                </w:p>
              </w:tc>
              <w:tc>
                <w:tcPr>
                  <w:tcW w:w="1073" w:type="dxa"/>
                  <w:vAlign w:val="center"/>
                </w:tcPr>
                <w:p w14:paraId="27F10DEE">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b/>
                      <w:bCs/>
                      <w:color w:val="auto"/>
                      <w:spacing w:val="1"/>
                      <w:sz w:val="21"/>
                      <w:szCs w:val="21"/>
                      <w:highlight w:val="none"/>
                    </w:rPr>
                    <w:t>固废代码</w:t>
                  </w:r>
                </w:p>
              </w:tc>
              <w:tc>
                <w:tcPr>
                  <w:tcW w:w="1245" w:type="dxa"/>
                  <w:vAlign w:val="center"/>
                </w:tcPr>
                <w:p w14:paraId="65B029F7">
                  <w:pPr>
                    <w:pStyle w:val="22"/>
                    <w:kinsoku/>
                    <w:spacing w:before="110" w:line="251" w:lineRule="auto"/>
                    <w:ind w:right="51"/>
                    <w:jc w:val="center"/>
                    <w:rPr>
                      <w:rFonts w:ascii="Times New Roman" w:hAnsi="Times New Roman" w:cs="Times New Roman"/>
                      <w:color w:val="auto"/>
                      <w:sz w:val="21"/>
                      <w:szCs w:val="21"/>
                      <w:highlight w:val="none"/>
                    </w:rPr>
                  </w:pPr>
                  <w:r>
                    <w:rPr>
                      <w:rFonts w:ascii="Times New Roman" w:hAnsi="Times New Roman" w:cs="Times New Roman"/>
                      <w:b/>
                      <w:bCs/>
                      <w:color w:val="auto"/>
                      <w:spacing w:val="6"/>
                      <w:sz w:val="21"/>
                      <w:szCs w:val="21"/>
                      <w:highlight w:val="none"/>
                    </w:rPr>
                    <w:t>估算产生</w:t>
                  </w:r>
                  <w:r>
                    <w:rPr>
                      <w:rFonts w:ascii="Times New Roman" w:hAnsi="Times New Roman" w:cs="Times New Roman"/>
                      <w:b/>
                      <w:bCs/>
                      <w:color w:val="auto"/>
                      <w:spacing w:val="2"/>
                      <w:sz w:val="21"/>
                      <w:szCs w:val="21"/>
                      <w:highlight w:val="none"/>
                    </w:rPr>
                    <w:t>量（施工期</w:t>
                  </w:r>
                  <w:r>
                    <w:rPr>
                      <w:rFonts w:ascii="Times New Roman" w:hAnsi="Times New Roman" w:cs="Times New Roman"/>
                      <w:b/>
                      <w:bCs/>
                      <w:color w:val="auto"/>
                      <w:spacing w:val="-3"/>
                      <w:sz w:val="21"/>
                      <w:szCs w:val="21"/>
                      <w:highlight w:val="none"/>
                    </w:rPr>
                    <w:t>)</w:t>
                  </w:r>
                </w:p>
              </w:tc>
              <w:tc>
                <w:tcPr>
                  <w:tcW w:w="3480" w:type="dxa"/>
                  <w:tcBorders>
                    <w:right w:val="single" w:color="000000" w:sz="4" w:space="0"/>
                  </w:tcBorders>
                  <w:vAlign w:val="center"/>
                </w:tcPr>
                <w:p w14:paraId="3246E603">
                  <w:pPr>
                    <w:pStyle w:val="22"/>
                    <w:kinsoku/>
                    <w:spacing w:before="65" w:line="227" w:lineRule="auto"/>
                    <w:jc w:val="center"/>
                    <w:rPr>
                      <w:rFonts w:ascii="Times New Roman" w:hAnsi="Times New Roman" w:cs="Times New Roman"/>
                      <w:color w:val="auto"/>
                      <w:sz w:val="21"/>
                      <w:szCs w:val="21"/>
                      <w:highlight w:val="none"/>
                    </w:rPr>
                  </w:pPr>
                  <w:r>
                    <w:rPr>
                      <w:rFonts w:ascii="Times New Roman" w:hAnsi="Times New Roman" w:cs="Times New Roman"/>
                      <w:b/>
                      <w:bCs/>
                      <w:color w:val="auto"/>
                      <w:spacing w:val="7"/>
                      <w:sz w:val="21"/>
                      <w:szCs w:val="21"/>
                      <w:highlight w:val="none"/>
                    </w:rPr>
                    <w:t>采取的处理处置方式</w:t>
                  </w:r>
                </w:p>
              </w:tc>
            </w:tr>
            <w:tr w14:paraId="27A1A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jc w:val="center"/>
              </w:trPr>
              <w:tc>
                <w:tcPr>
                  <w:tcW w:w="483" w:type="dxa"/>
                  <w:vAlign w:val="center"/>
                </w:tcPr>
                <w:p w14:paraId="5210C1CA">
                  <w:pPr>
                    <w:kinsoku/>
                    <w:spacing w:before="57" w:line="195"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968" w:type="dxa"/>
                  <w:vAlign w:val="center"/>
                </w:tcPr>
                <w:p w14:paraId="67E7485C">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6"/>
                      <w:sz w:val="21"/>
                      <w:szCs w:val="21"/>
                      <w:highlight w:val="none"/>
                    </w:rPr>
                    <w:t>水基泥浆</w:t>
                  </w:r>
                </w:p>
              </w:tc>
              <w:tc>
                <w:tcPr>
                  <w:tcW w:w="846" w:type="dxa"/>
                  <w:vAlign w:val="center"/>
                </w:tcPr>
                <w:p w14:paraId="2ECFD36E">
                  <w:pPr>
                    <w:pStyle w:val="22"/>
                    <w:kinsoku/>
                    <w:spacing w:before="194" w:line="229"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一般工业</w:t>
                  </w:r>
                  <w:r>
                    <w:rPr>
                      <w:rFonts w:ascii="Times New Roman" w:hAnsi="Times New Roman" w:cs="Times New Roman"/>
                      <w:color w:val="auto"/>
                      <w:spacing w:val="-5"/>
                      <w:sz w:val="21"/>
                      <w:szCs w:val="21"/>
                      <w:highlight w:val="none"/>
                    </w:rPr>
                    <w:t>固废</w:t>
                  </w:r>
                </w:p>
              </w:tc>
              <w:tc>
                <w:tcPr>
                  <w:tcW w:w="1073" w:type="dxa"/>
                  <w:vAlign w:val="center"/>
                </w:tcPr>
                <w:p w14:paraId="75EEECEA">
                  <w:pPr>
                    <w:pStyle w:val="22"/>
                    <w:kinsoku/>
                    <w:spacing w:before="65" w:line="241"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（071-001-</w:t>
                  </w:r>
                </w:p>
                <w:p w14:paraId="6A03B18F">
                  <w:pPr>
                    <w:pStyle w:val="22"/>
                    <w:kinsoku/>
                    <w:spacing w:before="10"/>
                    <w:ind w:left="31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S12）</w:t>
                  </w:r>
                </w:p>
              </w:tc>
              <w:tc>
                <w:tcPr>
                  <w:tcW w:w="1245" w:type="dxa"/>
                  <w:vAlign w:val="center"/>
                </w:tcPr>
                <w:p w14:paraId="2ABFB229">
                  <w:pPr>
                    <w:kinsoku/>
                    <w:spacing w:before="57" w:line="21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pacing w:val="4"/>
                      <w:highlight w:val="none"/>
                      <w:lang w:eastAsia="zh-CN"/>
                    </w:rPr>
                    <w:t>1442.86</w:t>
                  </w:r>
                  <w:r>
                    <w:rPr>
                      <w:rFonts w:ascii="Times New Roman" w:hAnsi="Times New Roman" w:eastAsia="宋体" w:cs="Times New Roman"/>
                      <w:color w:val="auto"/>
                      <w:spacing w:val="4"/>
                      <w:highlight w:val="none"/>
                    </w:rPr>
                    <w:t>m</w:t>
                  </w:r>
                  <w:r>
                    <w:rPr>
                      <w:rFonts w:ascii="Times New Roman" w:hAnsi="Times New Roman" w:eastAsia="宋体" w:cs="Times New Roman"/>
                      <w:color w:val="auto"/>
                      <w:spacing w:val="4"/>
                      <w:highlight w:val="none"/>
                      <w:vertAlign w:val="superscript"/>
                      <w:lang w:eastAsia="zh-CN"/>
                    </w:rPr>
                    <w:t>3</w:t>
                  </w:r>
                </w:p>
              </w:tc>
              <w:tc>
                <w:tcPr>
                  <w:tcW w:w="3480" w:type="dxa"/>
                  <w:vMerge w:val="restart"/>
                  <w:tcBorders>
                    <w:bottom w:val="nil"/>
                    <w:right w:val="single" w:color="000000" w:sz="4" w:space="0"/>
                  </w:tcBorders>
                  <w:vAlign w:val="center"/>
                </w:tcPr>
                <w:p w14:paraId="1722A85D">
                  <w:pPr>
                    <w:pStyle w:val="22"/>
                    <w:kinsoku/>
                    <w:spacing w:before="65" w:line="228" w:lineRule="auto"/>
                    <w:jc w:val="both"/>
                    <w:rPr>
                      <w:rFonts w:ascii="Times New Roman" w:hAnsi="Times New Roman" w:cs="Times New Roman"/>
                      <w:color w:val="auto"/>
                      <w:sz w:val="21"/>
                      <w:szCs w:val="21"/>
                      <w:highlight w:val="none"/>
                      <w:lang w:eastAsia="zh-CN"/>
                    </w:rPr>
                  </w:pPr>
                  <w:r>
                    <w:rPr>
                      <w:rFonts w:ascii="Times New Roman" w:hAnsi="Times New Roman" w:cs="Times New Roman"/>
                      <w:color w:val="auto"/>
                      <w:spacing w:val="8"/>
                      <w:sz w:val="21"/>
                      <w:szCs w:val="21"/>
                      <w:highlight w:val="none"/>
                      <w:lang w:eastAsia="zh-CN"/>
                    </w:rPr>
                    <w:t>项目采用不落地系统，钻井泥浆、岩屑由具备资质的单位及时转运处理，处置过程符合《油气田钻井固体废弃物综合利用污染物控制要求》（DB65/T3997—2017）相关要求，具备条件的可综合利用。</w:t>
                  </w:r>
                </w:p>
              </w:tc>
            </w:tr>
            <w:tr w14:paraId="4C699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jc w:val="center"/>
              </w:trPr>
              <w:tc>
                <w:tcPr>
                  <w:tcW w:w="483" w:type="dxa"/>
                  <w:vAlign w:val="center"/>
                </w:tcPr>
                <w:p w14:paraId="7F81C307">
                  <w:pPr>
                    <w:kinsoku/>
                    <w:spacing w:before="57" w:line="195"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968" w:type="dxa"/>
                  <w:vAlign w:val="center"/>
                </w:tcPr>
                <w:p w14:paraId="3023D642">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6"/>
                      <w:sz w:val="21"/>
                      <w:szCs w:val="21"/>
                      <w:highlight w:val="none"/>
                    </w:rPr>
                    <w:t>水基岩屑</w:t>
                  </w:r>
                </w:p>
              </w:tc>
              <w:tc>
                <w:tcPr>
                  <w:tcW w:w="846" w:type="dxa"/>
                  <w:vAlign w:val="center"/>
                </w:tcPr>
                <w:p w14:paraId="69DF7F69">
                  <w:pPr>
                    <w:pStyle w:val="22"/>
                    <w:kinsoku/>
                    <w:spacing w:before="196" w:line="229"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一般工业</w:t>
                  </w:r>
                  <w:r>
                    <w:rPr>
                      <w:rFonts w:ascii="Times New Roman" w:hAnsi="Times New Roman" w:cs="Times New Roman"/>
                      <w:color w:val="auto"/>
                      <w:spacing w:val="-5"/>
                      <w:sz w:val="21"/>
                      <w:szCs w:val="21"/>
                      <w:highlight w:val="none"/>
                    </w:rPr>
                    <w:t>固废</w:t>
                  </w:r>
                </w:p>
              </w:tc>
              <w:tc>
                <w:tcPr>
                  <w:tcW w:w="1073" w:type="dxa"/>
                  <w:vAlign w:val="center"/>
                </w:tcPr>
                <w:p w14:paraId="3E27CC64">
                  <w:pPr>
                    <w:pStyle w:val="22"/>
                    <w:kinsoku/>
                    <w:spacing w:before="65" w:line="241"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（071-001-</w:t>
                  </w:r>
                </w:p>
                <w:p w14:paraId="17D8EBBA">
                  <w:pPr>
                    <w:pStyle w:val="22"/>
                    <w:kinsoku/>
                    <w:spacing w:before="12"/>
                    <w:ind w:left="317"/>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S12）</w:t>
                  </w:r>
                </w:p>
              </w:tc>
              <w:tc>
                <w:tcPr>
                  <w:tcW w:w="1245" w:type="dxa"/>
                  <w:vAlign w:val="center"/>
                </w:tcPr>
                <w:p w14:paraId="77D7F869">
                  <w:pPr>
                    <w:kinsoku/>
                    <w:spacing w:before="57" w:line="213"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3"/>
                      <w:highlight w:val="none"/>
                      <w:lang w:eastAsia="zh-CN"/>
                    </w:rPr>
                    <w:t>1290.52</w:t>
                  </w:r>
                  <w:r>
                    <w:rPr>
                      <w:rFonts w:ascii="Times New Roman" w:hAnsi="Times New Roman" w:eastAsia="宋体" w:cs="Times New Roman"/>
                      <w:color w:val="auto"/>
                      <w:spacing w:val="4"/>
                      <w:highlight w:val="none"/>
                    </w:rPr>
                    <w:t>m</w:t>
                  </w:r>
                  <w:r>
                    <w:rPr>
                      <w:rFonts w:ascii="Times New Roman" w:hAnsi="Times New Roman" w:eastAsia="宋体" w:cs="Times New Roman"/>
                      <w:color w:val="auto"/>
                      <w:spacing w:val="4"/>
                      <w:highlight w:val="none"/>
                      <w:vertAlign w:val="superscript"/>
                      <w:lang w:eastAsia="zh-CN"/>
                    </w:rPr>
                    <w:t>3</w:t>
                  </w:r>
                </w:p>
              </w:tc>
              <w:tc>
                <w:tcPr>
                  <w:tcW w:w="3480" w:type="dxa"/>
                  <w:vMerge w:val="continue"/>
                  <w:tcBorders>
                    <w:top w:val="nil"/>
                    <w:right w:val="single" w:color="000000" w:sz="4" w:space="0"/>
                  </w:tcBorders>
                  <w:vAlign w:val="center"/>
                </w:tcPr>
                <w:p w14:paraId="3361DD0A">
                  <w:pPr>
                    <w:kinsoku/>
                    <w:jc w:val="both"/>
                    <w:rPr>
                      <w:rFonts w:ascii="Times New Roman" w:hAnsi="Times New Roman" w:eastAsia="宋体" w:cs="Times New Roman"/>
                      <w:color w:val="auto"/>
                      <w:highlight w:val="none"/>
                    </w:rPr>
                  </w:pPr>
                </w:p>
              </w:tc>
            </w:tr>
            <w:tr w14:paraId="38D53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483" w:type="dxa"/>
                  <w:vAlign w:val="center"/>
                </w:tcPr>
                <w:p w14:paraId="0ABBD6F2">
                  <w:pPr>
                    <w:pStyle w:val="22"/>
                    <w:kinsoku/>
                    <w:spacing w:before="65" w:line="228" w:lineRule="auto"/>
                    <w:jc w:val="center"/>
                    <w:rPr>
                      <w:rFonts w:ascii="Times New Roman" w:hAnsi="Times New Roman" w:cs="Times New Roman"/>
                      <w:color w:val="auto"/>
                      <w:spacing w:val="6"/>
                      <w:sz w:val="21"/>
                      <w:szCs w:val="21"/>
                      <w:highlight w:val="none"/>
                    </w:rPr>
                  </w:pPr>
                  <w:r>
                    <w:rPr>
                      <w:rFonts w:ascii="Times New Roman" w:hAnsi="Times New Roman" w:cs="Times New Roman"/>
                      <w:color w:val="auto"/>
                      <w:spacing w:val="6"/>
                      <w:sz w:val="21"/>
                      <w:szCs w:val="21"/>
                      <w:highlight w:val="none"/>
                    </w:rPr>
                    <w:t>3</w:t>
                  </w:r>
                </w:p>
              </w:tc>
              <w:tc>
                <w:tcPr>
                  <w:tcW w:w="968" w:type="dxa"/>
                  <w:vAlign w:val="center"/>
                </w:tcPr>
                <w:p w14:paraId="6331AAC0">
                  <w:pPr>
                    <w:pStyle w:val="22"/>
                    <w:kinsoku/>
                    <w:spacing w:before="65" w:line="228" w:lineRule="auto"/>
                    <w:jc w:val="center"/>
                    <w:rPr>
                      <w:rFonts w:ascii="Times New Roman" w:hAnsi="Times New Roman" w:cs="Times New Roman"/>
                      <w:color w:val="auto"/>
                      <w:spacing w:val="6"/>
                      <w:sz w:val="21"/>
                      <w:szCs w:val="21"/>
                      <w:highlight w:val="none"/>
                    </w:rPr>
                  </w:pPr>
                  <w:r>
                    <w:rPr>
                      <w:rFonts w:ascii="Times New Roman" w:hAnsi="Times New Roman" w:cs="Times New Roman"/>
                      <w:color w:val="auto"/>
                      <w:spacing w:val="6"/>
                      <w:sz w:val="21"/>
                      <w:szCs w:val="21"/>
                      <w:highlight w:val="none"/>
                    </w:rPr>
                    <w:t>生活垃圾</w:t>
                  </w:r>
                </w:p>
              </w:tc>
              <w:tc>
                <w:tcPr>
                  <w:tcW w:w="846" w:type="dxa"/>
                  <w:vAlign w:val="center"/>
                </w:tcPr>
                <w:p w14:paraId="0370615E">
                  <w:pPr>
                    <w:pStyle w:val="22"/>
                    <w:kinsoku/>
                    <w:spacing w:before="65" w:line="228" w:lineRule="auto"/>
                    <w:jc w:val="center"/>
                    <w:rPr>
                      <w:rFonts w:ascii="Times New Roman" w:hAnsi="Times New Roman" w:cs="Times New Roman"/>
                      <w:color w:val="auto"/>
                      <w:spacing w:val="6"/>
                      <w:sz w:val="21"/>
                      <w:szCs w:val="21"/>
                      <w:highlight w:val="none"/>
                    </w:rPr>
                  </w:pPr>
                  <w:r>
                    <w:rPr>
                      <w:rFonts w:ascii="Times New Roman" w:hAnsi="Times New Roman" w:cs="Times New Roman"/>
                      <w:color w:val="auto"/>
                      <w:spacing w:val="6"/>
                      <w:sz w:val="21"/>
                      <w:szCs w:val="21"/>
                      <w:highlight w:val="none"/>
                    </w:rPr>
                    <w:t>一般固废</w:t>
                  </w:r>
                </w:p>
              </w:tc>
              <w:tc>
                <w:tcPr>
                  <w:tcW w:w="1073" w:type="dxa"/>
                  <w:vAlign w:val="center"/>
                </w:tcPr>
                <w:p w14:paraId="09540FEB">
                  <w:pPr>
                    <w:pStyle w:val="22"/>
                    <w:kinsoku/>
                    <w:spacing w:before="65" w:line="228" w:lineRule="auto"/>
                    <w:jc w:val="center"/>
                    <w:rPr>
                      <w:rFonts w:ascii="Times New Roman" w:hAnsi="Times New Roman" w:cs="Times New Roman"/>
                      <w:color w:val="auto"/>
                      <w:spacing w:val="6"/>
                      <w:sz w:val="21"/>
                      <w:szCs w:val="21"/>
                      <w:highlight w:val="none"/>
                    </w:rPr>
                  </w:pPr>
                  <w:r>
                    <w:rPr>
                      <w:rFonts w:ascii="Times New Roman" w:hAnsi="Times New Roman" w:cs="Times New Roman"/>
                      <w:color w:val="auto"/>
                      <w:spacing w:val="6"/>
                      <w:sz w:val="21"/>
                      <w:szCs w:val="21"/>
                      <w:highlight w:val="none"/>
                    </w:rPr>
                    <w:t>/</w:t>
                  </w:r>
                </w:p>
              </w:tc>
              <w:tc>
                <w:tcPr>
                  <w:tcW w:w="1245" w:type="dxa"/>
                  <w:vAlign w:val="center"/>
                </w:tcPr>
                <w:p w14:paraId="78F369C2">
                  <w:pPr>
                    <w:pStyle w:val="22"/>
                    <w:kinsoku/>
                    <w:spacing w:before="65" w:line="228" w:lineRule="auto"/>
                    <w:jc w:val="center"/>
                    <w:rPr>
                      <w:rFonts w:ascii="Times New Roman" w:hAnsi="Times New Roman" w:cs="Times New Roman"/>
                      <w:color w:val="auto"/>
                      <w:spacing w:val="6"/>
                      <w:sz w:val="21"/>
                      <w:szCs w:val="21"/>
                      <w:highlight w:val="none"/>
                    </w:rPr>
                  </w:pPr>
                  <w:r>
                    <w:rPr>
                      <w:rFonts w:ascii="Times New Roman" w:hAnsi="Times New Roman" w:cs="Times New Roman"/>
                      <w:color w:val="auto"/>
                      <w:spacing w:val="6"/>
                      <w:sz w:val="21"/>
                      <w:szCs w:val="21"/>
                      <w:highlight w:val="none"/>
                      <w:lang w:eastAsia="zh-CN"/>
                    </w:rPr>
                    <w:t>4.32</w:t>
                  </w:r>
                  <w:r>
                    <w:rPr>
                      <w:rFonts w:ascii="Times New Roman" w:hAnsi="Times New Roman" w:cs="Times New Roman"/>
                      <w:color w:val="auto"/>
                      <w:spacing w:val="6"/>
                      <w:sz w:val="21"/>
                      <w:szCs w:val="21"/>
                      <w:highlight w:val="none"/>
                    </w:rPr>
                    <w:t>t</w:t>
                  </w:r>
                </w:p>
              </w:tc>
              <w:tc>
                <w:tcPr>
                  <w:tcW w:w="3480" w:type="dxa"/>
                  <w:tcBorders>
                    <w:right w:val="single" w:color="000000" w:sz="4" w:space="0"/>
                  </w:tcBorders>
                  <w:vAlign w:val="center"/>
                </w:tcPr>
                <w:p w14:paraId="2D2D2AF1">
                  <w:pPr>
                    <w:pStyle w:val="22"/>
                    <w:kinsoku/>
                    <w:spacing w:before="89" w:line="252" w:lineRule="auto"/>
                    <w:ind w:left="142" w:right="71" w:hanging="74"/>
                    <w:jc w:val="both"/>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生活垃圾集中收集后委托第三方拉运至当地垃圾场处理</w:t>
                  </w:r>
                  <w:r>
                    <w:rPr>
                      <w:rFonts w:ascii="Times New Roman" w:hAnsi="Times New Roman" w:cs="Times New Roman"/>
                      <w:color w:val="auto"/>
                      <w:spacing w:val="8"/>
                      <w:sz w:val="21"/>
                      <w:szCs w:val="21"/>
                      <w:highlight w:val="none"/>
                      <w:lang w:eastAsia="zh-CN"/>
                    </w:rPr>
                    <w:t>。</w:t>
                  </w:r>
                </w:p>
              </w:tc>
            </w:tr>
          </w:tbl>
          <w:p w14:paraId="668348F2">
            <w:pPr>
              <w:widowControl w:val="0"/>
              <w:kinsoku/>
              <w:jc w:val="center"/>
              <w:rPr>
                <w:rFonts w:ascii="Times New Roman" w:hAnsi="Times New Roman" w:eastAsia="宋体" w:cs="Times New Roman"/>
                <w:b/>
                <w:bCs/>
                <w:color w:val="auto"/>
                <w:spacing w:val="5"/>
                <w:highlight w:val="none"/>
                <w:lang w:eastAsia="zh-CN"/>
              </w:rPr>
            </w:pPr>
          </w:p>
          <w:p w14:paraId="5592696B">
            <w:pPr>
              <w:widowControl w:val="0"/>
              <w:kinsoku/>
              <w:jc w:val="center"/>
              <w:rPr>
                <w:rFonts w:ascii="Times New Roman" w:hAnsi="Times New Roman" w:eastAsia="宋体" w:cs="Times New Roman"/>
                <w:color w:val="auto"/>
                <w:highlight w:val="none"/>
              </w:rPr>
            </w:pPr>
            <w:r>
              <w:rPr>
                <w:rFonts w:ascii="Times New Roman" w:hAnsi="Times New Roman" w:eastAsia="宋体" w:cs="Times New Roman"/>
                <w:b/>
                <w:bCs/>
                <w:color w:val="auto"/>
                <w:spacing w:val="5"/>
                <w:highlight w:val="none"/>
                <w:lang w:eastAsia="zh-CN"/>
              </w:rPr>
              <w:t>表4-7 本项目危险废物清单</w:t>
            </w:r>
          </w:p>
          <w:tbl>
            <w:tblPr>
              <w:tblStyle w:val="21"/>
              <w:tblW w:w="80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0"/>
              <w:gridCol w:w="941"/>
              <w:gridCol w:w="502"/>
              <w:gridCol w:w="539"/>
              <w:gridCol w:w="702"/>
              <w:gridCol w:w="767"/>
              <w:gridCol w:w="1116"/>
              <w:gridCol w:w="3108"/>
            </w:tblGrid>
            <w:tr w14:paraId="1D51C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jc w:val="center"/>
              </w:trPr>
              <w:tc>
                <w:tcPr>
                  <w:tcW w:w="360" w:type="dxa"/>
                  <w:vAlign w:val="center"/>
                </w:tcPr>
                <w:p w14:paraId="6CE31139">
                  <w:pPr>
                    <w:pStyle w:val="22"/>
                    <w:kinsoku/>
                    <w:spacing w:line="240" w:lineRule="atLeast"/>
                    <w:jc w:val="center"/>
                    <w:rPr>
                      <w:rFonts w:ascii="Times New Roman" w:hAnsi="Times New Roman" w:cs="Times New Roman" w:eastAsiaTheme="minorEastAsia"/>
                      <w:b/>
                      <w:bCs/>
                      <w:color w:val="auto"/>
                      <w:spacing w:val="6"/>
                      <w:sz w:val="21"/>
                      <w:szCs w:val="21"/>
                      <w:highlight w:val="none"/>
                      <w:lang w:eastAsia="zh-CN"/>
                    </w:rPr>
                  </w:pPr>
                  <w:r>
                    <w:rPr>
                      <w:rFonts w:ascii="Times New Roman" w:hAnsi="Times New Roman" w:cs="Times New Roman" w:eastAsiaTheme="minorEastAsia"/>
                      <w:b/>
                      <w:bCs/>
                      <w:color w:val="auto"/>
                      <w:spacing w:val="6"/>
                      <w:sz w:val="21"/>
                      <w:szCs w:val="21"/>
                      <w:highlight w:val="none"/>
                      <w:lang w:eastAsia="zh-CN"/>
                    </w:rPr>
                    <w:t>序号</w:t>
                  </w:r>
                </w:p>
              </w:tc>
              <w:tc>
                <w:tcPr>
                  <w:tcW w:w="941" w:type="dxa"/>
                  <w:vAlign w:val="center"/>
                </w:tcPr>
                <w:p w14:paraId="5E18B25D">
                  <w:pPr>
                    <w:pStyle w:val="22"/>
                    <w:kinsoku/>
                    <w:spacing w:line="240" w:lineRule="atLeast"/>
                    <w:jc w:val="center"/>
                    <w:rPr>
                      <w:rFonts w:ascii="Times New Roman" w:hAnsi="Times New Roman" w:cs="Times New Roman" w:eastAsiaTheme="minorEastAsia"/>
                      <w:b/>
                      <w:bCs/>
                      <w:color w:val="auto"/>
                      <w:spacing w:val="6"/>
                      <w:sz w:val="21"/>
                      <w:szCs w:val="21"/>
                      <w:highlight w:val="none"/>
                      <w:lang w:eastAsia="zh-CN"/>
                    </w:rPr>
                  </w:pPr>
                  <w:r>
                    <w:rPr>
                      <w:rFonts w:ascii="Times New Roman" w:hAnsi="Times New Roman" w:cs="Times New Roman" w:eastAsiaTheme="minorEastAsia"/>
                      <w:b/>
                      <w:bCs/>
                      <w:color w:val="auto"/>
                      <w:spacing w:val="6"/>
                      <w:sz w:val="21"/>
                      <w:szCs w:val="21"/>
                      <w:highlight w:val="none"/>
                      <w:lang w:eastAsia="zh-CN"/>
                    </w:rPr>
                    <w:t>危废名称</w:t>
                  </w:r>
                </w:p>
              </w:tc>
              <w:tc>
                <w:tcPr>
                  <w:tcW w:w="502" w:type="dxa"/>
                  <w:vAlign w:val="center"/>
                </w:tcPr>
                <w:p w14:paraId="747F80F5">
                  <w:pPr>
                    <w:pStyle w:val="22"/>
                    <w:kinsoku/>
                    <w:spacing w:line="240" w:lineRule="atLeast"/>
                    <w:jc w:val="center"/>
                    <w:rPr>
                      <w:rFonts w:ascii="Times New Roman" w:hAnsi="Times New Roman" w:cs="Times New Roman" w:eastAsiaTheme="minorEastAsia"/>
                      <w:b/>
                      <w:bCs/>
                      <w:color w:val="auto"/>
                      <w:spacing w:val="6"/>
                      <w:sz w:val="21"/>
                      <w:szCs w:val="21"/>
                      <w:highlight w:val="none"/>
                      <w:lang w:eastAsia="zh-CN"/>
                    </w:rPr>
                  </w:pPr>
                  <w:r>
                    <w:rPr>
                      <w:rFonts w:ascii="Times New Roman" w:hAnsi="Times New Roman" w:cs="Times New Roman" w:eastAsiaTheme="minorEastAsia"/>
                      <w:b/>
                      <w:bCs/>
                      <w:color w:val="auto"/>
                      <w:spacing w:val="6"/>
                      <w:sz w:val="21"/>
                      <w:szCs w:val="21"/>
                      <w:highlight w:val="none"/>
                      <w:lang w:eastAsia="zh-CN"/>
                    </w:rPr>
                    <w:t>属性</w:t>
                  </w:r>
                </w:p>
              </w:tc>
              <w:tc>
                <w:tcPr>
                  <w:tcW w:w="539" w:type="dxa"/>
                  <w:vAlign w:val="center"/>
                </w:tcPr>
                <w:p w14:paraId="5A833BC7">
                  <w:pPr>
                    <w:pStyle w:val="22"/>
                    <w:kinsoku/>
                    <w:spacing w:line="240" w:lineRule="atLeast"/>
                    <w:jc w:val="center"/>
                    <w:rPr>
                      <w:rFonts w:ascii="Times New Roman" w:hAnsi="Times New Roman" w:cs="Times New Roman" w:eastAsiaTheme="minorEastAsia"/>
                      <w:b/>
                      <w:bCs/>
                      <w:color w:val="auto"/>
                      <w:spacing w:val="6"/>
                      <w:sz w:val="21"/>
                      <w:szCs w:val="21"/>
                      <w:highlight w:val="none"/>
                      <w:lang w:eastAsia="zh-CN"/>
                    </w:rPr>
                  </w:pPr>
                  <w:r>
                    <w:rPr>
                      <w:rFonts w:ascii="Times New Roman" w:hAnsi="Times New Roman" w:cs="Times New Roman" w:eastAsiaTheme="minorEastAsia"/>
                      <w:b/>
                      <w:bCs/>
                      <w:color w:val="auto"/>
                      <w:spacing w:val="6"/>
                      <w:sz w:val="21"/>
                      <w:szCs w:val="21"/>
                      <w:highlight w:val="none"/>
                      <w:lang w:eastAsia="zh-CN"/>
                    </w:rPr>
                    <w:t>危险特性</w:t>
                  </w:r>
                </w:p>
              </w:tc>
              <w:tc>
                <w:tcPr>
                  <w:tcW w:w="702" w:type="dxa"/>
                  <w:vAlign w:val="center"/>
                </w:tcPr>
                <w:p w14:paraId="77991609">
                  <w:pPr>
                    <w:pStyle w:val="22"/>
                    <w:kinsoku/>
                    <w:spacing w:line="240" w:lineRule="atLeast"/>
                    <w:jc w:val="center"/>
                    <w:rPr>
                      <w:rFonts w:ascii="Times New Roman" w:hAnsi="Times New Roman" w:cs="Times New Roman" w:eastAsiaTheme="minorEastAsia"/>
                      <w:b/>
                      <w:bCs/>
                      <w:color w:val="auto"/>
                      <w:spacing w:val="6"/>
                      <w:sz w:val="21"/>
                      <w:szCs w:val="21"/>
                      <w:highlight w:val="none"/>
                      <w:lang w:eastAsia="zh-CN"/>
                    </w:rPr>
                  </w:pPr>
                  <w:r>
                    <w:rPr>
                      <w:rFonts w:ascii="Times New Roman" w:hAnsi="Times New Roman" w:cs="Times New Roman" w:eastAsiaTheme="minorEastAsia"/>
                      <w:b/>
                      <w:bCs/>
                      <w:color w:val="auto"/>
                      <w:spacing w:val="6"/>
                      <w:sz w:val="21"/>
                      <w:szCs w:val="21"/>
                      <w:highlight w:val="none"/>
                      <w:lang w:eastAsia="zh-CN"/>
                    </w:rPr>
                    <w:t>废物类别</w:t>
                  </w:r>
                </w:p>
              </w:tc>
              <w:tc>
                <w:tcPr>
                  <w:tcW w:w="767" w:type="dxa"/>
                  <w:vAlign w:val="center"/>
                </w:tcPr>
                <w:p w14:paraId="46EF41D1">
                  <w:pPr>
                    <w:pStyle w:val="22"/>
                    <w:kinsoku/>
                    <w:spacing w:line="240" w:lineRule="atLeast"/>
                    <w:jc w:val="center"/>
                    <w:rPr>
                      <w:rFonts w:ascii="Times New Roman" w:hAnsi="Times New Roman" w:cs="Times New Roman" w:eastAsiaTheme="minorEastAsia"/>
                      <w:b/>
                      <w:bCs/>
                      <w:color w:val="auto"/>
                      <w:spacing w:val="6"/>
                      <w:sz w:val="21"/>
                      <w:szCs w:val="21"/>
                      <w:highlight w:val="none"/>
                      <w:lang w:eastAsia="zh-CN"/>
                    </w:rPr>
                  </w:pPr>
                  <w:r>
                    <w:rPr>
                      <w:rFonts w:ascii="Times New Roman" w:hAnsi="Times New Roman" w:cs="Times New Roman" w:eastAsiaTheme="minorEastAsia"/>
                      <w:b/>
                      <w:bCs/>
                      <w:color w:val="auto"/>
                      <w:spacing w:val="6"/>
                      <w:sz w:val="21"/>
                      <w:szCs w:val="21"/>
                      <w:highlight w:val="none"/>
                      <w:lang w:eastAsia="zh-CN"/>
                    </w:rPr>
                    <w:t>废物代码</w:t>
                  </w:r>
                </w:p>
              </w:tc>
              <w:tc>
                <w:tcPr>
                  <w:tcW w:w="1116" w:type="dxa"/>
                  <w:vAlign w:val="center"/>
                </w:tcPr>
                <w:p w14:paraId="63BCD427">
                  <w:pPr>
                    <w:pStyle w:val="22"/>
                    <w:kinsoku/>
                    <w:spacing w:line="240" w:lineRule="atLeast"/>
                    <w:jc w:val="center"/>
                    <w:rPr>
                      <w:rFonts w:ascii="Times New Roman" w:hAnsi="Times New Roman" w:cs="Times New Roman" w:eastAsiaTheme="minorEastAsia"/>
                      <w:b/>
                      <w:bCs/>
                      <w:color w:val="auto"/>
                      <w:spacing w:val="6"/>
                      <w:sz w:val="21"/>
                      <w:szCs w:val="21"/>
                      <w:highlight w:val="none"/>
                      <w:lang w:eastAsia="zh-CN"/>
                    </w:rPr>
                  </w:pPr>
                  <w:r>
                    <w:rPr>
                      <w:rFonts w:ascii="Times New Roman" w:hAnsi="Times New Roman" w:cs="Times New Roman" w:eastAsiaTheme="minorEastAsia"/>
                      <w:b/>
                      <w:bCs/>
                      <w:color w:val="auto"/>
                      <w:spacing w:val="6"/>
                      <w:sz w:val="21"/>
                      <w:szCs w:val="21"/>
                      <w:highlight w:val="none"/>
                      <w:lang w:eastAsia="zh-CN"/>
                    </w:rPr>
                    <w:t>估算产生量（施工期）</w:t>
                  </w:r>
                </w:p>
              </w:tc>
              <w:tc>
                <w:tcPr>
                  <w:tcW w:w="3108" w:type="dxa"/>
                  <w:tcBorders>
                    <w:bottom w:val="single" w:color="auto" w:sz="4" w:space="0"/>
                    <w:right w:val="single" w:color="000000" w:sz="4" w:space="0"/>
                  </w:tcBorders>
                  <w:vAlign w:val="center"/>
                </w:tcPr>
                <w:p w14:paraId="5E23C537">
                  <w:pPr>
                    <w:pStyle w:val="22"/>
                    <w:kinsoku/>
                    <w:spacing w:before="81" w:line="218" w:lineRule="auto"/>
                    <w:jc w:val="center"/>
                    <w:rPr>
                      <w:rFonts w:ascii="Times New Roman" w:hAnsi="Times New Roman" w:cs="Times New Roman" w:eastAsiaTheme="minorEastAsia"/>
                      <w:b/>
                      <w:bCs/>
                      <w:color w:val="auto"/>
                      <w:spacing w:val="6"/>
                      <w:sz w:val="21"/>
                      <w:szCs w:val="21"/>
                      <w:highlight w:val="none"/>
                    </w:rPr>
                  </w:pPr>
                  <w:r>
                    <w:rPr>
                      <w:rFonts w:ascii="Times New Roman" w:hAnsi="Times New Roman" w:cs="Times New Roman" w:eastAsiaTheme="minorEastAsia"/>
                      <w:b/>
                      <w:bCs/>
                      <w:color w:val="auto"/>
                      <w:spacing w:val="6"/>
                      <w:sz w:val="21"/>
                      <w:szCs w:val="21"/>
                      <w:highlight w:val="none"/>
                      <w:lang w:eastAsia="zh-CN"/>
                    </w:rPr>
                    <w:t>采取的处理处置方式</w:t>
                  </w:r>
                </w:p>
              </w:tc>
            </w:tr>
            <w:tr w14:paraId="73FA2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jc w:val="center"/>
              </w:trPr>
              <w:tc>
                <w:tcPr>
                  <w:tcW w:w="360" w:type="dxa"/>
                  <w:vAlign w:val="center"/>
                </w:tcPr>
                <w:p w14:paraId="6491E63F">
                  <w:pPr>
                    <w:kinsoku/>
                    <w:spacing w:before="57"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1</w:t>
                  </w:r>
                </w:p>
              </w:tc>
              <w:tc>
                <w:tcPr>
                  <w:tcW w:w="941" w:type="dxa"/>
                  <w:vAlign w:val="center"/>
                </w:tcPr>
                <w:p w14:paraId="4C3AF2CD">
                  <w:pPr>
                    <w:kinsoku/>
                    <w:spacing w:before="57" w:line="195" w:lineRule="auto"/>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落地油泥</w:t>
                  </w:r>
                </w:p>
              </w:tc>
              <w:tc>
                <w:tcPr>
                  <w:tcW w:w="502" w:type="dxa"/>
                  <w:vMerge w:val="restart"/>
                  <w:vAlign w:val="center"/>
                </w:tcPr>
                <w:p w14:paraId="0C817C3D">
                  <w:pPr>
                    <w:kinsoku/>
                    <w:spacing w:before="263" w:line="195" w:lineRule="auto"/>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危险废物</w:t>
                  </w:r>
                </w:p>
              </w:tc>
              <w:tc>
                <w:tcPr>
                  <w:tcW w:w="539" w:type="dxa"/>
                  <w:vAlign w:val="center"/>
                </w:tcPr>
                <w:p w14:paraId="5E87FADD">
                  <w:pPr>
                    <w:kinsoku/>
                    <w:spacing w:before="263" w:line="195" w:lineRule="auto"/>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毒性T</w:t>
                  </w:r>
                  <w:r>
                    <w:rPr>
                      <w:rFonts w:ascii="Times New Roman" w:hAnsi="Times New Roman" w:cs="Times New Roman" w:eastAsiaTheme="minorEastAsia"/>
                      <w:color w:val="auto"/>
                      <w:highlight w:val="none"/>
                      <w:lang w:eastAsia="zh-CN"/>
                    </w:rPr>
                    <w:t>、</w:t>
                  </w:r>
                  <w:r>
                    <w:rPr>
                      <w:rFonts w:ascii="Times New Roman" w:hAnsi="Times New Roman" w:cs="Times New Roman" w:eastAsiaTheme="minorEastAsia"/>
                      <w:color w:val="auto"/>
                      <w:highlight w:val="none"/>
                    </w:rPr>
                    <w:t>易燃性I</w:t>
                  </w:r>
                </w:p>
              </w:tc>
              <w:tc>
                <w:tcPr>
                  <w:tcW w:w="702" w:type="dxa"/>
                  <w:vAlign w:val="center"/>
                </w:tcPr>
                <w:p w14:paraId="21AFCDCC">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rPr>
                    <w:t>HW08</w:t>
                  </w:r>
                </w:p>
              </w:tc>
              <w:tc>
                <w:tcPr>
                  <w:tcW w:w="767" w:type="dxa"/>
                  <w:vAlign w:val="center"/>
                </w:tcPr>
                <w:p w14:paraId="7076D8F5">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rPr>
                    <w:t>071-001-08</w:t>
                  </w:r>
                </w:p>
              </w:tc>
              <w:tc>
                <w:tcPr>
                  <w:tcW w:w="1116" w:type="dxa"/>
                  <w:vAlign w:val="center"/>
                </w:tcPr>
                <w:p w14:paraId="1A6E24A5">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lang w:eastAsia="zh-CN"/>
                    </w:rPr>
                    <w:t>0.1</w:t>
                  </w:r>
                  <w:r>
                    <w:rPr>
                      <w:rFonts w:ascii="Times New Roman" w:hAnsi="Times New Roman" w:cs="Times New Roman" w:eastAsiaTheme="minorEastAsia"/>
                      <w:color w:val="auto"/>
                      <w:spacing w:val="6"/>
                      <w:sz w:val="21"/>
                      <w:szCs w:val="21"/>
                      <w:highlight w:val="none"/>
                    </w:rPr>
                    <w:t>t</w:t>
                  </w:r>
                </w:p>
              </w:tc>
              <w:tc>
                <w:tcPr>
                  <w:tcW w:w="3108" w:type="dxa"/>
                  <w:tcBorders>
                    <w:top w:val="single" w:color="auto" w:sz="4" w:space="0"/>
                    <w:bottom w:val="single" w:color="auto" w:sz="4" w:space="0"/>
                    <w:right w:val="single" w:color="000000" w:sz="4" w:space="0"/>
                  </w:tcBorders>
                  <w:vAlign w:val="center"/>
                </w:tcPr>
                <w:p w14:paraId="0E808850">
                  <w:pPr>
                    <w:kinsoku/>
                    <w:spacing w:before="263"/>
                    <w:jc w:val="center"/>
                    <w:rPr>
                      <w:rFonts w:ascii="Times New Roman" w:hAnsi="Times New Roman" w:cs="Times New Roman" w:eastAsiaTheme="minorEastAsia"/>
                      <w:color w:val="auto"/>
                      <w:spacing w:val="1"/>
                      <w:highlight w:val="none"/>
                      <w:lang w:eastAsia="zh-CN"/>
                    </w:rPr>
                  </w:pPr>
                  <w:r>
                    <w:rPr>
                      <w:rFonts w:ascii="Times New Roman" w:hAnsi="Times New Roman" w:cs="Times New Roman" w:eastAsiaTheme="minorEastAsia"/>
                      <w:color w:val="auto"/>
                      <w:spacing w:val="1"/>
                      <w:highlight w:val="none"/>
                      <w:lang w:eastAsia="zh-CN"/>
                    </w:rPr>
                    <w:t>落地油泥暂存于专用钢制桶内，最终交由有危险废物处置资质的单位处置。</w:t>
                  </w:r>
                </w:p>
              </w:tc>
            </w:tr>
            <w:tr w14:paraId="06DD7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60" w:type="dxa"/>
                  <w:vAlign w:val="center"/>
                </w:tcPr>
                <w:p w14:paraId="5F6936D3">
                  <w:pPr>
                    <w:kinsoku/>
                    <w:spacing w:before="57"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2</w:t>
                  </w:r>
                </w:p>
              </w:tc>
              <w:tc>
                <w:tcPr>
                  <w:tcW w:w="941" w:type="dxa"/>
                  <w:vAlign w:val="center"/>
                </w:tcPr>
                <w:p w14:paraId="62692D6B">
                  <w:pPr>
                    <w:kinsoku/>
                    <w:spacing w:before="57" w:line="195" w:lineRule="auto"/>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废防渗材料</w:t>
                  </w:r>
                </w:p>
              </w:tc>
              <w:tc>
                <w:tcPr>
                  <w:tcW w:w="502" w:type="dxa"/>
                  <w:vMerge w:val="continue"/>
                  <w:vAlign w:val="center"/>
                </w:tcPr>
                <w:p w14:paraId="780049DE">
                  <w:pPr>
                    <w:kinsoku/>
                    <w:spacing w:before="263" w:line="195" w:lineRule="auto"/>
                    <w:jc w:val="center"/>
                    <w:rPr>
                      <w:rFonts w:ascii="Times New Roman" w:hAnsi="Times New Roman" w:cs="Times New Roman" w:eastAsiaTheme="minorEastAsia"/>
                      <w:color w:val="auto"/>
                      <w:highlight w:val="none"/>
                    </w:rPr>
                  </w:pPr>
                </w:p>
              </w:tc>
              <w:tc>
                <w:tcPr>
                  <w:tcW w:w="539" w:type="dxa"/>
                  <w:vAlign w:val="center"/>
                </w:tcPr>
                <w:p w14:paraId="3E1ECE59">
                  <w:pPr>
                    <w:kinsoku/>
                    <w:spacing w:before="263" w:line="195" w:lineRule="auto"/>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毒性T</w:t>
                  </w:r>
                  <w:r>
                    <w:rPr>
                      <w:rFonts w:ascii="Times New Roman" w:hAnsi="Times New Roman" w:cs="Times New Roman" w:eastAsiaTheme="minorEastAsia"/>
                      <w:color w:val="auto"/>
                      <w:highlight w:val="none"/>
                      <w:lang w:eastAsia="zh-CN"/>
                    </w:rPr>
                    <w:t>、</w:t>
                  </w:r>
                  <w:r>
                    <w:rPr>
                      <w:rFonts w:ascii="Times New Roman" w:hAnsi="Times New Roman" w:cs="Times New Roman" w:eastAsiaTheme="minorEastAsia"/>
                      <w:color w:val="auto"/>
                      <w:highlight w:val="none"/>
                    </w:rPr>
                    <w:t>易燃性I</w:t>
                  </w:r>
                </w:p>
              </w:tc>
              <w:tc>
                <w:tcPr>
                  <w:tcW w:w="702" w:type="dxa"/>
                  <w:vAlign w:val="center"/>
                </w:tcPr>
                <w:p w14:paraId="3EDEFA2F">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rPr>
                    <w:t>HW08</w:t>
                  </w:r>
                </w:p>
              </w:tc>
              <w:tc>
                <w:tcPr>
                  <w:tcW w:w="767" w:type="dxa"/>
                  <w:vAlign w:val="center"/>
                </w:tcPr>
                <w:p w14:paraId="0B30AC5A">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rPr>
                    <w:t>900-249-08</w:t>
                  </w:r>
                </w:p>
              </w:tc>
              <w:tc>
                <w:tcPr>
                  <w:tcW w:w="1116" w:type="dxa"/>
                  <w:vAlign w:val="center"/>
                </w:tcPr>
                <w:p w14:paraId="6550B2EA">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rPr>
                    <w:t>0.</w:t>
                  </w:r>
                  <w:r>
                    <w:rPr>
                      <w:rFonts w:ascii="Times New Roman" w:hAnsi="Times New Roman" w:cs="Times New Roman" w:eastAsiaTheme="minorEastAsia"/>
                      <w:color w:val="auto"/>
                      <w:spacing w:val="6"/>
                      <w:sz w:val="21"/>
                      <w:szCs w:val="21"/>
                      <w:highlight w:val="none"/>
                      <w:lang w:eastAsia="zh-CN"/>
                    </w:rPr>
                    <w:t>04</w:t>
                  </w:r>
                  <w:r>
                    <w:rPr>
                      <w:rFonts w:ascii="Times New Roman" w:hAnsi="Times New Roman" w:cs="Times New Roman" w:eastAsiaTheme="minorEastAsia"/>
                      <w:color w:val="auto"/>
                      <w:spacing w:val="6"/>
                      <w:sz w:val="21"/>
                      <w:szCs w:val="21"/>
                      <w:highlight w:val="none"/>
                    </w:rPr>
                    <w:t>t</w:t>
                  </w:r>
                </w:p>
              </w:tc>
              <w:tc>
                <w:tcPr>
                  <w:tcW w:w="3108" w:type="dxa"/>
                  <w:tcBorders>
                    <w:top w:val="single" w:color="auto" w:sz="4" w:space="0"/>
                    <w:bottom w:val="single" w:color="auto" w:sz="4" w:space="0"/>
                    <w:right w:val="single" w:color="000000" w:sz="4" w:space="0"/>
                  </w:tcBorders>
                  <w:vAlign w:val="center"/>
                </w:tcPr>
                <w:p w14:paraId="63EC9A04">
                  <w:pPr>
                    <w:kinsoku/>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施工结束后委托具有相应危险废物处置资质的单位进行处置。</w:t>
                  </w:r>
                </w:p>
              </w:tc>
            </w:tr>
            <w:tr w14:paraId="792C8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jc w:val="center"/>
              </w:trPr>
              <w:tc>
                <w:tcPr>
                  <w:tcW w:w="360" w:type="dxa"/>
                  <w:vAlign w:val="center"/>
                </w:tcPr>
                <w:p w14:paraId="785B2AB5">
                  <w:pPr>
                    <w:kinsoku/>
                    <w:spacing w:before="57"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3</w:t>
                  </w:r>
                </w:p>
              </w:tc>
              <w:tc>
                <w:tcPr>
                  <w:tcW w:w="941" w:type="dxa"/>
                  <w:vAlign w:val="center"/>
                </w:tcPr>
                <w:p w14:paraId="5C8249D4">
                  <w:pPr>
                    <w:kinsoku/>
                    <w:spacing w:before="57" w:line="195" w:lineRule="auto"/>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机械设备废油</w:t>
                  </w:r>
                </w:p>
              </w:tc>
              <w:tc>
                <w:tcPr>
                  <w:tcW w:w="502" w:type="dxa"/>
                  <w:vMerge w:val="continue"/>
                  <w:vAlign w:val="center"/>
                </w:tcPr>
                <w:p w14:paraId="0D572F66">
                  <w:pPr>
                    <w:kinsoku/>
                    <w:spacing w:before="263" w:line="195" w:lineRule="auto"/>
                    <w:jc w:val="center"/>
                    <w:rPr>
                      <w:rFonts w:ascii="Times New Roman" w:hAnsi="Times New Roman" w:cs="Times New Roman" w:eastAsiaTheme="minorEastAsia"/>
                      <w:color w:val="auto"/>
                      <w:highlight w:val="none"/>
                    </w:rPr>
                  </w:pPr>
                </w:p>
              </w:tc>
              <w:tc>
                <w:tcPr>
                  <w:tcW w:w="539" w:type="dxa"/>
                  <w:vAlign w:val="center"/>
                </w:tcPr>
                <w:p w14:paraId="64C20650">
                  <w:pPr>
                    <w:kinsoku/>
                    <w:spacing w:before="263" w:line="195" w:lineRule="auto"/>
                    <w:jc w:val="center"/>
                    <w:rPr>
                      <w:rFonts w:ascii="Times New Roman" w:hAnsi="Times New Roman" w:cs="Times New Roman" w:eastAsiaTheme="minorEastAsia"/>
                      <w:color w:val="auto"/>
                      <w:highlight w:val="none"/>
                    </w:rPr>
                  </w:pPr>
                  <w:r>
                    <w:rPr>
                      <w:rFonts w:ascii="Times New Roman" w:hAnsi="Times New Roman" w:cs="Times New Roman" w:eastAsiaTheme="minorEastAsia"/>
                      <w:color w:val="auto"/>
                      <w:highlight w:val="none"/>
                    </w:rPr>
                    <w:t>毒性T</w:t>
                  </w:r>
                  <w:r>
                    <w:rPr>
                      <w:rFonts w:ascii="Times New Roman" w:hAnsi="Times New Roman" w:cs="Times New Roman" w:eastAsiaTheme="minorEastAsia"/>
                      <w:color w:val="auto"/>
                      <w:highlight w:val="none"/>
                      <w:lang w:eastAsia="zh-CN"/>
                    </w:rPr>
                    <w:t>、</w:t>
                  </w:r>
                  <w:r>
                    <w:rPr>
                      <w:rFonts w:ascii="Times New Roman" w:hAnsi="Times New Roman" w:cs="Times New Roman" w:eastAsiaTheme="minorEastAsia"/>
                      <w:color w:val="auto"/>
                      <w:highlight w:val="none"/>
                    </w:rPr>
                    <w:t>易燃性I</w:t>
                  </w:r>
                </w:p>
              </w:tc>
              <w:tc>
                <w:tcPr>
                  <w:tcW w:w="702" w:type="dxa"/>
                  <w:vAlign w:val="center"/>
                </w:tcPr>
                <w:p w14:paraId="027915FD">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rPr>
                    <w:t>HW08</w:t>
                  </w:r>
                </w:p>
              </w:tc>
              <w:tc>
                <w:tcPr>
                  <w:tcW w:w="767" w:type="dxa"/>
                  <w:vAlign w:val="center"/>
                </w:tcPr>
                <w:p w14:paraId="7A4D461A">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rPr>
                    <w:t>900-214-08</w:t>
                  </w:r>
                </w:p>
              </w:tc>
              <w:tc>
                <w:tcPr>
                  <w:tcW w:w="1116" w:type="dxa"/>
                  <w:vAlign w:val="center"/>
                </w:tcPr>
                <w:p w14:paraId="01874053">
                  <w:pPr>
                    <w:pStyle w:val="22"/>
                    <w:kinsoku/>
                    <w:spacing w:before="65" w:line="228" w:lineRule="auto"/>
                    <w:jc w:val="center"/>
                    <w:rPr>
                      <w:rFonts w:ascii="Times New Roman" w:hAnsi="Times New Roman" w:cs="Times New Roman" w:eastAsiaTheme="minorEastAsia"/>
                      <w:color w:val="auto"/>
                      <w:spacing w:val="6"/>
                      <w:sz w:val="21"/>
                      <w:szCs w:val="21"/>
                      <w:highlight w:val="none"/>
                    </w:rPr>
                  </w:pPr>
                  <w:r>
                    <w:rPr>
                      <w:rFonts w:ascii="Times New Roman" w:hAnsi="Times New Roman" w:cs="Times New Roman" w:eastAsiaTheme="minorEastAsia"/>
                      <w:color w:val="auto"/>
                      <w:spacing w:val="6"/>
                      <w:sz w:val="21"/>
                      <w:szCs w:val="21"/>
                      <w:highlight w:val="none"/>
                      <w:lang w:eastAsia="zh-CN"/>
                    </w:rPr>
                    <w:t>1</w:t>
                  </w:r>
                  <w:r>
                    <w:rPr>
                      <w:rFonts w:ascii="Times New Roman" w:hAnsi="Times New Roman" w:cs="Times New Roman" w:eastAsiaTheme="minorEastAsia"/>
                      <w:color w:val="auto"/>
                      <w:spacing w:val="6"/>
                      <w:sz w:val="21"/>
                      <w:szCs w:val="21"/>
                      <w:highlight w:val="none"/>
                    </w:rPr>
                    <w:t>t</w:t>
                  </w:r>
                </w:p>
              </w:tc>
              <w:tc>
                <w:tcPr>
                  <w:tcW w:w="3108" w:type="dxa"/>
                  <w:vMerge w:val="restart"/>
                  <w:tcBorders>
                    <w:top w:val="single" w:color="auto" w:sz="4" w:space="0"/>
                    <w:bottom w:val="single" w:color="auto" w:sz="4" w:space="0"/>
                    <w:right w:val="single" w:color="000000" w:sz="4" w:space="0"/>
                  </w:tcBorders>
                  <w:vAlign w:val="center"/>
                </w:tcPr>
                <w:p w14:paraId="3CBB5159">
                  <w:pPr>
                    <w:pStyle w:val="22"/>
                    <w:kinsoku/>
                    <w:spacing w:before="65" w:line="252" w:lineRule="auto"/>
                    <w:ind w:right="71"/>
                    <w:jc w:val="center"/>
                    <w:rPr>
                      <w:rFonts w:ascii="Times New Roman" w:hAnsi="Times New Roman" w:cs="Times New Roman" w:eastAsiaTheme="minorEastAsia"/>
                      <w:color w:val="auto"/>
                      <w:sz w:val="21"/>
                      <w:szCs w:val="21"/>
                      <w:highlight w:val="none"/>
                      <w:lang w:eastAsia="zh-CN"/>
                    </w:rPr>
                  </w:pPr>
                  <w:r>
                    <w:rPr>
                      <w:rFonts w:ascii="Times New Roman" w:hAnsi="Times New Roman" w:cs="Times New Roman" w:eastAsiaTheme="minorEastAsia"/>
                      <w:color w:val="auto"/>
                      <w:spacing w:val="8"/>
                      <w:sz w:val="21"/>
                      <w:szCs w:val="21"/>
                      <w:highlight w:val="none"/>
                      <w:lang w:eastAsia="zh-CN"/>
                    </w:rPr>
                    <w:t>暂存至危废贮存点，委托有资质单位进行处置。</w:t>
                  </w:r>
                </w:p>
              </w:tc>
            </w:tr>
            <w:tr w14:paraId="3D29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jc w:val="center"/>
              </w:trPr>
              <w:tc>
                <w:tcPr>
                  <w:tcW w:w="360" w:type="dxa"/>
                  <w:vAlign w:val="center"/>
                </w:tcPr>
                <w:p w14:paraId="3C85C16D">
                  <w:pPr>
                    <w:kinsoku/>
                    <w:spacing w:before="57"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4</w:t>
                  </w:r>
                </w:p>
              </w:tc>
              <w:tc>
                <w:tcPr>
                  <w:tcW w:w="941" w:type="dxa"/>
                  <w:vAlign w:val="center"/>
                </w:tcPr>
                <w:p w14:paraId="725A50A1">
                  <w:pPr>
                    <w:kinsoku/>
                    <w:spacing w:before="57"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废润滑油桶</w:t>
                  </w:r>
                </w:p>
              </w:tc>
              <w:tc>
                <w:tcPr>
                  <w:tcW w:w="502" w:type="dxa"/>
                  <w:vMerge w:val="continue"/>
                  <w:vAlign w:val="center"/>
                </w:tcPr>
                <w:p w14:paraId="0DD42F1F">
                  <w:pPr>
                    <w:kinsoku/>
                    <w:spacing w:before="263" w:line="195" w:lineRule="auto"/>
                    <w:jc w:val="center"/>
                    <w:rPr>
                      <w:rFonts w:ascii="Times New Roman" w:hAnsi="Times New Roman" w:cs="Times New Roman" w:eastAsiaTheme="minorEastAsia"/>
                      <w:color w:val="auto"/>
                      <w:highlight w:val="none"/>
                      <w:lang w:eastAsia="zh-CN"/>
                    </w:rPr>
                  </w:pPr>
                </w:p>
              </w:tc>
              <w:tc>
                <w:tcPr>
                  <w:tcW w:w="539" w:type="dxa"/>
                  <w:vAlign w:val="center"/>
                </w:tcPr>
                <w:p w14:paraId="20206AD7">
                  <w:pPr>
                    <w:kinsoku/>
                    <w:spacing w:before="263"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毒性T</w:t>
                  </w:r>
                </w:p>
              </w:tc>
              <w:tc>
                <w:tcPr>
                  <w:tcW w:w="702" w:type="dxa"/>
                  <w:vAlign w:val="center"/>
                </w:tcPr>
                <w:p w14:paraId="16AF84E3">
                  <w:pPr>
                    <w:pStyle w:val="22"/>
                    <w:kinsoku/>
                    <w:spacing w:before="65" w:line="228" w:lineRule="auto"/>
                    <w:jc w:val="center"/>
                    <w:rPr>
                      <w:rFonts w:ascii="Times New Roman" w:hAnsi="Times New Roman" w:cs="Times New Roman" w:eastAsiaTheme="minorEastAsia"/>
                      <w:color w:val="auto"/>
                      <w:spacing w:val="6"/>
                      <w:sz w:val="21"/>
                      <w:szCs w:val="21"/>
                      <w:highlight w:val="none"/>
                      <w:lang w:eastAsia="zh-CN"/>
                    </w:rPr>
                  </w:pPr>
                  <w:r>
                    <w:rPr>
                      <w:rFonts w:ascii="Times New Roman" w:hAnsi="Times New Roman" w:cs="Times New Roman" w:eastAsiaTheme="minorEastAsia"/>
                      <w:color w:val="auto"/>
                      <w:spacing w:val="6"/>
                      <w:sz w:val="21"/>
                      <w:szCs w:val="21"/>
                      <w:highlight w:val="none"/>
                      <w:lang w:eastAsia="zh-CN"/>
                    </w:rPr>
                    <w:t>HW08</w:t>
                  </w:r>
                </w:p>
              </w:tc>
              <w:tc>
                <w:tcPr>
                  <w:tcW w:w="767" w:type="dxa"/>
                  <w:vAlign w:val="center"/>
                </w:tcPr>
                <w:p w14:paraId="6689B694">
                  <w:pPr>
                    <w:pStyle w:val="22"/>
                    <w:kinsoku/>
                    <w:spacing w:before="65" w:line="228" w:lineRule="auto"/>
                    <w:jc w:val="center"/>
                    <w:rPr>
                      <w:rFonts w:ascii="Times New Roman" w:hAnsi="Times New Roman" w:cs="Times New Roman" w:eastAsiaTheme="minorEastAsia"/>
                      <w:color w:val="auto"/>
                      <w:spacing w:val="6"/>
                      <w:sz w:val="21"/>
                      <w:szCs w:val="21"/>
                      <w:highlight w:val="none"/>
                      <w:lang w:eastAsia="zh-CN"/>
                    </w:rPr>
                  </w:pPr>
                  <w:r>
                    <w:rPr>
                      <w:rFonts w:ascii="Times New Roman" w:hAnsi="Times New Roman" w:cs="Times New Roman" w:eastAsiaTheme="minorEastAsia"/>
                      <w:color w:val="auto"/>
                      <w:spacing w:val="6"/>
                      <w:sz w:val="21"/>
                      <w:szCs w:val="21"/>
                      <w:highlight w:val="none"/>
                      <w:lang w:eastAsia="zh-CN"/>
                    </w:rPr>
                    <w:t>900-249-08</w:t>
                  </w:r>
                </w:p>
              </w:tc>
              <w:tc>
                <w:tcPr>
                  <w:tcW w:w="1116" w:type="dxa"/>
                  <w:vAlign w:val="center"/>
                </w:tcPr>
                <w:p w14:paraId="4C2E3BDC">
                  <w:pPr>
                    <w:pStyle w:val="22"/>
                    <w:kinsoku/>
                    <w:spacing w:before="65" w:line="228" w:lineRule="auto"/>
                    <w:jc w:val="center"/>
                    <w:rPr>
                      <w:rFonts w:ascii="Times New Roman" w:hAnsi="Times New Roman" w:cs="Times New Roman" w:eastAsiaTheme="minorEastAsia"/>
                      <w:color w:val="auto"/>
                      <w:spacing w:val="6"/>
                      <w:sz w:val="21"/>
                      <w:szCs w:val="21"/>
                      <w:highlight w:val="none"/>
                      <w:lang w:eastAsia="zh-CN"/>
                    </w:rPr>
                  </w:pPr>
                  <w:r>
                    <w:rPr>
                      <w:rFonts w:ascii="Times New Roman" w:hAnsi="Times New Roman" w:cs="Times New Roman" w:eastAsiaTheme="minorEastAsia"/>
                      <w:color w:val="auto"/>
                      <w:spacing w:val="6"/>
                      <w:sz w:val="21"/>
                      <w:szCs w:val="21"/>
                      <w:highlight w:val="none"/>
                      <w:lang w:eastAsia="zh-CN"/>
                    </w:rPr>
                    <w:t>0.05t</w:t>
                  </w:r>
                </w:p>
              </w:tc>
              <w:tc>
                <w:tcPr>
                  <w:tcW w:w="3108" w:type="dxa"/>
                  <w:vMerge w:val="continue"/>
                  <w:tcBorders>
                    <w:top w:val="single" w:color="auto" w:sz="4" w:space="0"/>
                    <w:bottom w:val="single" w:color="auto" w:sz="4" w:space="0"/>
                    <w:right w:val="single" w:color="000000" w:sz="4" w:space="0"/>
                  </w:tcBorders>
                  <w:vAlign w:val="center"/>
                </w:tcPr>
                <w:p w14:paraId="24BB3693">
                  <w:pPr>
                    <w:kinsoku/>
                    <w:jc w:val="center"/>
                    <w:rPr>
                      <w:rFonts w:ascii="Times New Roman" w:hAnsi="Times New Roman" w:cs="Times New Roman" w:eastAsiaTheme="minorEastAsia"/>
                      <w:color w:val="auto"/>
                      <w:highlight w:val="none"/>
                      <w:lang w:eastAsia="zh-CN"/>
                    </w:rPr>
                  </w:pPr>
                </w:p>
              </w:tc>
            </w:tr>
            <w:tr w14:paraId="2EA96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jc w:val="center"/>
              </w:trPr>
              <w:tc>
                <w:tcPr>
                  <w:tcW w:w="360" w:type="dxa"/>
                  <w:vAlign w:val="center"/>
                </w:tcPr>
                <w:p w14:paraId="37524A76">
                  <w:pPr>
                    <w:kinsoku/>
                    <w:spacing w:before="57"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5</w:t>
                  </w:r>
                </w:p>
              </w:tc>
              <w:tc>
                <w:tcPr>
                  <w:tcW w:w="941" w:type="dxa"/>
                  <w:vAlign w:val="center"/>
                </w:tcPr>
                <w:p w14:paraId="6AFF68AE">
                  <w:pPr>
                    <w:kinsoku/>
                    <w:spacing w:before="57"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油基泥浆和岩屑</w:t>
                  </w:r>
                </w:p>
              </w:tc>
              <w:tc>
                <w:tcPr>
                  <w:tcW w:w="502" w:type="dxa"/>
                  <w:vMerge w:val="continue"/>
                  <w:vAlign w:val="center"/>
                </w:tcPr>
                <w:p w14:paraId="635FD6EA">
                  <w:pPr>
                    <w:kinsoku/>
                    <w:spacing w:before="263" w:line="195" w:lineRule="auto"/>
                    <w:jc w:val="center"/>
                    <w:rPr>
                      <w:rFonts w:ascii="Times New Roman" w:hAnsi="Times New Roman" w:cs="Times New Roman" w:eastAsiaTheme="minorEastAsia"/>
                      <w:color w:val="auto"/>
                      <w:highlight w:val="none"/>
                      <w:lang w:eastAsia="zh-CN"/>
                    </w:rPr>
                  </w:pPr>
                </w:p>
              </w:tc>
              <w:tc>
                <w:tcPr>
                  <w:tcW w:w="539" w:type="dxa"/>
                  <w:vAlign w:val="center"/>
                </w:tcPr>
                <w:p w14:paraId="6EC4CB03">
                  <w:pPr>
                    <w:kinsoku/>
                    <w:spacing w:before="263" w:line="195" w:lineRule="auto"/>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毒性T</w:t>
                  </w:r>
                </w:p>
              </w:tc>
              <w:tc>
                <w:tcPr>
                  <w:tcW w:w="702" w:type="dxa"/>
                  <w:vAlign w:val="center"/>
                </w:tcPr>
                <w:p w14:paraId="0EAD2389">
                  <w:pPr>
                    <w:pStyle w:val="22"/>
                    <w:kinsoku/>
                    <w:spacing w:before="65" w:line="228" w:lineRule="auto"/>
                    <w:jc w:val="center"/>
                    <w:rPr>
                      <w:rFonts w:ascii="Times New Roman" w:hAnsi="Times New Roman" w:cs="Times New Roman" w:eastAsiaTheme="minorEastAsia"/>
                      <w:color w:val="auto"/>
                      <w:spacing w:val="6"/>
                      <w:sz w:val="21"/>
                      <w:szCs w:val="21"/>
                      <w:highlight w:val="none"/>
                      <w:lang w:eastAsia="zh-CN"/>
                    </w:rPr>
                  </w:pPr>
                  <w:r>
                    <w:rPr>
                      <w:rFonts w:ascii="Times New Roman" w:hAnsi="Times New Roman" w:cs="Times New Roman" w:eastAsiaTheme="minorEastAsia"/>
                      <w:color w:val="auto"/>
                      <w:spacing w:val="6"/>
                      <w:sz w:val="21"/>
                      <w:szCs w:val="21"/>
                      <w:highlight w:val="none"/>
                      <w:lang w:eastAsia="zh-CN"/>
                    </w:rPr>
                    <w:t>HW08</w:t>
                  </w:r>
                </w:p>
              </w:tc>
              <w:tc>
                <w:tcPr>
                  <w:tcW w:w="767" w:type="dxa"/>
                  <w:vAlign w:val="center"/>
                </w:tcPr>
                <w:p w14:paraId="2338F28C">
                  <w:pPr>
                    <w:pStyle w:val="22"/>
                    <w:kinsoku/>
                    <w:spacing w:before="65" w:line="228" w:lineRule="auto"/>
                    <w:jc w:val="center"/>
                    <w:rPr>
                      <w:rFonts w:ascii="Times New Roman" w:hAnsi="Times New Roman" w:cs="Times New Roman" w:eastAsiaTheme="minorEastAsia"/>
                      <w:color w:val="auto"/>
                      <w:spacing w:val="6"/>
                      <w:sz w:val="21"/>
                      <w:szCs w:val="21"/>
                      <w:highlight w:val="none"/>
                      <w:lang w:eastAsia="zh-CN"/>
                    </w:rPr>
                  </w:pPr>
                  <w:r>
                    <w:rPr>
                      <w:rFonts w:ascii="Times New Roman" w:hAnsi="Times New Roman" w:cs="Times New Roman" w:eastAsiaTheme="minorEastAsia"/>
                      <w:color w:val="auto"/>
                      <w:spacing w:val="3"/>
                      <w:highlight w:val="none"/>
                      <w:lang w:eastAsia="zh-CN"/>
                    </w:rPr>
                    <w:t>071-002-08</w:t>
                  </w:r>
                </w:p>
              </w:tc>
              <w:tc>
                <w:tcPr>
                  <w:tcW w:w="1116" w:type="dxa"/>
                  <w:vAlign w:val="center"/>
                </w:tcPr>
                <w:p w14:paraId="5ABDAC0A">
                  <w:pPr>
                    <w:pStyle w:val="22"/>
                    <w:kinsoku/>
                    <w:spacing w:before="65" w:line="228" w:lineRule="auto"/>
                    <w:jc w:val="center"/>
                    <w:rPr>
                      <w:rFonts w:ascii="Times New Roman" w:hAnsi="Times New Roman" w:cs="Times New Roman" w:eastAsiaTheme="minorEastAsia"/>
                      <w:color w:val="auto"/>
                      <w:spacing w:val="6"/>
                      <w:sz w:val="21"/>
                      <w:szCs w:val="21"/>
                      <w:highlight w:val="none"/>
                      <w:lang w:eastAsia="zh-CN"/>
                    </w:rPr>
                  </w:pPr>
                  <w:r>
                    <w:rPr>
                      <w:rFonts w:ascii="Times New Roman" w:hAnsi="Times New Roman" w:cs="Times New Roman" w:eastAsiaTheme="minorEastAsia"/>
                      <w:color w:val="auto"/>
                      <w:spacing w:val="6"/>
                      <w:sz w:val="21"/>
                      <w:szCs w:val="21"/>
                      <w:highlight w:val="none"/>
                      <w:lang w:eastAsia="zh-CN"/>
                    </w:rPr>
                    <w:t>453.04</w:t>
                  </w:r>
                  <w:r>
                    <w:rPr>
                      <w:rFonts w:ascii="Times New Roman" w:hAnsi="Times New Roman" w:cs="Times New Roman" w:eastAsiaTheme="minorEastAsia"/>
                      <w:color w:val="auto"/>
                      <w:spacing w:val="4"/>
                      <w:highlight w:val="none"/>
                      <w:lang w:eastAsia="zh-CN"/>
                    </w:rPr>
                    <w:t>m</w:t>
                  </w:r>
                  <w:r>
                    <w:rPr>
                      <w:rFonts w:ascii="Times New Roman" w:hAnsi="Times New Roman" w:cs="Times New Roman" w:eastAsiaTheme="minorEastAsia"/>
                      <w:color w:val="auto"/>
                      <w:spacing w:val="4"/>
                      <w:highlight w:val="none"/>
                      <w:vertAlign w:val="superscript"/>
                      <w:lang w:eastAsia="zh-CN"/>
                    </w:rPr>
                    <w:t>3</w:t>
                  </w:r>
                </w:p>
              </w:tc>
              <w:tc>
                <w:tcPr>
                  <w:tcW w:w="3108" w:type="dxa"/>
                  <w:tcBorders>
                    <w:top w:val="single" w:color="auto" w:sz="4" w:space="0"/>
                    <w:bottom w:val="single" w:color="auto" w:sz="4" w:space="0"/>
                    <w:right w:val="single" w:color="000000" w:sz="4" w:space="0"/>
                  </w:tcBorders>
                  <w:vAlign w:val="center"/>
                </w:tcPr>
                <w:p w14:paraId="397DEAE7">
                  <w:pPr>
                    <w:kinsoku/>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暂存至危废贮存点，委托有资质单位进行处置。</w:t>
                  </w:r>
                </w:p>
              </w:tc>
            </w:tr>
          </w:tbl>
          <w:p w14:paraId="76BF1BD9">
            <w:pPr>
              <w:pStyle w:val="8"/>
              <w:widowControl w:val="0"/>
              <w:kinsoku/>
              <w:spacing w:line="360" w:lineRule="auto"/>
              <w:jc w:val="both"/>
              <w:rPr>
                <w:rFonts w:ascii="Times New Roman" w:hAnsi="Times New Roman" w:eastAsia="宋体" w:cs="Times New Roman"/>
                <w:b/>
                <w:bCs/>
                <w:color w:val="auto"/>
                <w:spacing w:val="-2"/>
                <w:sz w:val="24"/>
                <w:szCs w:val="24"/>
                <w:highlight w:val="none"/>
                <w:lang w:eastAsia="zh-CN"/>
              </w:rPr>
            </w:pPr>
            <w:r>
              <w:rPr>
                <w:rFonts w:ascii="Times New Roman" w:hAnsi="Times New Roman" w:eastAsia="宋体" w:cs="Times New Roman"/>
                <w:b/>
                <w:bCs/>
                <w:color w:val="auto"/>
                <w:spacing w:val="-2"/>
                <w:sz w:val="24"/>
                <w:szCs w:val="24"/>
                <w:highlight w:val="none"/>
                <w:lang w:eastAsia="zh-CN"/>
              </w:rPr>
              <w:t>7.环境风险影响分析</w:t>
            </w:r>
          </w:p>
          <w:p w14:paraId="1C9C3BD6">
            <w:pPr>
              <w:pStyle w:val="8"/>
              <w:widowControl w:val="0"/>
              <w:kinsoku/>
              <w:spacing w:line="360" w:lineRule="auto"/>
              <w:jc w:val="both"/>
              <w:rPr>
                <w:rFonts w:ascii="Times New Roman" w:hAnsi="Times New Roman" w:eastAsia="宋体" w:cs="Times New Roman"/>
                <w:b/>
                <w:bCs/>
                <w:color w:val="auto"/>
                <w:spacing w:val="-2"/>
                <w:sz w:val="24"/>
                <w:szCs w:val="24"/>
                <w:highlight w:val="none"/>
                <w:lang w:eastAsia="zh-CN"/>
              </w:rPr>
            </w:pPr>
            <w:r>
              <w:rPr>
                <w:rFonts w:ascii="Times New Roman" w:hAnsi="Times New Roman" w:eastAsia="宋体" w:cs="Times New Roman"/>
                <w:b/>
                <w:bCs/>
                <w:color w:val="auto"/>
                <w:spacing w:val="-2"/>
                <w:sz w:val="24"/>
                <w:szCs w:val="24"/>
                <w:highlight w:val="none"/>
                <w:lang w:eastAsia="zh-CN"/>
              </w:rPr>
              <w:t>7.1评价依据</w:t>
            </w:r>
          </w:p>
          <w:p w14:paraId="30B038B7">
            <w:pPr>
              <w:pStyle w:val="8"/>
              <w:widowControl w:val="0"/>
              <w:kinsoku/>
              <w:spacing w:line="360" w:lineRule="auto"/>
              <w:ind w:firstLine="48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钻井期涉及的危险物质主要为柴油、废润滑油及沾油废防渗材料；试油期涉及的危险物质主要为原油、柴油。根据《建设项目环境风险评价技术导则》（HJ169-2018）附录B可知，柴油、废润滑油属于“油类物质”，废润滑油桶和沾油废防渗材料为含油废物（各危险物质在线量分别以沾油废防渗材料和废润滑油桶中油类含量计），临界量均为2500t。</w:t>
            </w:r>
          </w:p>
          <w:p w14:paraId="737C9241">
            <w:pPr>
              <w:pStyle w:val="8"/>
              <w:widowControl w:val="0"/>
              <w:kinsoku/>
              <w:spacing w:line="360" w:lineRule="auto"/>
              <w:ind w:firstLine="48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根据相关资料可知，各钻井平台柴油储罐的最大储存量约20t；危险废物废润滑油、废润滑油桶及沾油废防渗材料中石油类最大暂存量约为1t。则钻井期油类物质的危险物质数量与临界量比值Q=0.008＜1。</w:t>
            </w:r>
          </w:p>
          <w:p w14:paraId="0D03B649">
            <w:pPr>
              <w:pStyle w:val="8"/>
              <w:widowControl w:val="0"/>
              <w:kinsoku/>
              <w:spacing w:line="360" w:lineRule="auto"/>
              <w:ind w:firstLine="48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试油期产生的伴生气气量不稳定，伴生气和伴生气中的硫化氢最大存在总量远低于其临界量（伴生气临界量10t，硫化氢临界量2.5t）；试油期柴油在钻井平台的日常储量为20t，试油期钻井平台设置原油储罐1个，油罐容积为60m</w:t>
            </w:r>
            <w:r>
              <w:rPr>
                <w:rFonts w:ascii="Times New Roman" w:hAnsi="Times New Roman" w:eastAsia="宋体" w:cs="Times New Roman"/>
                <w:color w:val="auto"/>
                <w:spacing w:val="-2"/>
                <w:sz w:val="24"/>
                <w:szCs w:val="24"/>
                <w:highlight w:val="none"/>
                <w:vertAlign w:val="superscript"/>
                <w:lang w:eastAsia="zh-CN"/>
              </w:rPr>
              <w:t>3</w:t>
            </w:r>
            <w:r>
              <w:rPr>
                <w:rFonts w:ascii="Times New Roman" w:hAnsi="Times New Roman" w:eastAsia="宋体" w:cs="Times New Roman"/>
                <w:color w:val="auto"/>
                <w:spacing w:val="-2"/>
                <w:sz w:val="24"/>
                <w:szCs w:val="24"/>
                <w:highlight w:val="none"/>
                <w:lang w:eastAsia="zh-CN"/>
              </w:rPr>
              <w:t>，原油平均密度为0.87g/cm</w:t>
            </w:r>
            <w:r>
              <w:rPr>
                <w:rFonts w:ascii="Times New Roman" w:hAnsi="Times New Roman" w:eastAsia="宋体" w:cs="Times New Roman"/>
                <w:color w:val="auto"/>
                <w:spacing w:val="-2"/>
                <w:sz w:val="24"/>
                <w:szCs w:val="24"/>
                <w:highlight w:val="none"/>
                <w:vertAlign w:val="superscript"/>
                <w:lang w:eastAsia="zh-CN"/>
              </w:rPr>
              <w:t>3</w:t>
            </w:r>
            <w:r>
              <w:rPr>
                <w:rFonts w:ascii="Times New Roman" w:hAnsi="Times New Roman" w:eastAsia="宋体" w:cs="Times New Roman"/>
                <w:color w:val="auto"/>
                <w:spacing w:val="-2"/>
                <w:sz w:val="24"/>
                <w:szCs w:val="24"/>
                <w:highlight w:val="none"/>
                <w:lang w:eastAsia="zh-CN"/>
              </w:rPr>
              <w:t>，则采出液中原油最大储存量约52.2t，试油期油类物质的危险物质数量与临界量比值Q=0.0289＜1，风险潜势为Ⅰ。评价等级为简单分析。</w:t>
            </w:r>
          </w:p>
          <w:p w14:paraId="6274CCEF">
            <w:pPr>
              <w:pStyle w:val="8"/>
              <w:widowControl w:val="0"/>
              <w:kinsoku/>
              <w:spacing w:line="360" w:lineRule="auto"/>
              <w:ind w:firstLine="48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事故状态下，若发生井喷或者储罐泄漏事故，无法回收的原油和受污染的土壤形成落地油，落地油属于HW08类危险废物（废物代码：071-001-08），落地油产生量根据具体事故情形而定，落地油泥用专用罐收集，最终交由有危险废物处置资质的单位处置。</w:t>
            </w:r>
          </w:p>
          <w:p w14:paraId="35E6D26E">
            <w:pPr>
              <w:pStyle w:val="8"/>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钻井井场和试油井场各危险物质与临界量的比值计算情况具体见表4-8。</w:t>
            </w:r>
          </w:p>
          <w:p w14:paraId="7323851F">
            <w:pPr>
              <w:pStyle w:val="30"/>
              <w:widowControl w:val="0"/>
              <w:kinsoku/>
              <w:rPr>
                <w:rFonts w:ascii="Times New Roman" w:hAnsi="Times New Roman" w:eastAsia="宋体" w:cs="Times New Roman"/>
                <w:b/>
                <w:bCs/>
                <w:color w:val="auto"/>
                <w:spacing w:val="5"/>
                <w:szCs w:val="21"/>
                <w:highlight w:val="none"/>
                <w:lang w:eastAsia="zh-CN"/>
              </w:rPr>
            </w:pPr>
            <w:r>
              <w:rPr>
                <w:rFonts w:ascii="Times New Roman" w:hAnsi="Times New Roman" w:eastAsia="宋体" w:cs="Times New Roman"/>
                <w:b/>
                <w:bCs/>
                <w:color w:val="auto"/>
                <w:spacing w:val="5"/>
                <w:szCs w:val="21"/>
                <w:highlight w:val="none"/>
                <w:lang w:eastAsia="zh-CN"/>
              </w:rPr>
              <w:t>表4-8 本项目井场各风险单元Q值一览表</w:t>
            </w:r>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790"/>
              <w:gridCol w:w="2366"/>
              <w:gridCol w:w="1585"/>
              <w:gridCol w:w="1292"/>
              <w:gridCol w:w="968"/>
              <w:gridCol w:w="1089"/>
            </w:tblGrid>
            <w:tr w14:paraId="3B4539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jc w:val="center"/>
              </w:trPr>
              <w:tc>
                <w:tcPr>
                  <w:tcW w:w="488" w:type="pct"/>
                  <w:tcBorders>
                    <w:bottom w:val="single" w:color="auto" w:sz="4" w:space="0"/>
                    <w:right w:val="single" w:color="auto" w:sz="4" w:space="0"/>
                  </w:tcBorders>
                  <w:vAlign w:val="center"/>
                </w:tcPr>
                <w:p w14:paraId="34B6FB2F">
                  <w:pPr>
                    <w:pStyle w:val="8"/>
                    <w:kinsoku/>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风险单位</w:t>
                  </w:r>
                </w:p>
              </w:tc>
              <w:tc>
                <w:tcPr>
                  <w:tcW w:w="1461" w:type="pct"/>
                  <w:tcBorders>
                    <w:left w:val="single" w:color="auto" w:sz="4" w:space="0"/>
                    <w:bottom w:val="single" w:color="auto" w:sz="4" w:space="0"/>
                    <w:right w:val="single" w:color="auto" w:sz="4" w:space="0"/>
                  </w:tcBorders>
                  <w:vAlign w:val="center"/>
                </w:tcPr>
                <w:p w14:paraId="6ACF1CE7">
                  <w:pPr>
                    <w:pStyle w:val="8"/>
                    <w:kinsoku/>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危险物质名称</w:t>
                  </w:r>
                </w:p>
              </w:tc>
              <w:tc>
                <w:tcPr>
                  <w:tcW w:w="979" w:type="pct"/>
                  <w:tcBorders>
                    <w:left w:val="single" w:color="auto" w:sz="4" w:space="0"/>
                    <w:bottom w:val="single" w:color="auto" w:sz="4" w:space="0"/>
                    <w:right w:val="single" w:color="auto" w:sz="4" w:space="0"/>
                  </w:tcBorders>
                  <w:vAlign w:val="center"/>
                </w:tcPr>
                <w:p w14:paraId="2694BA2A">
                  <w:pPr>
                    <w:pStyle w:val="8"/>
                    <w:kinsoku/>
                    <w:jc w:val="center"/>
                    <w:rPr>
                      <w:rFonts w:ascii="Times New Roman" w:hAnsi="Times New Roman" w:eastAsia="宋体" w:cs="Times New Roman"/>
                      <w:b/>
                      <w:bCs/>
                      <w:color w:val="auto"/>
                      <w:sz w:val="21"/>
                      <w:szCs w:val="21"/>
                      <w:highlight w:val="none"/>
                      <w:lang w:eastAsia="zh-CN"/>
                    </w:rPr>
                  </w:pPr>
                  <w:r>
                    <w:rPr>
                      <w:rFonts w:ascii="Times New Roman" w:hAnsi="Times New Roman" w:eastAsia="宋体" w:cs="Times New Roman"/>
                      <w:b/>
                      <w:bCs/>
                      <w:color w:val="auto"/>
                      <w:sz w:val="21"/>
                      <w:szCs w:val="21"/>
                      <w:highlight w:val="none"/>
                      <w:lang w:eastAsia="zh-CN"/>
                    </w:rPr>
                    <w:t>危险物质最大在线量（t）</w:t>
                  </w:r>
                </w:p>
              </w:tc>
              <w:tc>
                <w:tcPr>
                  <w:tcW w:w="798" w:type="pct"/>
                  <w:tcBorders>
                    <w:left w:val="single" w:color="auto" w:sz="4" w:space="0"/>
                    <w:bottom w:val="single" w:color="auto" w:sz="4" w:space="0"/>
                    <w:right w:val="single" w:color="auto" w:sz="4" w:space="0"/>
                  </w:tcBorders>
                  <w:vAlign w:val="center"/>
                </w:tcPr>
                <w:p w14:paraId="32B694A2">
                  <w:pPr>
                    <w:pStyle w:val="8"/>
                    <w:kinsoku/>
                    <w:jc w:val="center"/>
                    <w:rPr>
                      <w:rFonts w:ascii="Times New Roman" w:hAnsi="Times New Roman" w:eastAsia="宋体" w:cs="Times New Roman"/>
                      <w:b/>
                      <w:bCs/>
                      <w:color w:val="auto"/>
                      <w:sz w:val="21"/>
                      <w:szCs w:val="21"/>
                      <w:highlight w:val="none"/>
                      <w:lang w:eastAsia="zh-CN"/>
                    </w:rPr>
                  </w:pPr>
                  <w:r>
                    <w:rPr>
                      <w:rFonts w:ascii="Times New Roman" w:hAnsi="Times New Roman" w:eastAsia="宋体" w:cs="Times New Roman"/>
                      <w:b/>
                      <w:bCs/>
                      <w:color w:val="auto"/>
                      <w:sz w:val="21"/>
                      <w:szCs w:val="21"/>
                      <w:highlight w:val="none"/>
                      <w:lang w:eastAsia="zh-CN"/>
                    </w:rPr>
                    <w:t>危险物质临界量（t）</w:t>
                  </w:r>
                </w:p>
              </w:tc>
              <w:tc>
                <w:tcPr>
                  <w:tcW w:w="598" w:type="pct"/>
                  <w:tcBorders>
                    <w:left w:val="single" w:color="auto" w:sz="4" w:space="0"/>
                    <w:bottom w:val="single" w:color="auto" w:sz="4" w:space="0"/>
                    <w:right w:val="single" w:color="auto" w:sz="4" w:space="0"/>
                  </w:tcBorders>
                  <w:vAlign w:val="center"/>
                </w:tcPr>
                <w:p w14:paraId="2170C73F">
                  <w:pPr>
                    <w:pStyle w:val="8"/>
                    <w:kinsoku/>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Q值</w:t>
                  </w:r>
                </w:p>
              </w:tc>
              <w:tc>
                <w:tcPr>
                  <w:tcW w:w="672" w:type="pct"/>
                  <w:tcBorders>
                    <w:left w:val="single" w:color="auto" w:sz="4" w:space="0"/>
                    <w:bottom w:val="single" w:color="auto" w:sz="4" w:space="0"/>
                  </w:tcBorders>
                  <w:vAlign w:val="center"/>
                </w:tcPr>
                <w:p w14:paraId="7E987ECB">
                  <w:pPr>
                    <w:pStyle w:val="8"/>
                    <w:kinsoku/>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风险潜势等级</w:t>
                  </w:r>
                </w:p>
              </w:tc>
            </w:tr>
            <w:tr w14:paraId="3EF530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restart"/>
                  <w:tcBorders>
                    <w:top w:val="single" w:color="auto" w:sz="4" w:space="0"/>
                    <w:right w:val="single" w:color="auto" w:sz="4" w:space="0"/>
                  </w:tcBorders>
                  <w:vAlign w:val="center"/>
                </w:tcPr>
                <w:p w14:paraId="69C7DB5E">
                  <w:pPr>
                    <w:kinsoku/>
                    <w:spacing w:before="57" w:line="195"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钻井井场</w:t>
                  </w:r>
                </w:p>
              </w:tc>
              <w:tc>
                <w:tcPr>
                  <w:tcW w:w="1461" w:type="pct"/>
                  <w:tcBorders>
                    <w:top w:val="single" w:color="auto" w:sz="4" w:space="0"/>
                    <w:left w:val="single" w:color="auto" w:sz="4" w:space="0"/>
                    <w:bottom w:val="single" w:color="auto" w:sz="4" w:space="0"/>
                    <w:right w:val="single" w:color="auto" w:sz="4" w:space="0"/>
                  </w:tcBorders>
                  <w:vAlign w:val="center"/>
                </w:tcPr>
                <w:p w14:paraId="33379A30">
                  <w:pPr>
                    <w:kinsoku/>
                    <w:spacing w:before="57" w:line="195"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7722F2A2">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20</w:t>
                  </w:r>
                </w:p>
              </w:tc>
              <w:tc>
                <w:tcPr>
                  <w:tcW w:w="798" w:type="pct"/>
                  <w:tcBorders>
                    <w:top w:val="single" w:color="auto" w:sz="4" w:space="0"/>
                    <w:left w:val="single" w:color="auto" w:sz="4" w:space="0"/>
                    <w:bottom w:val="single" w:color="auto" w:sz="4" w:space="0"/>
                    <w:right w:val="single" w:color="auto" w:sz="4" w:space="0"/>
                  </w:tcBorders>
                  <w:vAlign w:val="center"/>
                </w:tcPr>
                <w:p w14:paraId="12C330D5">
                  <w:pPr>
                    <w:kinsoku/>
                    <w:spacing w:before="57" w:line="195"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5351825">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0.00</w:t>
                  </w:r>
                  <w:r>
                    <w:rPr>
                      <w:rFonts w:ascii="Times New Roman" w:hAnsi="Times New Roman" w:eastAsia="宋体" w:cs="Times New Roman"/>
                      <w:color w:val="auto"/>
                      <w:highlight w:val="none"/>
                      <w:lang w:eastAsia="zh-CN"/>
                    </w:rPr>
                    <w:t>8</w:t>
                  </w:r>
                </w:p>
              </w:tc>
              <w:tc>
                <w:tcPr>
                  <w:tcW w:w="672" w:type="pct"/>
                  <w:vMerge w:val="restart"/>
                  <w:tcBorders>
                    <w:top w:val="single" w:color="auto" w:sz="4" w:space="0"/>
                    <w:left w:val="single" w:color="auto" w:sz="4" w:space="0"/>
                    <w:bottom w:val="single" w:color="auto" w:sz="4" w:space="0"/>
                  </w:tcBorders>
                  <w:vAlign w:val="center"/>
                </w:tcPr>
                <w:p w14:paraId="40EC2932">
                  <w:pPr>
                    <w:pStyle w:val="8"/>
                    <w:kinsoku/>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Ⅰ</w:t>
                  </w:r>
                </w:p>
              </w:tc>
            </w:tr>
            <w:tr w14:paraId="02F8A89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continue"/>
                  <w:tcBorders>
                    <w:right w:val="single" w:color="auto" w:sz="4" w:space="0"/>
                  </w:tcBorders>
                  <w:vAlign w:val="center"/>
                </w:tcPr>
                <w:p w14:paraId="5F497705">
                  <w:pPr>
                    <w:kinsoku/>
                    <w:spacing w:before="57" w:line="195" w:lineRule="auto"/>
                    <w:jc w:val="center"/>
                    <w:rPr>
                      <w:rFonts w:ascii="Times New Roman" w:hAnsi="Times New Roman" w:eastAsia="宋体" w:cs="Times New Roman"/>
                      <w:color w:val="auto"/>
                      <w:highlight w:val="none"/>
                    </w:rPr>
                  </w:pPr>
                </w:p>
              </w:tc>
              <w:tc>
                <w:tcPr>
                  <w:tcW w:w="1461" w:type="pct"/>
                  <w:tcBorders>
                    <w:top w:val="single" w:color="auto" w:sz="4" w:space="0"/>
                    <w:left w:val="single" w:color="auto" w:sz="4" w:space="0"/>
                    <w:bottom w:val="single" w:color="auto" w:sz="4" w:space="0"/>
                    <w:right w:val="single" w:color="auto" w:sz="4" w:space="0"/>
                  </w:tcBorders>
                  <w:vAlign w:val="center"/>
                </w:tcPr>
                <w:p w14:paraId="2067DE40">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废润滑油、废润滑油桶及沾油废防渗材料</w:t>
                  </w:r>
                </w:p>
              </w:tc>
              <w:tc>
                <w:tcPr>
                  <w:tcW w:w="979" w:type="pct"/>
                  <w:tcBorders>
                    <w:top w:val="single" w:color="auto" w:sz="4" w:space="0"/>
                    <w:left w:val="single" w:color="auto" w:sz="4" w:space="0"/>
                    <w:bottom w:val="single" w:color="auto" w:sz="4" w:space="0"/>
                    <w:right w:val="single" w:color="auto" w:sz="4" w:space="0"/>
                  </w:tcBorders>
                  <w:vAlign w:val="center"/>
                </w:tcPr>
                <w:p w14:paraId="4BC5F226">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w:t>
                  </w:r>
                </w:p>
              </w:tc>
              <w:tc>
                <w:tcPr>
                  <w:tcW w:w="798" w:type="pct"/>
                  <w:tcBorders>
                    <w:top w:val="single" w:color="auto" w:sz="4" w:space="0"/>
                    <w:left w:val="single" w:color="auto" w:sz="4" w:space="0"/>
                    <w:bottom w:val="single" w:color="auto" w:sz="4" w:space="0"/>
                    <w:right w:val="single" w:color="auto" w:sz="4" w:space="0"/>
                  </w:tcBorders>
                  <w:vAlign w:val="center"/>
                </w:tcPr>
                <w:p w14:paraId="03E77ECA">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2F7BCD5">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0.0004</w:t>
                  </w:r>
                </w:p>
              </w:tc>
              <w:tc>
                <w:tcPr>
                  <w:tcW w:w="672" w:type="pct"/>
                  <w:vMerge w:val="continue"/>
                  <w:tcBorders>
                    <w:top w:val="single" w:color="auto" w:sz="4" w:space="0"/>
                    <w:left w:val="single" w:color="auto" w:sz="4" w:space="0"/>
                    <w:bottom w:val="single" w:color="auto" w:sz="4" w:space="0"/>
                  </w:tcBorders>
                  <w:vAlign w:val="center"/>
                </w:tcPr>
                <w:p w14:paraId="55143316">
                  <w:pPr>
                    <w:pStyle w:val="8"/>
                    <w:kinsoku/>
                    <w:jc w:val="center"/>
                    <w:rPr>
                      <w:rFonts w:ascii="Times New Roman" w:hAnsi="Times New Roman" w:eastAsia="宋体" w:cs="Times New Roman"/>
                      <w:color w:val="auto"/>
                      <w:sz w:val="21"/>
                      <w:szCs w:val="21"/>
                      <w:highlight w:val="none"/>
                      <w:lang w:eastAsia="zh-CN"/>
                    </w:rPr>
                  </w:pPr>
                </w:p>
              </w:tc>
            </w:tr>
            <w:tr w14:paraId="1990DB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tcBorders>
                    <w:top w:val="single" w:color="auto" w:sz="4" w:space="0"/>
                    <w:bottom w:val="single" w:color="auto" w:sz="4" w:space="0"/>
                    <w:right w:val="single" w:color="auto" w:sz="4" w:space="0"/>
                  </w:tcBorders>
                  <w:vAlign w:val="center"/>
                </w:tcPr>
                <w:p w14:paraId="1867606D">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小计</w:t>
                  </w:r>
                </w:p>
              </w:tc>
              <w:tc>
                <w:tcPr>
                  <w:tcW w:w="1461" w:type="pct"/>
                  <w:tcBorders>
                    <w:top w:val="single" w:color="auto" w:sz="4" w:space="0"/>
                    <w:left w:val="single" w:color="auto" w:sz="4" w:space="0"/>
                    <w:bottom w:val="single" w:color="auto" w:sz="4" w:space="0"/>
                    <w:right w:val="single" w:color="auto" w:sz="4" w:space="0"/>
                  </w:tcBorders>
                  <w:vAlign w:val="center"/>
                </w:tcPr>
                <w:p w14:paraId="50EAED59">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979" w:type="pct"/>
                  <w:tcBorders>
                    <w:top w:val="single" w:color="auto" w:sz="4" w:space="0"/>
                    <w:left w:val="single" w:color="auto" w:sz="4" w:space="0"/>
                    <w:bottom w:val="single" w:color="auto" w:sz="4" w:space="0"/>
                    <w:right w:val="single" w:color="auto" w:sz="4" w:space="0"/>
                  </w:tcBorders>
                  <w:vAlign w:val="center"/>
                </w:tcPr>
                <w:p w14:paraId="5FA03F34">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798" w:type="pct"/>
                  <w:tcBorders>
                    <w:top w:val="single" w:color="auto" w:sz="4" w:space="0"/>
                    <w:left w:val="single" w:color="auto" w:sz="4" w:space="0"/>
                    <w:bottom w:val="single" w:color="auto" w:sz="4" w:space="0"/>
                    <w:right w:val="single" w:color="auto" w:sz="4" w:space="0"/>
                  </w:tcBorders>
                  <w:vAlign w:val="center"/>
                </w:tcPr>
                <w:p w14:paraId="21A59FDC">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598" w:type="pct"/>
                  <w:tcBorders>
                    <w:top w:val="single" w:color="auto" w:sz="4" w:space="0"/>
                    <w:left w:val="single" w:color="auto" w:sz="4" w:space="0"/>
                    <w:bottom w:val="single" w:color="auto" w:sz="4" w:space="0"/>
                    <w:right w:val="single" w:color="auto" w:sz="4" w:space="0"/>
                  </w:tcBorders>
                  <w:vAlign w:val="center"/>
                </w:tcPr>
                <w:p w14:paraId="69F278F6">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0.0084</w:t>
                  </w:r>
                </w:p>
              </w:tc>
              <w:tc>
                <w:tcPr>
                  <w:tcW w:w="672" w:type="pct"/>
                  <w:vMerge w:val="continue"/>
                  <w:tcBorders>
                    <w:top w:val="single" w:color="auto" w:sz="4" w:space="0"/>
                    <w:left w:val="single" w:color="auto" w:sz="4" w:space="0"/>
                    <w:bottom w:val="single" w:color="auto" w:sz="4" w:space="0"/>
                  </w:tcBorders>
                  <w:vAlign w:val="center"/>
                </w:tcPr>
                <w:p w14:paraId="16175E7F">
                  <w:pPr>
                    <w:pStyle w:val="8"/>
                    <w:kinsoku/>
                    <w:jc w:val="center"/>
                    <w:rPr>
                      <w:rFonts w:ascii="Times New Roman" w:hAnsi="Times New Roman" w:eastAsia="宋体" w:cs="Times New Roman"/>
                      <w:color w:val="auto"/>
                      <w:sz w:val="21"/>
                      <w:szCs w:val="21"/>
                      <w:highlight w:val="none"/>
                      <w:lang w:eastAsia="zh-CN"/>
                    </w:rPr>
                  </w:pPr>
                </w:p>
              </w:tc>
            </w:tr>
            <w:tr w14:paraId="5BFF4B6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restart"/>
                  <w:tcBorders>
                    <w:top w:val="single" w:color="auto" w:sz="4" w:space="0"/>
                    <w:bottom w:val="single" w:color="auto" w:sz="4" w:space="0"/>
                    <w:right w:val="single" w:color="auto" w:sz="4" w:space="0"/>
                  </w:tcBorders>
                  <w:vAlign w:val="center"/>
                </w:tcPr>
                <w:p w14:paraId="6543402E">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试油井场</w:t>
                  </w:r>
                </w:p>
              </w:tc>
              <w:tc>
                <w:tcPr>
                  <w:tcW w:w="1461" w:type="pct"/>
                  <w:tcBorders>
                    <w:top w:val="single" w:color="auto" w:sz="4" w:space="0"/>
                    <w:left w:val="single" w:color="auto" w:sz="4" w:space="0"/>
                    <w:bottom w:val="single" w:color="auto" w:sz="4" w:space="0"/>
                    <w:right w:val="single" w:color="auto" w:sz="4" w:space="0"/>
                  </w:tcBorders>
                  <w:vAlign w:val="center"/>
                </w:tcPr>
                <w:p w14:paraId="600218FF">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4B85EB3E">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20</w:t>
                  </w:r>
                </w:p>
              </w:tc>
              <w:tc>
                <w:tcPr>
                  <w:tcW w:w="798" w:type="pct"/>
                  <w:tcBorders>
                    <w:top w:val="single" w:color="auto" w:sz="4" w:space="0"/>
                    <w:left w:val="single" w:color="auto" w:sz="4" w:space="0"/>
                    <w:bottom w:val="single" w:color="auto" w:sz="4" w:space="0"/>
                    <w:right w:val="single" w:color="auto" w:sz="4" w:space="0"/>
                  </w:tcBorders>
                  <w:vAlign w:val="center"/>
                </w:tcPr>
                <w:p w14:paraId="6B9E85FC">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3B86F3EE">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0.008</w:t>
                  </w:r>
                </w:p>
              </w:tc>
              <w:tc>
                <w:tcPr>
                  <w:tcW w:w="672" w:type="pct"/>
                  <w:vMerge w:val="restart"/>
                  <w:tcBorders>
                    <w:top w:val="single" w:color="auto" w:sz="4" w:space="0"/>
                    <w:left w:val="single" w:color="auto" w:sz="4" w:space="0"/>
                    <w:bottom w:val="single" w:color="auto" w:sz="4" w:space="0"/>
                  </w:tcBorders>
                  <w:vAlign w:val="center"/>
                </w:tcPr>
                <w:p w14:paraId="4348D424">
                  <w:pPr>
                    <w:pStyle w:val="8"/>
                    <w:kinsoku/>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Ⅰ</w:t>
                  </w:r>
                </w:p>
              </w:tc>
            </w:tr>
            <w:tr w14:paraId="733432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continue"/>
                  <w:tcBorders>
                    <w:top w:val="single" w:color="auto" w:sz="4" w:space="0"/>
                    <w:bottom w:val="single" w:color="auto" w:sz="4" w:space="0"/>
                    <w:right w:val="single" w:color="auto" w:sz="4" w:space="0"/>
                  </w:tcBorders>
                  <w:vAlign w:val="center"/>
                </w:tcPr>
                <w:p w14:paraId="6BFBD46D">
                  <w:pPr>
                    <w:kinsoku/>
                    <w:spacing w:before="57" w:line="195" w:lineRule="auto"/>
                    <w:jc w:val="center"/>
                    <w:rPr>
                      <w:rFonts w:ascii="Times New Roman" w:hAnsi="Times New Roman" w:eastAsia="宋体" w:cs="Times New Roman"/>
                      <w:color w:val="auto"/>
                      <w:highlight w:val="none"/>
                      <w:lang w:eastAsia="zh-CN"/>
                    </w:rPr>
                  </w:pPr>
                </w:p>
              </w:tc>
              <w:tc>
                <w:tcPr>
                  <w:tcW w:w="1461" w:type="pct"/>
                  <w:tcBorders>
                    <w:top w:val="single" w:color="auto" w:sz="4" w:space="0"/>
                    <w:left w:val="single" w:color="auto" w:sz="4" w:space="0"/>
                    <w:bottom w:val="single" w:color="auto" w:sz="4" w:space="0"/>
                    <w:right w:val="single" w:color="auto" w:sz="4" w:space="0"/>
                  </w:tcBorders>
                  <w:vAlign w:val="center"/>
                </w:tcPr>
                <w:p w14:paraId="37115408">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采出液中原油</w:t>
                  </w:r>
                </w:p>
              </w:tc>
              <w:tc>
                <w:tcPr>
                  <w:tcW w:w="979" w:type="pct"/>
                  <w:tcBorders>
                    <w:top w:val="single" w:color="auto" w:sz="4" w:space="0"/>
                    <w:left w:val="single" w:color="auto" w:sz="4" w:space="0"/>
                    <w:bottom w:val="single" w:color="auto" w:sz="4" w:space="0"/>
                    <w:right w:val="single" w:color="auto" w:sz="4" w:space="0"/>
                  </w:tcBorders>
                  <w:vAlign w:val="center"/>
                </w:tcPr>
                <w:p w14:paraId="2ED18941">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52.2</w:t>
                  </w:r>
                </w:p>
              </w:tc>
              <w:tc>
                <w:tcPr>
                  <w:tcW w:w="798" w:type="pct"/>
                  <w:tcBorders>
                    <w:top w:val="single" w:color="auto" w:sz="4" w:space="0"/>
                    <w:left w:val="single" w:color="auto" w:sz="4" w:space="0"/>
                    <w:bottom w:val="single" w:color="auto" w:sz="4" w:space="0"/>
                    <w:right w:val="single" w:color="auto" w:sz="4" w:space="0"/>
                  </w:tcBorders>
                  <w:vAlign w:val="center"/>
                </w:tcPr>
                <w:p w14:paraId="378B4DFE">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763BD8C5">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0.0209</w:t>
                  </w:r>
                </w:p>
              </w:tc>
              <w:tc>
                <w:tcPr>
                  <w:tcW w:w="672" w:type="pct"/>
                  <w:vMerge w:val="continue"/>
                  <w:tcBorders>
                    <w:top w:val="single" w:color="auto" w:sz="4" w:space="0"/>
                    <w:left w:val="single" w:color="auto" w:sz="4" w:space="0"/>
                    <w:bottom w:val="single" w:color="auto" w:sz="4" w:space="0"/>
                  </w:tcBorders>
                  <w:vAlign w:val="center"/>
                </w:tcPr>
                <w:p w14:paraId="70F7F30D">
                  <w:pPr>
                    <w:pStyle w:val="8"/>
                    <w:kinsoku/>
                    <w:ind w:firstLine="420"/>
                    <w:rPr>
                      <w:rFonts w:ascii="Times New Roman" w:hAnsi="Times New Roman" w:eastAsia="宋体" w:cs="Times New Roman"/>
                      <w:color w:val="auto"/>
                      <w:sz w:val="21"/>
                      <w:szCs w:val="21"/>
                      <w:highlight w:val="none"/>
                      <w:lang w:eastAsia="zh-CN"/>
                    </w:rPr>
                  </w:pPr>
                </w:p>
              </w:tc>
            </w:tr>
            <w:tr w14:paraId="6279A5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40" w:hRule="atLeast"/>
                <w:jc w:val="center"/>
              </w:trPr>
              <w:tc>
                <w:tcPr>
                  <w:tcW w:w="488" w:type="pct"/>
                  <w:tcBorders>
                    <w:top w:val="single" w:color="auto" w:sz="4" w:space="0"/>
                    <w:right w:val="single" w:color="auto" w:sz="4" w:space="0"/>
                  </w:tcBorders>
                  <w:vAlign w:val="center"/>
                </w:tcPr>
                <w:p w14:paraId="348B1743">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小计</w:t>
                  </w:r>
                </w:p>
              </w:tc>
              <w:tc>
                <w:tcPr>
                  <w:tcW w:w="1461" w:type="pct"/>
                  <w:tcBorders>
                    <w:top w:val="single" w:color="auto" w:sz="4" w:space="0"/>
                    <w:left w:val="single" w:color="auto" w:sz="4" w:space="0"/>
                    <w:right w:val="single" w:color="auto" w:sz="4" w:space="0"/>
                  </w:tcBorders>
                  <w:vAlign w:val="center"/>
                </w:tcPr>
                <w:p w14:paraId="57082B66">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979" w:type="pct"/>
                  <w:tcBorders>
                    <w:top w:val="single" w:color="auto" w:sz="4" w:space="0"/>
                    <w:left w:val="single" w:color="auto" w:sz="4" w:space="0"/>
                    <w:right w:val="single" w:color="auto" w:sz="4" w:space="0"/>
                  </w:tcBorders>
                  <w:vAlign w:val="center"/>
                </w:tcPr>
                <w:p w14:paraId="6F75BB86">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798" w:type="pct"/>
                  <w:tcBorders>
                    <w:top w:val="single" w:color="auto" w:sz="4" w:space="0"/>
                    <w:left w:val="single" w:color="auto" w:sz="4" w:space="0"/>
                    <w:right w:val="single" w:color="auto" w:sz="4" w:space="0"/>
                  </w:tcBorders>
                  <w:vAlign w:val="center"/>
                </w:tcPr>
                <w:p w14:paraId="12A7EADC">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598" w:type="pct"/>
                  <w:tcBorders>
                    <w:top w:val="single" w:color="auto" w:sz="4" w:space="0"/>
                    <w:left w:val="single" w:color="auto" w:sz="4" w:space="0"/>
                    <w:right w:val="single" w:color="auto" w:sz="4" w:space="0"/>
                  </w:tcBorders>
                  <w:vAlign w:val="center"/>
                </w:tcPr>
                <w:p w14:paraId="4EE9B20B">
                  <w:pPr>
                    <w:kinsoku/>
                    <w:spacing w:before="57" w:line="195"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0.0289</w:t>
                  </w:r>
                </w:p>
              </w:tc>
              <w:tc>
                <w:tcPr>
                  <w:tcW w:w="672" w:type="pct"/>
                  <w:vMerge w:val="continue"/>
                  <w:tcBorders>
                    <w:top w:val="single" w:color="auto" w:sz="4" w:space="0"/>
                    <w:left w:val="single" w:color="auto" w:sz="4" w:space="0"/>
                  </w:tcBorders>
                  <w:vAlign w:val="center"/>
                </w:tcPr>
                <w:p w14:paraId="76602BB5">
                  <w:pPr>
                    <w:pStyle w:val="8"/>
                    <w:kinsoku/>
                    <w:ind w:firstLine="420"/>
                    <w:rPr>
                      <w:rFonts w:ascii="Times New Roman" w:hAnsi="Times New Roman" w:eastAsia="宋体" w:cs="Times New Roman"/>
                      <w:color w:val="auto"/>
                      <w:sz w:val="21"/>
                      <w:szCs w:val="21"/>
                      <w:highlight w:val="none"/>
                      <w:lang w:eastAsia="zh-CN"/>
                    </w:rPr>
                  </w:pPr>
                </w:p>
              </w:tc>
            </w:tr>
          </w:tbl>
          <w:p w14:paraId="6FC2BB3C">
            <w:pPr>
              <w:pStyle w:val="8"/>
              <w:widowControl w:val="0"/>
              <w:kinsoku/>
              <w:spacing w:line="360" w:lineRule="auto"/>
              <w:ind w:firstLine="482"/>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综上所述，井场钻井期、试油期Q值均小于1，评价工作等级为简单分析。</w:t>
            </w:r>
          </w:p>
          <w:p w14:paraId="1C95F1B9">
            <w:pPr>
              <w:pStyle w:val="8"/>
              <w:widowControl w:val="0"/>
              <w:kinsoku/>
              <w:spacing w:line="360" w:lineRule="auto"/>
              <w:jc w:val="both"/>
              <w:rPr>
                <w:rFonts w:ascii="Times New Roman" w:hAnsi="Times New Roman" w:eastAsia="宋体" w:cs="Times New Roman"/>
                <w:b/>
                <w:bCs/>
                <w:color w:val="auto"/>
                <w:spacing w:val="-2"/>
                <w:sz w:val="24"/>
                <w:szCs w:val="24"/>
                <w:highlight w:val="none"/>
                <w:lang w:eastAsia="zh-CN"/>
              </w:rPr>
            </w:pPr>
            <w:r>
              <w:rPr>
                <w:rFonts w:ascii="Times New Roman" w:hAnsi="Times New Roman" w:eastAsia="宋体" w:cs="Times New Roman"/>
                <w:b/>
                <w:bCs/>
                <w:color w:val="auto"/>
                <w:spacing w:val="-2"/>
                <w:sz w:val="24"/>
                <w:szCs w:val="24"/>
                <w:highlight w:val="none"/>
                <w:lang w:eastAsia="zh-CN"/>
              </w:rPr>
              <w:t>7.2环境敏感目标概况</w:t>
            </w:r>
          </w:p>
          <w:p w14:paraId="3F6702AD">
            <w:pPr>
              <w:pStyle w:val="8"/>
              <w:widowControl w:val="0"/>
              <w:kinsoku/>
              <w:spacing w:line="360" w:lineRule="auto"/>
              <w:ind w:firstLine="482"/>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根据《建设项目环境风险评价技术导则》（HJ169-2018）的规定，项目开展简单分析，不设环境风险评价范围。</w:t>
            </w:r>
          </w:p>
          <w:p w14:paraId="6DDE70B9">
            <w:pPr>
              <w:pStyle w:val="8"/>
              <w:widowControl w:val="0"/>
              <w:kinsoku/>
              <w:spacing w:line="360" w:lineRule="auto"/>
              <w:ind w:firstLine="482"/>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经调查，项目所在区域为戈壁地区，干旱少雨，项目区周围3km范围内有村庄，无重要生物群落、无地表水体。本次拟部署的井场中，</w:t>
            </w:r>
            <w:r>
              <w:rPr>
                <w:rFonts w:hint="eastAsia" w:ascii="Times New Roman" w:hAnsi="Times New Roman" w:cs="Times New Roman"/>
                <w:color w:val="auto"/>
                <w:spacing w:val="-2"/>
                <w:sz w:val="24"/>
                <w:szCs w:val="24"/>
                <w:highlight w:val="none"/>
                <w:lang w:val="en-US" w:eastAsia="zh-CN"/>
              </w:rPr>
              <w:t>项目西侧约900米有基本农田分布，东侧约900米有耕地分布</w:t>
            </w:r>
            <w:r>
              <w:rPr>
                <w:rFonts w:ascii="Times New Roman" w:hAnsi="Times New Roman" w:eastAsia="宋体" w:cs="Times New Roman"/>
                <w:color w:val="auto"/>
                <w:spacing w:val="-2"/>
                <w:sz w:val="24"/>
                <w:szCs w:val="24"/>
                <w:highlight w:val="none"/>
                <w:lang w:eastAsia="zh-CN"/>
              </w:rPr>
              <w:t>，属于土壤环境敏感目标。</w:t>
            </w:r>
          </w:p>
          <w:p w14:paraId="09976D29">
            <w:pPr>
              <w:pStyle w:val="8"/>
              <w:widowControl w:val="0"/>
              <w:kinsoku/>
              <w:spacing w:line="360" w:lineRule="auto"/>
              <w:jc w:val="both"/>
              <w:rPr>
                <w:rFonts w:ascii="Times New Roman" w:hAnsi="Times New Roman" w:eastAsia="宋体" w:cs="Times New Roman"/>
                <w:b/>
                <w:bCs/>
                <w:color w:val="auto"/>
                <w:spacing w:val="-2"/>
                <w:sz w:val="24"/>
                <w:szCs w:val="24"/>
                <w:highlight w:val="none"/>
                <w:lang w:eastAsia="zh-CN"/>
              </w:rPr>
            </w:pPr>
            <w:r>
              <w:rPr>
                <w:rFonts w:ascii="Times New Roman" w:hAnsi="Times New Roman" w:eastAsia="宋体" w:cs="Times New Roman"/>
                <w:b/>
                <w:bCs/>
                <w:color w:val="auto"/>
                <w:spacing w:val="-2"/>
                <w:sz w:val="24"/>
                <w:szCs w:val="24"/>
                <w:highlight w:val="none"/>
                <w:lang w:eastAsia="zh-CN"/>
              </w:rPr>
              <w:t>7.3环境风险识别</w:t>
            </w:r>
          </w:p>
          <w:p w14:paraId="11436C6E">
            <w:pPr>
              <w:pStyle w:val="8"/>
              <w:widowControl w:val="0"/>
              <w:kinsoku/>
              <w:spacing w:line="360" w:lineRule="auto"/>
              <w:ind w:firstLine="480"/>
              <w:jc w:val="both"/>
              <w:rPr>
                <w:rFonts w:ascii="Times New Roman" w:hAnsi="Times New Roman" w:eastAsia="宋体" w:cs="Times New Roman"/>
                <w:color w:val="auto"/>
                <w:spacing w:val="-2"/>
                <w:sz w:val="24"/>
                <w:szCs w:val="24"/>
                <w:highlight w:val="none"/>
                <w:lang w:eastAsia="zh-CN"/>
              </w:rPr>
            </w:pPr>
            <w:r>
              <w:rPr>
                <w:rFonts w:ascii="Cambria Math" w:hAnsi="Cambria Math" w:eastAsia="宋体" w:cs="Cambria Math"/>
                <w:color w:val="auto"/>
                <w:spacing w:val="-2"/>
                <w:sz w:val="24"/>
                <w:szCs w:val="24"/>
                <w:highlight w:val="none"/>
                <w:lang w:eastAsia="zh-CN"/>
              </w:rPr>
              <w:t>①</w:t>
            </w:r>
            <w:r>
              <w:rPr>
                <w:rFonts w:ascii="Times New Roman" w:hAnsi="Times New Roman" w:eastAsia="宋体" w:cs="Times New Roman"/>
                <w:color w:val="auto"/>
                <w:spacing w:val="-2"/>
                <w:sz w:val="24"/>
                <w:szCs w:val="24"/>
                <w:highlight w:val="none"/>
                <w:lang w:eastAsia="zh-CN"/>
              </w:rPr>
              <w:t>危险物质识别</w:t>
            </w:r>
          </w:p>
          <w:p w14:paraId="62A363B8">
            <w:pPr>
              <w:pStyle w:val="8"/>
              <w:widowControl w:val="0"/>
              <w:kinsoku/>
              <w:spacing w:line="360" w:lineRule="auto"/>
              <w:ind w:firstLine="48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2"/>
                <w:sz w:val="24"/>
                <w:szCs w:val="24"/>
                <w:highlight w:val="none"/>
                <w:lang w:eastAsia="zh-CN"/>
              </w:rPr>
              <w:t>施工期间涉及的环境危险物质主要为柴油、原油、伴生气（主要成分为天然气）</w:t>
            </w:r>
            <w:bookmarkStart w:id="20" w:name="OLE_LINK52"/>
            <w:r>
              <w:rPr>
                <w:rFonts w:ascii="Times New Roman" w:hAnsi="Times New Roman" w:eastAsia="宋体" w:cs="Times New Roman"/>
                <w:color w:val="auto"/>
                <w:spacing w:val="-2"/>
                <w:sz w:val="24"/>
                <w:szCs w:val="24"/>
                <w:highlight w:val="none"/>
                <w:lang w:eastAsia="zh-CN"/>
              </w:rPr>
              <w:t>和伴生气中可能存在的少量硫化氢</w:t>
            </w:r>
            <w:bookmarkEnd w:id="20"/>
            <w:r>
              <w:rPr>
                <w:rFonts w:ascii="Times New Roman" w:hAnsi="Times New Roman" w:eastAsia="宋体" w:cs="Times New Roman"/>
                <w:color w:val="auto"/>
                <w:spacing w:val="-2"/>
                <w:sz w:val="24"/>
                <w:szCs w:val="24"/>
                <w:highlight w:val="none"/>
                <w:lang w:eastAsia="zh-CN"/>
              </w:rPr>
              <w:t>等，其主要物化、毒理性质、危险等级划分及影响途径见表4-9。</w:t>
            </w:r>
          </w:p>
          <w:p w14:paraId="313566AE">
            <w:pPr>
              <w:pStyle w:val="8"/>
              <w:widowControl w:val="0"/>
              <w:kinsoku/>
              <w:jc w:val="center"/>
              <w:rPr>
                <w:rFonts w:ascii="Times New Roman" w:hAnsi="Times New Roman" w:eastAsia="宋体" w:cs="Times New Roman"/>
                <w:b/>
                <w:bCs/>
                <w:color w:val="auto"/>
                <w:spacing w:val="5"/>
                <w:sz w:val="21"/>
                <w:szCs w:val="21"/>
                <w:highlight w:val="none"/>
                <w:lang w:eastAsia="zh-CN"/>
              </w:rPr>
            </w:pPr>
            <w:r>
              <w:rPr>
                <w:rFonts w:ascii="Times New Roman" w:hAnsi="Times New Roman" w:eastAsia="宋体" w:cs="Times New Roman"/>
                <w:b/>
                <w:bCs/>
                <w:color w:val="auto"/>
                <w:spacing w:val="5"/>
                <w:sz w:val="21"/>
                <w:szCs w:val="21"/>
                <w:highlight w:val="none"/>
                <w:lang w:eastAsia="zh-CN"/>
              </w:rPr>
              <w:t xml:space="preserve">表4-9 </w:t>
            </w:r>
            <w:r>
              <w:rPr>
                <w:rFonts w:ascii="Times New Roman" w:hAnsi="Times New Roman" w:eastAsia="宋体" w:cs="Times New Roman"/>
                <w:b/>
                <w:bCs/>
                <w:color w:val="auto"/>
                <w:spacing w:val="5"/>
                <w:sz w:val="21"/>
                <w:szCs w:val="21"/>
                <w:highlight w:val="none"/>
                <w:lang w:val="zh-CN" w:eastAsia="zh-CN"/>
              </w:rPr>
              <w:t>原油、柴油、伴生气和硫化氢理化性质及危险级别分类</w:t>
            </w:r>
            <w:r>
              <w:rPr>
                <w:rFonts w:ascii="Times New Roman" w:hAnsi="Times New Roman" w:eastAsia="宋体" w:cs="Times New Roman"/>
                <w:b/>
                <w:bCs/>
                <w:color w:val="auto"/>
                <w:spacing w:val="5"/>
                <w:sz w:val="21"/>
                <w:szCs w:val="21"/>
                <w:highlight w:val="none"/>
                <w:lang w:eastAsia="zh-CN"/>
              </w:rPr>
              <w:t>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485"/>
              <w:gridCol w:w="869"/>
              <w:gridCol w:w="3095"/>
              <w:gridCol w:w="1744"/>
              <w:gridCol w:w="698"/>
              <w:gridCol w:w="724"/>
            </w:tblGrid>
            <w:tr w14:paraId="14150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top w:val="single" w:color="auto" w:sz="4" w:space="0"/>
                    <w:left w:val="single" w:color="auto" w:sz="0" w:space="0"/>
                  </w:tcBorders>
                  <w:vAlign w:val="center"/>
                </w:tcPr>
                <w:p w14:paraId="68B0FD12">
                  <w:pPr>
                    <w:widowControl w:val="0"/>
                    <w:kinsoku/>
                    <w:spacing w:line="28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序号</w:t>
                  </w:r>
                </w:p>
              </w:tc>
              <w:tc>
                <w:tcPr>
                  <w:tcW w:w="299" w:type="pct"/>
                  <w:tcBorders>
                    <w:top w:val="single" w:color="auto" w:sz="4" w:space="0"/>
                  </w:tcBorders>
                  <w:vAlign w:val="center"/>
                </w:tcPr>
                <w:p w14:paraId="68E98FE7">
                  <w:pPr>
                    <w:widowControl w:val="0"/>
                    <w:kinsoku/>
                    <w:spacing w:line="28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名称</w:t>
                  </w:r>
                </w:p>
              </w:tc>
              <w:tc>
                <w:tcPr>
                  <w:tcW w:w="536" w:type="pct"/>
                  <w:tcBorders>
                    <w:top w:val="single" w:color="auto" w:sz="4" w:space="0"/>
                  </w:tcBorders>
                  <w:vAlign w:val="center"/>
                </w:tcPr>
                <w:p w14:paraId="63426E20">
                  <w:pPr>
                    <w:widowControl w:val="0"/>
                    <w:kinsoku/>
                    <w:spacing w:line="28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组分</w:t>
                  </w:r>
                </w:p>
              </w:tc>
              <w:tc>
                <w:tcPr>
                  <w:tcW w:w="1910" w:type="pct"/>
                  <w:tcBorders>
                    <w:top w:val="single" w:color="auto" w:sz="4" w:space="0"/>
                  </w:tcBorders>
                  <w:vAlign w:val="center"/>
                </w:tcPr>
                <w:p w14:paraId="0687C055">
                  <w:pPr>
                    <w:widowControl w:val="0"/>
                    <w:kinsoku/>
                    <w:spacing w:line="28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危险性</w:t>
                  </w:r>
                </w:p>
              </w:tc>
              <w:tc>
                <w:tcPr>
                  <w:tcW w:w="1076" w:type="pct"/>
                  <w:tcBorders>
                    <w:top w:val="single" w:color="auto" w:sz="4" w:space="0"/>
                  </w:tcBorders>
                  <w:vAlign w:val="center"/>
                </w:tcPr>
                <w:p w14:paraId="20EA3647">
                  <w:pPr>
                    <w:widowControl w:val="0"/>
                    <w:kinsoku/>
                    <w:spacing w:line="28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燃烧爆炸特性参数</w:t>
                  </w:r>
                </w:p>
              </w:tc>
              <w:tc>
                <w:tcPr>
                  <w:tcW w:w="431" w:type="pct"/>
                  <w:tcBorders>
                    <w:top w:val="single" w:color="auto" w:sz="4" w:space="0"/>
                  </w:tcBorders>
                  <w:vAlign w:val="center"/>
                </w:tcPr>
                <w:p w14:paraId="5430FA83">
                  <w:pPr>
                    <w:widowControl w:val="0"/>
                    <w:kinsoku/>
                    <w:spacing w:line="28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危险级别</w:t>
                  </w:r>
                </w:p>
              </w:tc>
              <w:tc>
                <w:tcPr>
                  <w:tcW w:w="447" w:type="pct"/>
                  <w:tcBorders>
                    <w:top w:val="single" w:color="auto" w:sz="4" w:space="0"/>
                    <w:right w:val="single" w:color="auto" w:sz="4" w:space="0"/>
                  </w:tcBorders>
                  <w:vAlign w:val="center"/>
                </w:tcPr>
                <w:p w14:paraId="760760AF">
                  <w:pPr>
                    <w:widowControl w:val="0"/>
                    <w:kinsoku/>
                    <w:spacing w:line="28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影响途径</w:t>
                  </w:r>
                </w:p>
              </w:tc>
            </w:tr>
            <w:tr w14:paraId="549A6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057CDC38">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299" w:type="pct"/>
                  <w:vAlign w:val="center"/>
                </w:tcPr>
                <w:p w14:paraId="221912BB">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原油</w:t>
                  </w:r>
                </w:p>
              </w:tc>
              <w:tc>
                <w:tcPr>
                  <w:tcW w:w="536" w:type="pct"/>
                  <w:vAlign w:val="center"/>
                </w:tcPr>
                <w:p w14:paraId="36F0673A">
                  <w:pPr>
                    <w:widowControl w:val="0"/>
                    <w:kinsoku/>
                    <w:spacing w:line="28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各种烃类和非烃类化合物所组成的复杂混合物</w:t>
                  </w:r>
                </w:p>
              </w:tc>
              <w:tc>
                <w:tcPr>
                  <w:tcW w:w="1910" w:type="pct"/>
                  <w:vAlign w:val="center"/>
                </w:tcPr>
                <w:p w14:paraId="3FB4E700">
                  <w:pPr>
                    <w:widowControl w:val="0"/>
                    <w:kinsoku/>
                    <w:spacing w:line="28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原油本身无明显毒性。遇热分解出有毒烟雾，人体大量吸入可引起危害：有刺激和麻痹作用，急性中毒者有上呼吸道刺激症状。</w:t>
                  </w:r>
                </w:p>
              </w:tc>
              <w:tc>
                <w:tcPr>
                  <w:tcW w:w="1076" w:type="pct"/>
                  <w:vAlign w:val="center"/>
                </w:tcPr>
                <w:p w14:paraId="1A0EB70E">
                  <w:pPr>
                    <w:widowControl w:val="0"/>
                    <w:kinsoku/>
                    <w:spacing w:line="28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热值：41870KJ/kg；沸点：300～325℃；闪点：23.5℃；爆炸极限：1.1</w:t>
                  </w:r>
                  <w:r>
                    <w:rPr>
                      <w:rFonts w:hint="eastAsia"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lang w:eastAsia="zh-CN"/>
                    </w:rPr>
                    <w:t>～6.4%（v）；自燃点：380～530℃。</w:t>
                  </w:r>
                </w:p>
              </w:tc>
              <w:tc>
                <w:tcPr>
                  <w:tcW w:w="431" w:type="pct"/>
                  <w:vAlign w:val="center"/>
                </w:tcPr>
                <w:p w14:paraId="41915593">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高闪点液体</w:t>
                  </w:r>
                </w:p>
              </w:tc>
              <w:tc>
                <w:tcPr>
                  <w:tcW w:w="447" w:type="pct"/>
                  <w:tcBorders>
                    <w:right w:val="single" w:color="auto" w:sz="4" w:space="0"/>
                  </w:tcBorders>
                  <w:vAlign w:val="center"/>
                </w:tcPr>
                <w:p w14:paraId="7F8CB8CC">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大气、地下水、土壤</w:t>
                  </w:r>
                </w:p>
              </w:tc>
            </w:tr>
            <w:tr w14:paraId="266FC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425AB755">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299" w:type="pct"/>
                  <w:vAlign w:val="center"/>
                </w:tcPr>
                <w:p w14:paraId="2D37FD44">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伴生气</w:t>
                  </w:r>
                </w:p>
              </w:tc>
              <w:tc>
                <w:tcPr>
                  <w:tcW w:w="536" w:type="pct"/>
                  <w:vAlign w:val="center"/>
                </w:tcPr>
                <w:p w14:paraId="57FBD4D2">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主要成分包括甲烷、乙烷等</w:t>
                  </w:r>
                </w:p>
              </w:tc>
              <w:tc>
                <w:tcPr>
                  <w:tcW w:w="1910" w:type="pct"/>
                  <w:vAlign w:val="center"/>
                </w:tcPr>
                <w:p w14:paraId="73206230">
                  <w:pPr>
                    <w:widowControl w:val="0"/>
                    <w:kinsoku/>
                    <w:spacing w:line="28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伴生气主要成分为天然气。天然气中含有的甲烷，是一种无毒气体，当空气中大量弥漫这种气体时会使人因氧气不足而呼吸困难，进而失去知觉、昏迷甚至残废。</w:t>
                  </w:r>
                </w:p>
              </w:tc>
              <w:tc>
                <w:tcPr>
                  <w:tcW w:w="1076" w:type="pct"/>
                  <w:vAlign w:val="center"/>
                </w:tcPr>
                <w:p w14:paraId="3C63CCD7">
                  <w:pPr>
                    <w:widowControl w:val="0"/>
                    <w:kinsoku/>
                    <w:spacing w:line="28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热值：50009KJ/kg；爆炸极限：5</w:t>
                  </w:r>
                  <w:r>
                    <w:rPr>
                      <w:rFonts w:hint="eastAsia"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lang w:eastAsia="zh-CN"/>
                    </w:rPr>
                    <w:t>～14%（v）；自燃点：482～632℃。</w:t>
                  </w:r>
                </w:p>
              </w:tc>
              <w:tc>
                <w:tcPr>
                  <w:tcW w:w="431" w:type="pct"/>
                  <w:vAlign w:val="center"/>
                </w:tcPr>
                <w:p w14:paraId="5BB62241">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易燃气体</w:t>
                  </w:r>
                </w:p>
              </w:tc>
              <w:tc>
                <w:tcPr>
                  <w:tcW w:w="447" w:type="pct"/>
                  <w:tcBorders>
                    <w:right w:val="single" w:color="auto" w:sz="4" w:space="0"/>
                  </w:tcBorders>
                  <w:vAlign w:val="center"/>
                </w:tcPr>
                <w:p w14:paraId="754D02C2">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大气</w:t>
                  </w:r>
                </w:p>
              </w:tc>
            </w:tr>
            <w:tr w14:paraId="156E4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289651C6">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299" w:type="pct"/>
                  <w:vAlign w:val="center"/>
                </w:tcPr>
                <w:p w14:paraId="29CBD194">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柴油</w:t>
                  </w:r>
                </w:p>
              </w:tc>
              <w:tc>
                <w:tcPr>
                  <w:tcW w:w="536" w:type="pct"/>
                  <w:vAlign w:val="center"/>
                </w:tcPr>
                <w:p w14:paraId="0B33DA88">
                  <w:pPr>
                    <w:widowControl w:val="0"/>
                    <w:kinsoku/>
                    <w:spacing w:line="28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复杂烃类(碳原子数约10～22)混合物</w:t>
                  </w:r>
                </w:p>
              </w:tc>
              <w:tc>
                <w:tcPr>
                  <w:tcW w:w="1910" w:type="pct"/>
                  <w:vAlign w:val="center"/>
                </w:tcPr>
                <w:p w14:paraId="5F535CFC">
                  <w:pPr>
                    <w:widowControl w:val="0"/>
                    <w:kinsoku/>
                    <w:spacing w:line="28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柴油的毒性类似于煤油，但由于添加剂(如硫化酯类)的影响，毒性比煤油略大，主要有麻醉和刺激作用。柴油的雾滴吸入后可致吸入性肺炎，皮肤接触柴油可致接触性皮炎。</w:t>
                  </w:r>
                </w:p>
              </w:tc>
              <w:tc>
                <w:tcPr>
                  <w:tcW w:w="1076" w:type="pct"/>
                  <w:vAlign w:val="center"/>
                </w:tcPr>
                <w:p w14:paraId="1C2317A0">
                  <w:pPr>
                    <w:widowControl w:val="0"/>
                    <w:kinsoku/>
                    <w:spacing w:line="28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热值：3.3×10</w:t>
                  </w:r>
                  <w:r>
                    <w:rPr>
                      <w:rFonts w:ascii="Times New Roman" w:hAnsi="Times New Roman" w:eastAsia="宋体" w:cs="Times New Roman"/>
                      <w:color w:val="auto"/>
                      <w:highlight w:val="none"/>
                      <w:vertAlign w:val="superscript"/>
                      <w:lang w:eastAsia="zh-CN"/>
                    </w:rPr>
                    <w:t>4</w:t>
                  </w:r>
                  <w:r>
                    <w:rPr>
                      <w:rFonts w:ascii="Times New Roman" w:hAnsi="Times New Roman" w:eastAsia="宋体" w:cs="Times New Roman"/>
                      <w:color w:val="auto"/>
                      <w:highlight w:val="none"/>
                      <w:lang w:eastAsia="zh-CN"/>
                    </w:rPr>
                    <w:t>KJ/L；沸点范围：180～370℃和350～410℃；两类闪点：38℃。</w:t>
                  </w:r>
                </w:p>
              </w:tc>
              <w:tc>
                <w:tcPr>
                  <w:tcW w:w="431" w:type="pct"/>
                  <w:vAlign w:val="center"/>
                </w:tcPr>
                <w:p w14:paraId="094E1412">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高闪点液体</w:t>
                  </w:r>
                </w:p>
              </w:tc>
              <w:tc>
                <w:tcPr>
                  <w:tcW w:w="447" w:type="pct"/>
                  <w:tcBorders>
                    <w:right w:val="single" w:color="auto" w:sz="4" w:space="0"/>
                  </w:tcBorders>
                  <w:vAlign w:val="center"/>
                </w:tcPr>
                <w:p w14:paraId="136499D5">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大气、地下水、土壤</w:t>
                  </w:r>
                </w:p>
              </w:tc>
            </w:tr>
            <w:tr w14:paraId="11F7A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42F5A5A2">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299" w:type="pct"/>
                  <w:vAlign w:val="center"/>
                </w:tcPr>
                <w:p w14:paraId="64E001E1">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硫化氢</w:t>
                  </w:r>
                </w:p>
              </w:tc>
              <w:tc>
                <w:tcPr>
                  <w:tcW w:w="536" w:type="pct"/>
                  <w:vAlign w:val="center"/>
                </w:tcPr>
                <w:p w14:paraId="00B50044">
                  <w:pPr>
                    <w:widowControl w:val="0"/>
                    <w:kinsoku/>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硫化氢气体</w:t>
                  </w:r>
                </w:p>
              </w:tc>
              <w:tc>
                <w:tcPr>
                  <w:tcW w:w="1910" w:type="pct"/>
                  <w:vAlign w:val="center"/>
                </w:tcPr>
                <w:p w14:paraId="3AD7D6EB">
                  <w:pPr>
                    <w:widowControl w:val="0"/>
                    <w:kinsoku/>
                    <w:spacing w:line="28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本品是强烈的神经毒物，对粘膜有强烈刺激作用。</w:t>
                  </w:r>
                </w:p>
                <w:p w14:paraId="055CC147">
                  <w:pPr>
                    <w:widowControl w:val="0"/>
                    <w:kinsoku/>
                    <w:spacing w:line="28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急性中毒：短期内吸入高浓度硫化氢后出现流泪、眼痛、眼内异物感、畏光、视物模糊、流涕、喉部灼热感、咳、胸闷、头痛、头晕、乏力、意识模糊等。部分患者可有心肌损害。重者可出现脑水肿、肺水肿。极高浓度(1000mg/m</w:t>
                  </w:r>
                  <w:r>
                    <w:rPr>
                      <w:rFonts w:ascii="Times New Roman" w:hAnsi="Times New Roman" w:eastAsia="宋体" w:cs="Times New Roman"/>
                      <w:color w:val="auto"/>
                      <w:highlight w:val="none"/>
                      <w:vertAlign w:val="superscript"/>
                      <w:lang w:eastAsia="zh-CN"/>
                    </w:rPr>
                    <w:t>3</w:t>
                  </w:r>
                  <w:r>
                    <w:rPr>
                      <w:rFonts w:ascii="Times New Roman" w:hAnsi="Times New Roman" w:eastAsia="宋体" w:cs="Times New Roman"/>
                      <w:color w:val="auto"/>
                      <w:highlight w:val="none"/>
                      <w:lang w:eastAsia="zh-CN"/>
                    </w:rPr>
                    <w:t>以上)时可在数秒钟内突然昏迷，呼吸和心跳骤停，发生闪电型死亡。高浓度接触眼结膜发生水肿和角膜溃疡。长期低浓度接触，引起神经衰弱综合征和植物神经功能</w:t>
                  </w:r>
                  <w:r>
                    <w:rPr>
                      <w:rFonts w:hint="eastAsia" w:ascii="Times New Roman" w:hAnsi="Times New Roman" w:eastAsia="宋体" w:cs="Times New Roman"/>
                      <w:color w:val="auto"/>
                      <w:highlight w:val="none"/>
                      <w:lang w:val="en-US" w:eastAsia="zh-CN"/>
                    </w:rPr>
                    <w:t>紊</w:t>
                  </w:r>
                  <w:r>
                    <w:rPr>
                      <w:rFonts w:ascii="Times New Roman" w:hAnsi="Times New Roman" w:eastAsia="宋体" w:cs="Times New Roman"/>
                      <w:color w:val="auto"/>
                      <w:highlight w:val="none"/>
                      <w:lang w:eastAsia="zh-CN"/>
                    </w:rPr>
                    <w:t>乱。</w:t>
                  </w:r>
                </w:p>
              </w:tc>
              <w:tc>
                <w:tcPr>
                  <w:tcW w:w="1076" w:type="pct"/>
                  <w:vAlign w:val="center"/>
                </w:tcPr>
                <w:p w14:paraId="526F7FCF">
                  <w:pPr>
                    <w:widowControl w:val="0"/>
                    <w:kinsoku/>
                    <w:spacing w:line="28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易燃，与空气混合能形成爆炸性混合物，遇明火、高热能引起燃烧</w:t>
                  </w:r>
                  <w:r>
                    <w:rPr>
                      <w:rFonts w:hint="eastAsia" w:ascii="Times New Roman" w:hAnsi="Times New Roman" w:eastAsia="宋体" w:cs="Times New Roman"/>
                      <w:color w:val="auto"/>
                      <w:highlight w:val="none"/>
                      <w:lang w:val="en-US" w:eastAsia="zh-CN"/>
                    </w:rPr>
                    <w:t>爆</w:t>
                  </w:r>
                  <w:r>
                    <w:rPr>
                      <w:rFonts w:ascii="Times New Roman" w:hAnsi="Times New Roman" w:eastAsia="宋体" w:cs="Times New Roman"/>
                      <w:color w:val="auto"/>
                      <w:highlight w:val="none"/>
                      <w:lang w:eastAsia="zh-CN"/>
                    </w:rPr>
                    <w:t>炸。与浓硝酸、发烟硝酸或其它强氧化剂剧烈反应，发生爆炸。气体比空气重，能在较低处扩散到相当远的地方，遇火源会着火回燃。</w:t>
                  </w:r>
                </w:p>
              </w:tc>
              <w:tc>
                <w:tcPr>
                  <w:tcW w:w="431" w:type="pct"/>
                  <w:vAlign w:val="center"/>
                </w:tcPr>
                <w:p w14:paraId="1A86F8D3">
                  <w:pPr>
                    <w:widowControl w:val="0"/>
                    <w:kinsoku/>
                    <w:spacing w:line="28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易燃，具强刺激性。</w:t>
                  </w:r>
                </w:p>
              </w:tc>
              <w:tc>
                <w:tcPr>
                  <w:tcW w:w="447" w:type="pct"/>
                  <w:tcBorders>
                    <w:right w:val="single" w:color="auto" w:sz="4" w:space="0"/>
                  </w:tcBorders>
                  <w:vAlign w:val="center"/>
                </w:tcPr>
                <w:p w14:paraId="47047B36">
                  <w:pPr>
                    <w:widowControl w:val="0"/>
                    <w:kinsoku/>
                    <w:spacing w:line="28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大气</w:t>
                  </w:r>
                </w:p>
              </w:tc>
            </w:tr>
          </w:tbl>
          <w:p w14:paraId="64FB8CDA">
            <w:pPr>
              <w:widowControl w:val="0"/>
              <w:kinsoku/>
              <w:spacing w:line="49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生产设施风险识别</w:t>
            </w:r>
          </w:p>
          <w:p w14:paraId="2157847A">
            <w:pPr>
              <w:widowControl w:val="0"/>
              <w:kinsoku/>
              <w:spacing w:line="49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a.井喷事故风险</w:t>
            </w:r>
          </w:p>
          <w:p w14:paraId="35820AC5">
            <w:pPr>
              <w:widowControl w:val="0"/>
              <w:kinsoku/>
              <w:spacing w:line="49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bidi="ar"/>
              </w:rPr>
              <w:t>若井底压力小于地层压力，地层流体将进入井筒并推动钻井液外溢。此时，如果对地下油、气压力平衡控制不当，不能及时控制溢流，会造成油、气、水或其他混合物迅速喷到地面，即发生井喷。井喷会引发油气泄漏及火灾爆炸，对大气环境、地下水环境、土壤环境及生态环境造成危害，致使人员伤亡、财产损失。</w:t>
            </w:r>
          </w:p>
          <w:p w14:paraId="58E40839">
            <w:pPr>
              <w:widowControl w:val="0"/>
              <w:kinsoku/>
              <w:spacing w:line="49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b.储罐泄漏风险</w:t>
            </w:r>
          </w:p>
          <w:p w14:paraId="3F1C58AF">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钻试期井场设有柴油储罐、废水储罐和采出液储罐等，若储罐因质量、操作运行和管理等方面存在缺陷和失误，可能会发生泄漏，对周围地下水、土壤、大气等环境造成污染。</w:t>
            </w:r>
          </w:p>
          <w:p w14:paraId="3D831395">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c.井漏事故风险</w:t>
            </w:r>
          </w:p>
          <w:p w14:paraId="68930515">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钻井施工表层套管下入深度不够或固井质量不好可能引发井漏事故。</w:t>
            </w:r>
          </w:p>
          <w:p w14:paraId="6B36DB2E">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d.采出液、废水及柴油拉运过程中的环境风险</w:t>
            </w:r>
          </w:p>
          <w:p w14:paraId="32836AC6">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试油期废水及其他采出液由罐车拉运至吉28脱水站处理，运输过程中若因车辆本身的设计、制造、操作、管理等各环节存在缺陷，则可能发生泄漏事故的风险。事故发生时罐车内液体溢出，对周围环境造成直接污染，泄漏的油气如遇到明火还可能发生火灾、爆炸事故。</w:t>
            </w:r>
          </w:p>
          <w:p w14:paraId="76A3F988">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环境风险类型</w:t>
            </w:r>
          </w:p>
          <w:p w14:paraId="0BA8BAD0">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环境风险类型主要为泄漏、火灾、爆炸等引发的伴生/次生污染物排放。</w:t>
            </w:r>
          </w:p>
          <w:p w14:paraId="63138052">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Cambria Math" w:hAnsi="Cambria Math" w:eastAsia="宋体" w:cs="Cambria Math"/>
                <w:bCs/>
                <w:color w:val="auto"/>
                <w:sz w:val="24"/>
                <w:szCs w:val="24"/>
                <w:highlight w:val="none"/>
                <w:lang w:eastAsia="zh-CN"/>
              </w:rPr>
              <w:t>④</w:t>
            </w:r>
            <w:r>
              <w:rPr>
                <w:rFonts w:ascii="Times New Roman" w:hAnsi="Times New Roman" w:eastAsia="宋体" w:cs="Times New Roman"/>
                <w:bCs/>
                <w:color w:val="auto"/>
                <w:sz w:val="24"/>
                <w:szCs w:val="24"/>
                <w:highlight w:val="none"/>
                <w:lang w:eastAsia="zh-CN"/>
              </w:rPr>
              <w:t>危险物质向环境转移的可能途径和影响方式</w:t>
            </w:r>
          </w:p>
          <w:p w14:paraId="7E2EC3EB">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柴油储罐、采出液储罐、废水储罐、废润滑油桶等发生破损造成柴油/采出液/废水/废润滑油泄漏以及井喷事故造成采出液泄漏，柴油/采出液/废水/废润滑油泄漏后污染土壤，污染物有可能通过包气带渗漏进入地下含水层，污染地下水；泄漏的柴油/采出液/废润滑油若遇明火，发生火灾、爆炸，污染大气环境。</w:t>
            </w:r>
          </w:p>
          <w:p w14:paraId="631F116B">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7.4环境风险分析</w:t>
            </w:r>
          </w:p>
          <w:p w14:paraId="39EC2A3C">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井喷事故环境影响分析</w:t>
            </w:r>
          </w:p>
          <w:p w14:paraId="341D1D02">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color w:val="auto"/>
                <w:sz w:val="24"/>
                <w:szCs w:val="24"/>
                <w:highlight w:val="none"/>
                <w:lang w:eastAsia="zh-CN"/>
              </w:rPr>
              <w:t>a.井场主要发生的风险事故为钻井时发生井喷事故。</w:t>
            </w:r>
            <w:r>
              <w:rPr>
                <w:rFonts w:ascii="Times New Roman" w:hAnsi="Times New Roman" w:eastAsia="宋体" w:cs="Times New Roman"/>
                <w:bCs/>
                <w:color w:val="auto"/>
                <w:sz w:val="24"/>
                <w:szCs w:val="24"/>
                <w:highlight w:val="none"/>
                <w:lang w:eastAsia="zh-CN"/>
              </w:rPr>
              <w:t>井场左右两侧各设置1条放喷管线。钻井过程中钻遇油气层，少量的油气排出，在井口液气分离器分离后，伴生气随着排气管线充分燃烧后放空。</w:t>
            </w:r>
          </w:p>
          <w:p w14:paraId="5BEEAE11">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bCs/>
                <w:color w:val="auto"/>
                <w:sz w:val="24"/>
                <w:szCs w:val="24"/>
                <w:highlight w:val="none"/>
                <w:lang w:eastAsia="zh-CN"/>
              </w:rPr>
              <w:t>一旦发生井喷突发事件，立即启动准东采油管理区应急预案。</w:t>
            </w:r>
            <w:r>
              <w:rPr>
                <w:rFonts w:ascii="Times New Roman" w:hAnsi="Times New Roman" w:eastAsia="宋体" w:cs="Times New Roman"/>
                <w:color w:val="auto"/>
                <w:sz w:val="24"/>
                <w:szCs w:val="24"/>
                <w:highlight w:val="none"/>
                <w:lang w:eastAsia="zh-CN"/>
              </w:rPr>
              <w:t xml:space="preserve">待事故结束后，对放喷液进行集中收集处理，将泄漏的采出液最大限度地回收，对少量确实无法回收的油以及受污染的土壤形成的落地油，采用铲除油泥层等有效方法，落地油泥用专用罐收集，最终交由有危险废物处置资质的单位处置，以降低残油对生态环境的污染程度。 </w:t>
            </w:r>
          </w:p>
          <w:p w14:paraId="6E98A1EE">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color w:val="auto"/>
                <w:sz w:val="24"/>
                <w:szCs w:val="24"/>
                <w:highlight w:val="none"/>
                <w:lang w:eastAsia="zh-CN"/>
              </w:rPr>
              <w:t>井喷事故不可控的情况，可能导致大量的油气喷出井口、散落于井场周围，</w:t>
            </w:r>
            <w:r>
              <w:rPr>
                <w:rFonts w:ascii="Times New Roman" w:hAnsi="Times New Roman" w:eastAsia="宋体" w:cs="Times New Roman"/>
                <w:bCs/>
                <w:color w:val="auto"/>
                <w:sz w:val="24"/>
                <w:szCs w:val="24"/>
                <w:highlight w:val="none"/>
                <w:lang w:eastAsia="zh-CN"/>
              </w:rPr>
              <w:t>类比资料显示，井喷范围内土壤表层可见有蜡状的原油喷散物，井喷的影响范围一般为以井眼为圆心、半径200m的区域，由于项目区</w:t>
            </w:r>
            <w:r>
              <w:rPr>
                <w:rFonts w:hint="eastAsia" w:ascii="Times New Roman" w:hAnsi="Times New Roman" w:eastAsia="宋体" w:cs="Times New Roman"/>
                <w:bCs/>
                <w:color w:val="auto"/>
                <w:sz w:val="24"/>
                <w:szCs w:val="24"/>
                <w:highlight w:val="none"/>
                <w:lang w:val="en-US" w:eastAsia="zh-CN"/>
              </w:rPr>
              <w:t>人烟</w:t>
            </w:r>
            <w:r>
              <w:rPr>
                <w:rFonts w:ascii="Times New Roman" w:hAnsi="Times New Roman" w:eastAsia="宋体" w:cs="Times New Roman"/>
                <w:bCs/>
                <w:color w:val="auto"/>
                <w:sz w:val="24"/>
                <w:szCs w:val="24"/>
                <w:highlight w:val="none"/>
                <w:lang w:eastAsia="zh-CN"/>
              </w:rPr>
              <w:t>稀少，所以井喷对人员的伤害有限，对土壤环境、大气环境和地下水可能产生影响。</w:t>
            </w:r>
          </w:p>
          <w:p w14:paraId="70892CE8">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b.对大气环境影响分析</w:t>
            </w:r>
          </w:p>
          <w:p w14:paraId="598CAD73">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bCs/>
                <w:color w:val="auto"/>
                <w:sz w:val="24"/>
                <w:szCs w:val="24"/>
                <w:highlight w:val="none"/>
                <w:lang w:eastAsia="zh-CN"/>
              </w:rPr>
              <w:t>发生井喷失控事故后，伴生气、伴生气中硫化氢和原油挥发产生的非甲烷总烃进入环境空气，可能会对周围环境空气产生影响。若遇明火可能发生火灾、爆炸，随之产生的伴生、次生污染物会对环境空气产生一定的影响，</w:t>
            </w:r>
            <w:r>
              <w:rPr>
                <w:rFonts w:ascii="Times New Roman" w:hAnsi="Times New Roman" w:eastAsia="宋体" w:cs="Times New Roman"/>
                <w:color w:val="auto"/>
                <w:sz w:val="24"/>
                <w:szCs w:val="24"/>
                <w:highlight w:val="none"/>
                <w:lang w:eastAsia="zh-CN"/>
              </w:rPr>
              <w:t>并对环境和施工人员产生一定危害，主要危害包括：遇明火可能发生火灾或爆炸事故，造成人员伤亡；烃类气体以及火灾或爆炸事故次生污染物CO对人体的毒性危害，对周围的大气环境及施工人员造成影响。伴生气中的甲烷和硫化氢进入大气后，可能会造成中毒事件。</w:t>
            </w:r>
          </w:p>
          <w:p w14:paraId="04E707A5">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由于地域空旷，扩散条件较好，发生事故后，及时采取相应的措施，不会对周围环境空气产生明显影响。</w:t>
            </w:r>
          </w:p>
          <w:p w14:paraId="2E1D09E0">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c.对地下水环境影响分析</w:t>
            </w:r>
          </w:p>
          <w:p w14:paraId="2B10B469">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根据类比调查，从事故井区土壤剖面分析，井喷失控事故后石油类污染物主要被拦截在包气带土壤剖面1m以内，同时因为气候干旱少雨，不存在大量降水的淋滤作用，因此对地下水体的影响概率不大。及时清理井喷事故中落地原油，对可回收原油进行回收，落地油收集后交由具有相应危废处置资质的单位进行回收处置，及时采取上述有效措施治理污染后，井喷不会造成地下水污染。</w:t>
            </w:r>
          </w:p>
          <w:p w14:paraId="3AE5F869">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d.对土壤环境影响分析</w:t>
            </w:r>
          </w:p>
          <w:p w14:paraId="2377ACF0">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井喷失控事故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可回收采出液进行回收，不能回收的原油和受污染的土壤形成落地油，落地油集中收集后由有相应危废处置资质的单位进行回收处置，将井喷事故对周边植被的影响降至最低。</w:t>
            </w:r>
          </w:p>
          <w:p w14:paraId="41323008">
            <w:pPr>
              <w:widowControl w:val="0"/>
              <w:kinsoku/>
              <w:spacing w:line="480" w:lineRule="exact"/>
              <w:ind w:firstLine="480" w:firstLineChars="200"/>
              <w:jc w:val="both"/>
              <w:rPr>
                <w:rFonts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lang w:eastAsia="zh-CN"/>
              </w:rPr>
              <w:t>e.对植被影响分析</w:t>
            </w:r>
          </w:p>
          <w:p w14:paraId="3D696944">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井喷事故发生后，喷出的油类物质可能对周围自然植被产生一定的影响，井场周围半径200m范围内自然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减弱，甚至使这一区域变为裸地。由于这一影响使土壤结构受石油类污染而发生变化，因此，被污染区域的植被不易恢复。若井喷时发生火灾，结果将使燃烧范围内的植被全部死亡。必须采取严格有效的风险防范措施，防止、降低井喷事故风险发生。事故发生后应及时清理现场，及时清理沾染油污的植被，对落地油进行回收，受污染的土壤集中收集后由有相应危废处置资质的单位进行回收处置，将井喷事故对周边植被的影响降至最低。</w:t>
            </w:r>
          </w:p>
          <w:p w14:paraId="0FF81EB0">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储罐泄漏环境影响分析</w:t>
            </w:r>
          </w:p>
          <w:p w14:paraId="3CBDF644">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a.对大气环境影响分析</w:t>
            </w:r>
          </w:p>
          <w:p w14:paraId="5E9D6E9C">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储罐发生泄漏后，伴生气、伴生气中硫化氢和原油挥发产生的非甲烷总烃进入环境空气可能会对周围环境空气产生影响。若遇明火，可发生火灾、爆炸，且火灾、爆炸产生的伴生、次生污染物也会对环境空气产生一定影响。由于泄漏量少，加上项目区地域空旷、扩散条件较好，发生事故后若能及时采取相应措施，则不会对周围环境空气产生明显影响。</w:t>
            </w:r>
          </w:p>
          <w:p w14:paraId="58A943B1">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b.对土壤环境影响分析</w:t>
            </w:r>
          </w:p>
          <w:p w14:paraId="7096C227">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62A33EBD">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期间柴油储罐、采出液储罐、废水储罐、岩屑储罐等储罐区域均铺设防渗膜，储罐发生泄漏后应及时回收原油、收集受污染的土壤，然后委托有相应危废处置资质的单位进行回收处置。因此，在采取上述措施后不会对周围土壤环境产生明显影响。</w:t>
            </w:r>
          </w:p>
          <w:p w14:paraId="2BAABA25">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c.对植被的影响</w:t>
            </w:r>
          </w:p>
          <w:p w14:paraId="4FB3DCFB">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42316439">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d.对地下水环境的影响</w:t>
            </w:r>
          </w:p>
          <w:p w14:paraId="7BDEACC7">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柴油储罐、采出液储罐和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289758D6">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井漏环境影响分析</w:t>
            </w:r>
          </w:p>
          <w:p w14:paraId="5137DE09">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井漏事故对地下水的污染途径主要是钻井液漏失于地下水含水层中，造成地下含水层水质污染。钻井液漏失于地下含水层其径流型污染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14:paraId="674DE65E">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采出液、废水及柴油拉运过程中泄漏风险分析</w:t>
            </w:r>
          </w:p>
          <w:p w14:paraId="328BA1F4">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罐车拉运过程中的风险主要为罐车上的储罐发生泄漏、火灾、爆炸等事故对周围环境的影响，其影响与储罐泄漏影响相同，具体影响见储罐泄漏影响分析。</w:t>
            </w:r>
          </w:p>
          <w:p w14:paraId="31D0E682">
            <w:pPr>
              <w:widowControl w:val="0"/>
              <w:kinsoku/>
              <w:spacing w:line="480" w:lineRule="exact"/>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7.5环境风险评价结论</w:t>
            </w:r>
          </w:p>
          <w:p w14:paraId="3627CD0A">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本项目设计中严格执行各种安全标准、规范，采取完善的安全措施，可有效地防止火灾、爆炸、泄漏、井喷等事故的发生。本项目的环境风险在可接受范围之内。</w:t>
            </w:r>
          </w:p>
          <w:p w14:paraId="2FF1BADF">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8.其它产出物影响分析</w:t>
            </w:r>
          </w:p>
          <w:p w14:paraId="679AC65D">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罐，拉运至吉28脱水站原油处理系统处理。</w:t>
            </w:r>
          </w:p>
          <w:p w14:paraId="37B8D752">
            <w:pPr>
              <w:widowControl w:val="0"/>
              <w:numPr>
                <w:ilvl w:val="0"/>
                <w:numId w:val="8"/>
              </w:numPr>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封井期环境影响分析及其治理措施</w:t>
            </w:r>
          </w:p>
          <w:p w14:paraId="49293017">
            <w:pPr>
              <w:pStyle w:val="22"/>
              <w:widowControl/>
              <w:kinsoku/>
              <w:spacing w:line="360" w:lineRule="auto"/>
              <w:ind w:firstLine="484"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本项目</w:t>
            </w:r>
            <w:r>
              <w:rPr>
                <w:rFonts w:ascii="Times New Roman" w:hAnsi="Times New Roman" w:cs="Times New Roman"/>
                <w:color w:val="auto"/>
                <w:sz w:val="24"/>
                <w:szCs w:val="24"/>
                <w:highlight w:val="none"/>
                <w:lang w:eastAsia="zh-CN"/>
              </w:rPr>
              <w:t>单井钻井期90天；试油期为300天</w:t>
            </w:r>
            <w:r>
              <w:rPr>
                <w:rFonts w:ascii="Times New Roman" w:hAnsi="Times New Roman" w:cs="Times New Roman"/>
                <w:color w:val="auto"/>
                <w:spacing w:val="1"/>
                <w:sz w:val="24"/>
                <w:szCs w:val="24"/>
                <w:highlight w:val="none"/>
                <w:lang w:eastAsia="zh-CN"/>
              </w:rPr>
              <w:t>，测试完井后及时封井</w:t>
            </w:r>
            <w:r>
              <w:rPr>
                <w:rFonts w:ascii="Times New Roman" w:hAnsi="Times New Roman" w:cs="Times New Roman"/>
                <w:color w:val="auto"/>
                <w:sz w:val="24"/>
                <w:szCs w:val="24"/>
                <w:highlight w:val="none"/>
                <w:lang w:eastAsia="zh-CN"/>
              </w:rPr>
              <w:t xml:space="preserve">。对具有开采价值 </w:t>
            </w:r>
            <w:r>
              <w:rPr>
                <w:rFonts w:ascii="Times New Roman" w:hAnsi="Times New Roman" w:cs="Times New Roman"/>
                <w:color w:val="auto"/>
                <w:spacing w:val="1"/>
                <w:sz w:val="24"/>
                <w:szCs w:val="24"/>
                <w:highlight w:val="none"/>
                <w:lang w:eastAsia="zh-CN"/>
              </w:rPr>
              <w:t>井口采取临时封井，保留采油树，相关法兰管口全部密封</w:t>
            </w:r>
            <w:r>
              <w:rPr>
                <w:rFonts w:ascii="Times New Roman" w:hAnsi="Times New Roman" w:cs="Times New Roman"/>
                <w:color w:val="auto"/>
                <w:sz w:val="24"/>
                <w:szCs w:val="24"/>
                <w:highlight w:val="none"/>
                <w:lang w:eastAsia="zh-CN"/>
              </w:rPr>
              <w:t>，井口区域下挖</w:t>
            </w:r>
            <w:r>
              <w:rPr>
                <w:rFonts w:ascii="Times New Roman" w:hAnsi="Times New Roman" w:cs="Times New Roman"/>
                <w:color w:val="auto"/>
                <w:spacing w:val="3"/>
                <w:sz w:val="24"/>
                <w:szCs w:val="24"/>
                <w:highlight w:val="none"/>
                <w:lang w:eastAsia="zh-CN"/>
              </w:rPr>
              <w:t>约长</w:t>
            </w:r>
            <w:r>
              <w:rPr>
                <w:rFonts w:ascii="Times New Roman" w:hAnsi="Times New Roman" w:eastAsia="Times New Roman" w:cs="Times New Roman"/>
                <w:color w:val="auto"/>
                <w:spacing w:val="3"/>
                <w:sz w:val="24"/>
                <w:szCs w:val="24"/>
                <w:highlight w:val="none"/>
                <w:lang w:eastAsia="zh-CN"/>
              </w:rPr>
              <w:t>1m×</w:t>
            </w:r>
            <w:r>
              <w:rPr>
                <w:rFonts w:ascii="Times New Roman" w:hAnsi="Times New Roman" w:cs="Times New Roman"/>
                <w:color w:val="auto"/>
                <w:spacing w:val="3"/>
                <w:sz w:val="24"/>
                <w:szCs w:val="24"/>
                <w:highlight w:val="none"/>
                <w:lang w:eastAsia="zh-CN"/>
              </w:rPr>
              <w:t>宽</w:t>
            </w:r>
            <w:r>
              <w:rPr>
                <w:rFonts w:ascii="Times New Roman" w:hAnsi="Times New Roman" w:eastAsia="Times New Roman" w:cs="Times New Roman"/>
                <w:color w:val="auto"/>
                <w:spacing w:val="3"/>
                <w:sz w:val="24"/>
                <w:szCs w:val="24"/>
                <w:highlight w:val="none"/>
                <w:lang w:eastAsia="zh-CN"/>
              </w:rPr>
              <w:t>1m×</w:t>
            </w:r>
            <w:r>
              <w:rPr>
                <w:rFonts w:ascii="Times New Roman" w:hAnsi="Times New Roman" w:cs="Times New Roman"/>
                <w:color w:val="auto"/>
                <w:spacing w:val="3"/>
                <w:sz w:val="24"/>
                <w:szCs w:val="24"/>
                <w:highlight w:val="none"/>
                <w:lang w:eastAsia="zh-CN"/>
              </w:rPr>
              <w:t>高</w:t>
            </w:r>
            <w:r>
              <w:rPr>
                <w:rFonts w:ascii="Times New Roman" w:hAnsi="Times New Roman" w:eastAsia="Times New Roman" w:cs="Times New Roman"/>
                <w:color w:val="auto"/>
                <w:spacing w:val="3"/>
                <w:sz w:val="24"/>
                <w:szCs w:val="24"/>
                <w:highlight w:val="none"/>
                <w:lang w:eastAsia="zh-CN"/>
              </w:rPr>
              <w:t>1.2m</w:t>
            </w:r>
            <w:r>
              <w:rPr>
                <w:rFonts w:ascii="Times New Roman" w:hAnsi="Times New Roman" w:cs="Times New Roman"/>
                <w:color w:val="auto"/>
                <w:spacing w:val="3"/>
                <w:sz w:val="24"/>
                <w:szCs w:val="24"/>
                <w:highlight w:val="none"/>
                <w:lang w:eastAsia="zh-CN"/>
              </w:rPr>
              <w:t>的采油树池</w:t>
            </w:r>
            <w:r>
              <w:rPr>
                <w:rFonts w:ascii="Times New Roman" w:hAnsi="Times New Roman" w:cs="Times New Roman"/>
                <w:color w:val="auto"/>
                <w:spacing w:val="2"/>
                <w:sz w:val="24"/>
                <w:szCs w:val="24"/>
                <w:highlight w:val="none"/>
                <w:lang w:eastAsia="zh-CN"/>
              </w:rPr>
              <w:t>，四壁及底部进行砖混加固，树池四周地</w:t>
            </w:r>
            <w:r>
              <w:rPr>
                <w:rFonts w:ascii="Times New Roman" w:hAnsi="Times New Roman" w:cs="Times New Roman"/>
                <w:color w:val="auto"/>
                <w:spacing w:val="1"/>
                <w:sz w:val="24"/>
                <w:szCs w:val="24"/>
                <w:highlight w:val="none"/>
                <w:lang w:eastAsia="zh-CN"/>
              </w:rPr>
              <w:t>表建设围挡并张贴相关标识，封井后除井口相关设施占地区</w:t>
            </w:r>
            <w:r>
              <w:rPr>
                <w:rFonts w:ascii="Times New Roman" w:hAnsi="Times New Roman" w:cs="Times New Roman"/>
                <w:color w:val="auto"/>
                <w:sz w:val="24"/>
                <w:szCs w:val="24"/>
                <w:highlight w:val="none"/>
                <w:lang w:eastAsia="zh-CN"/>
              </w:rPr>
              <w:t>域全部进行覆土回填、植被恢复，封井后移交公司统一管理，公司安排专职人员对勘探井定</w:t>
            </w:r>
            <w:r>
              <w:rPr>
                <w:rFonts w:ascii="Times New Roman" w:hAnsi="Times New Roman" w:cs="Times New Roman"/>
                <w:color w:val="auto"/>
                <w:spacing w:val="-6"/>
                <w:sz w:val="24"/>
                <w:szCs w:val="24"/>
                <w:highlight w:val="none"/>
                <w:lang w:eastAsia="zh-CN"/>
              </w:rPr>
              <w:t>期巡视。不具备开采价值的井口进行永久封井，井口</w:t>
            </w:r>
            <w:r>
              <w:rPr>
                <w:rFonts w:ascii="Times New Roman" w:hAnsi="Times New Roman" w:cs="Times New Roman"/>
                <w:color w:val="auto"/>
                <w:spacing w:val="-7"/>
                <w:sz w:val="24"/>
                <w:szCs w:val="24"/>
                <w:highlight w:val="none"/>
                <w:lang w:eastAsia="zh-CN"/>
              </w:rPr>
              <w:t>下挖</w:t>
            </w:r>
            <w:r>
              <w:rPr>
                <w:rFonts w:ascii="Times New Roman" w:hAnsi="Times New Roman" w:eastAsia="Times New Roman" w:cs="Times New Roman"/>
                <w:color w:val="auto"/>
                <w:spacing w:val="-7"/>
                <w:sz w:val="24"/>
                <w:szCs w:val="24"/>
                <w:highlight w:val="none"/>
                <w:lang w:eastAsia="zh-CN"/>
              </w:rPr>
              <w:t>2m</w:t>
            </w:r>
            <w:r>
              <w:rPr>
                <w:rFonts w:ascii="Times New Roman" w:hAnsi="Times New Roman" w:cs="Times New Roman"/>
                <w:color w:val="auto"/>
                <w:spacing w:val="-7"/>
                <w:sz w:val="24"/>
                <w:szCs w:val="24"/>
                <w:highlight w:val="none"/>
                <w:lang w:eastAsia="zh-CN"/>
              </w:rPr>
              <w:t>，割掉井口套管，</w:t>
            </w:r>
            <w:r>
              <w:rPr>
                <w:rFonts w:ascii="Times New Roman" w:hAnsi="Times New Roman" w:cs="Times New Roman"/>
                <w:color w:val="auto"/>
                <w:spacing w:val="1"/>
                <w:sz w:val="24"/>
                <w:szCs w:val="24"/>
                <w:highlight w:val="none"/>
                <w:lang w:eastAsia="zh-CN"/>
              </w:rPr>
              <w:t>用电焊封死井口，并注入水泥封固井口，然后用表层</w:t>
            </w:r>
            <w:r>
              <w:rPr>
                <w:rFonts w:ascii="Times New Roman" w:hAnsi="Times New Roman" w:cs="Times New Roman"/>
                <w:color w:val="auto"/>
                <w:sz w:val="24"/>
                <w:szCs w:val="24"/>
                <w:highlight w:val="none"/>
                <w:lang w:eastAsia="zh-CN"/>
              </w:rPr>
              <w:t>土覆盖，井场进行植被</w:t>
            </w:r>
            <w:r>
              <w:rPr>
                <w:rFonts w:ascii="Times New Roman" w:hAnsi="Times New Roman" w:cs="Times New Roman"/>
                <w:color w:val="auto"/>
                <w:spacing w:val="-4"/>
                <w:sz w:val="24"/>
                <w:szCs w:val="24"/>
                <w:highlight w:val="none"/>
                <w:lang w:eastAsia="zh-CN"/>
              </w:rPr>
              <w:t>恢复。</w:t>
            </w:r>
          </w:p>
          <w:p w14:paraId="4C26D140">
            <w:pPr>
              <w:pStyle w:val="22"/>
              <w:widowControl w:val="0"/>
              <w:kinsoku/>
              <w:spacing w:line="360" w:lineRule="auto"/>
              <w:ind w:left="113" w:right="108" w:firstLine="482"/>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封井后，其余设施将拆除、搬迁。钻井液材料将全部进行回</w:t>
            </w:r>
            <w:r>
              <w:rPr>
                <w:rFonts w:ascii="Times New Roman" w:hAnsi="Times New Roman" w:cs="Times New Roman"/>
                <w:color w:val="auto"/>
                <w:sz w:val="24"/>
                <w:szCs w:val="24"/>
                <w:highlight w:val="none"/>
                <w:lang w:eastAsia="zh-CN"/>
              </w:rPr>
              <w:t>收。当气井</w:t>
            </w:r>
            <w:r>
              <w:rPr>
                <w:rFonts w:ascii="Times New Roman" w:hAnsi="Times New Roman" w:cs="Times New Roman"/>
                <w:color w:val="auto"/>
                <w:spacing w:val="1"/>
                <w:sz w:val="24"/>
                <w:szCs w:val="24"/>
                <w:highlight w:val="none"/>
                <w:lang w:eastAsia="zh-CN"/>
              </w:rPr>
              <w:t>勘探接近尾声时，各种机械设备将停止使用，进驻其中的工</w:t>
            </w:r>
            <w:r>
              <w:rPr>
                <w:rFonts w:ascii="Times New Roman" w:hAnsi="Times New Roman" w:cs="Times New Roman"/>
                <w:color w:val="auto"/>
                <w:sz w:val="24"/>
                <w:szCs w:val="24"/>
                <w:highlight w:val="none"/>
                <w:lang w:eastAsia="zh-CN"/>
              </w:rPr>
              <w:t>作人员将陆续撤</w:t>
            </w:r>
            <w:r>
              <w:rPr>
                <w:rFonts w:ascii="Times New Roman" w:hAnsi="Times New Roman" w:cs="Times New Roman"/>
                <w:color w:val="auto"/>
                <w:spacing w:val="1"/>
                <w:sz w:val="24"/>
                <w:szCs w:val="24"/>
                <w:highlight w:val="none"/>
                <w:lang w:eastAsia="zh-CN"/>
              </w:rPr>
              <w:t>离井场区域，由此带来的大气污染物、生产废水、生活污水</w:t>
            </w:r>
            <w:r>
              <w:rPr>
                <w:rFonts w:ascii="Times New Roman" w:hAnsi="Times New Roman" w:cs="Times New Roman"/>
                <w:color w:val="auto"/>
                <w:sz w:val="24"/>
                <w:szCs w:val="24"/>
                <w:highlight w:val="none"/>
                <w:lang w:eastAsia="zh-CN"/>
              </w:rPr>
              <w:t>、噪声及固体废</w:t>
            </w:r>
            <w:r>
              <w:rPr>
                <w:rFonts w:ascii="Times New Roman" w:hAnsi="Times New Roman" w:cs="Times New Roman"/>
                <w:color w:val="auto"/>
                <w:spacing w:val="-1"/>
                <w:sz w:val="24"/>
                <w:szCs w:val="24"/>
                <w:highlight w:val="none"/>
                <w:lang w:eastAsia="zh-CN"/>
              </w:rPr>
              <w:t>物等对环境的影响将会消失。</w:t>
            </w:r>
          </w:p>
          <w:p w14:paraId="08365780">
            <w:pPr>
              <w:pStyle w:val="22"/>
              <w:widowControl w:val="0"/>
              <w:kinsoku/>
              <w:spacing w:line="360" w:lineRule="auto"/>
              <w:ind w:left="108" w:right="45" w:firstLine="482"/>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封井期井</w:t>
            </w:r>
            <w:r>
              <w:rPr>
                <w:rFonts w:ascii="Times New Roman" w:hAnsi="Times New Roman" w:cs="Times New Roman"/>
                <w:color w:val="auto"/>
                <w:sz w:val="24"/>
                <w:szCs w:val="24"/>
                <w:highlight w:val="none"/>
                <w:lang w:eastAsia="zh-CN"/>
              </w:rPr>
              <w:t>场进行一</w:t>
            </w:r>
            <w:r>
              <w:rPr>
                <w:rFonts w:ascii="Times New Roman" w:hAnsi="Times New Roman" w:cs="Times New Roman"/>
                <w:color w:val="auto"/>
                <w:spacing w:val="-4"/>
                <w:sz w:val="24"/>
                <w:szCs w:val="24"/>
                <w:highlight w:val="none"/>
                <w:lang w:eastAsia="zh-CN"/>
              </w:rPr>
              <w:t>系列清理工作，包括地面设施拆除、水泥灌注封</w:t>
            </w:r>
            <w:r>
              <w:rPr>
                <w:rFonts w:ascii="Times New Roman" w:hAnsi="Times New Roman" w:cs="Times New Roman"/>
                <w:color w:val="auto"/>
                <w:spacing w:val="-5"/>
                <w:sz w:val="24"/>
                <w:szCs w:val="24"/>
                <w:highlight w:val="none"/>
                <w:lang w:eastAsia="zh-CN"/>
              </w:rPr>
              <w:t>井、井场清理等。在这期间，</w:t>
            </w:r>
            <w:r>
              <w:rPr>
                <w:rFonts w:ascii="Times New Roman" w:hAnsi="Times New Roman" w:cs="Times New Roman"/>
                <w:color w:val="auto"/>
                <w:spacing w:val="1"/>
                <w:sz w:val="24"/>
                <w:szCs w:val="24"/>
                <w:highlight w:val="none"/>
                <w:lang w:eastAsia="zh-CN"/>
              </w:rPr>
              <w:t>将会产生少量扬尘和固体废物，本项目办公用房、材料房区、录井</w:t>
            </w:r>
            <w:r>
              <w:rPr>
                <w:rFonts w:ascii="Times New Roman" w:hAnsi="Times New Roman" w:cs="Times New Roman"/>
                <w:color w:val="auto"/>
                <w:sz w:val="24"/>
                <w:szCs w:val="24"/>
                <w:highlight w:val="none"/>
                <w:lang w:eastAsia="zh-CN"/>
              </w:rPr>
              <w:t>房主要为</w:t>
            </w:r>
            <w:r>
              <w:rPr>
                <w:rFonts w:ascii="Times New Roman" w:hAnsi="Times New Roman" w:cs="Times New Roman"/>
                <w:color w:val="auto"/>
                <w:spacing w:val="1"/>
                <w:sz w:val="24"/>
                <w:szCs w:val="24"/>
                <w:highlight w:val="none"/>
                <w:lang w:eastAsia="zh-CN"/>
              </w:rPr>
              <w:t>集装箱房，各类罐区、泥浆岩屑不落地处理区均为成套设施，根据建设单位提供的资料，本项目建筑垃圾产生量最大为200m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w:t>
            </w:r>
          </w:p>
          <w:p w14:paraId="27C77569">
            <w:pPr>
              <w:widowControl w:val="0"/>
              <w:kinsoku/>
              <w:spacing w:line="360" w:lineRule="auto"/>
              <w:ind w:firstLine="484" w:firstLineChars="200"/>
              <w:jc w:val="both"/>
              <w:rPr>
                <w:rFonts w:ascii="Times New Roman" w:hAnsi="Times New Roman" w:eastAsia="宋体" w:cs="Times New Roman"/>
                <w:b/>
                <w:bCs/>
                <w:color w:val="auto"/>
                <w:sz w:val="24"/>
                <w:szCs w:val="24"/>
                <w:highlight w:val="none"/>
                <w:lang w:eastAsia="zh-CN"/>
              </w:rPr>
            </w:pPr>
            <w:r>
              <w:rPr>
                <w:rFonts w:hint="eastAsia" w:ascii="宋体" w:hAnsi="宋体" w:eastAsia="宋体" w:cs="宋体"/>
                <w:color w:val="auto"/>
                <w:spacing w:val="1"/>
                <w:sz w:val="24"/>
                <w:szCs w:val="24"/>
                <w:highlight w:val="none"/>
                <w:lang w:eastAsia="zh-CN"/>
              </w:rPr>
              <w:t>在这期间，将会产生少量扬尘和固体废物。在封井施工操作</w:t>
            </w:r>
            <w:r>
              <w:rPr>
                <w:rFonts w:hint="eastAsia" w:ascii="宋体" w:hAnsi="宋体" w:eastAsia="宋体" w:cs="宋体"/>
                <w:color w:val="auto"/>
                <w:sz w:val="24"/>
                <w:szCs w:val="24"/>
                <w:highlight w:val="none"/>
                <w:lang w:eastAsia="zh-CN"/>
              </w:rPr>
              <w:t>中应注意采</w:t>
            </w:r>
            <w:r>
              <w:rPr>
                <w:rFonts w:hint="eastAsia" w:ascii="宋体" w:hAnsi="宋体" w:eastAsia="宋体" w:cs="宋体"/>
                <w:color w:val="auto"/>
                <w:spacing w:val="1"/>
                <w:sz w:val="24"/>
                <w:szCs w:val="24"/>
                <w:highlight w:val="none"/>
                <w:lang w:eastAsia="zh-CN"/>
              </w:rPr>
              <w:t>取降尘措施，文明施工，防止散装物料的洒落与飘散，同时</w:t>
            </w:r>
            <w:r>
              <w:rPr>
                <w:rFonts w:hint="eastAsia" w:ascii="宋体" w:hAnsi="宋体" w:eastAsia="宋体" w:cs="宋体"/>
                <w:color w:val="auto"/>
                <w:sz w:val="24"/>
                <w:szCs w:val="24"/>
                <w:highlight w:val="none"/>
                <w:lang w:eastAsia="zh-CN"/>
              </w:rPr>
              <w:t>在清理井场时控</w:t>
            </w:r>
            <w:r>
              <w:rPr>
                <w:rFonts w:hint="eastAsia" w:ascii="宋体" w:hAnsi="宋体" w:eastAsia="宋体" w:cs="宋体"/>
                <w:color w:val="auto"/>
                <w:spacing w:val="1"/>
                <w:sz w:val="24"/>
                <w:szCs w:val="24"/>
                <w:highlight w:val="none"/>
                <w:lang w:eastAsia="zh-CN"/>
              </w:rPr>
              <w:t>制扬尘的产生，尽可能降低对周边大气环境的影响。另外，</w:t>
            </w:r>
            <w:r>
              <w:rPr>
                <w:rFonts w:hint="eastAsia" w:ascii="宋体" w:hAnsi="宋体" w:eastAsia="宋体" w:cs="宋体"/>
                <w:color w:val="auto"/>
                <w:sz w:val="24"/>
                <w:szCs w:val="24"/>
                <w:highlight w:val="none"/>
                <w:lang w:eastAsia="zh-CN"/>
              </w:rPr>
              <w:t>井场清理等工作</w:t>
            </w:r>
            <w:r>
              <w:rPr>
                <w:rFonts w:hint="eastAsia" w:ascii="宋体" w:hAnsi="宋体" w:eastAsia="宋体" w:cs="宋体"/>
                <w:color w:val="auto"/>
                <w:spacing w:val="1"/>
                <w:sz w:val="24"/>
                <w:szCs w:val="24"/>
                <w:highlight w:val="none"/>
                <w:lang w:eastAsia="zh-CN"/>
              </w:rPr>
              <w:t>还会产生部分废弃管线、废弃建筑残渣等固体废物，对这些</w:t>
            </w:r>
            <w:r>
              <w:rPr>
                <w:rFonts w:hint="eastAsia" w:ascii="宋体" w:hAnsi="宋体" w:eastAsia="宋体" w:cs="宋体"/>
                <w:color w:val="auto"/>
                <w:sz w:val="24"/>
                <w:szCs w:val="24"/>
                <w:highlight w:val="none"/>
                <w:lang w:eastAsia="zh-CN"/>
              </w:rPr>
              <w:t>废弃管线、残渣</w:t>
            </w:r>
            <w:r>
              <w:rPr>
                <w:rFonts w:hint="eastAsia" w:ascii="宋体" w:hAnsi="宋体" w:eastAsia="宋体" w:cs="宋体"/>
                <w:color w:val="auto"/>
                <w:spacing w:val="1"/>
                <w:sz w:val="24"/>
                <w:szCs w:val="24"/>
                <w:highlight w:val="none"/>
                <w:lang w:eastAsia="zh-CN"/>
              </w:rPr>
              <w:t>等进行集中清理收集，管线外运经清洗后可回收再利用，废</w:t>
            </w:r>
            <w:r>
              <w:rPr>
                <w:rFonts w:hint="eastAsia" w:ascii="宋体" w:hAnsi="宋体" w:eastAsia="宋体" w:cs="宋体"/>
                <w:color w:val="auto"/>
                <w:sz w:val="24"/>
                <w:szCs w:val="24"/>
                <w:highlight w:val="none"/>
                <w:lang w:eastAsia="zh-CN"/>
              </w:rPr>
              <w:t>弃建筑残渣外运</w:t>
            </w:r>
            <w:r>
              <w:rPr>
                <w:rFonts w:hint="eastAsia" w:ascii="宋体" w:hAnsi="宋体" w:eastAsia="宋体" w:cs="宋体"/>
                <w:color w:val="auto"/>
                <w:spacing w:val="1"/>
                <w:sz w:val="24"/>
                <w:szCs w:val="24"/>
                <w:highlight w:val="none"/>
                <w:lang w:eastAsia="zh-CN"/>
              </w:rPr>
              <w:t>至指定处理场填埋处理。固体废物的妥善处理，可以有效控</w:t>
            </w:r>
            <w:r>
              <w:rPr>
                <w:rFonts w:hint="eastAsia" w:ascii="宋体" w:hAnsi="宋体" w:eastAsia="宋体" w:cs="宋体"/>
                <w:color w:val="auto"/>
                <w:sz w:val="24"/>
                <w:szCs w:val="24"/>
                <w:highlight w:val="none"/>
                <w:lang w:eastAsia="zh-CN"/>
              </w:rPr>
              <w:t>制对区域环境的</w:t>
            </w:r>
            <w:r>
              <w:rPr>
                <w:rFonts w:hint="eastAsia" w:ascii="宋体" w:hAnsi="宋体" w:eastAsia="宋体" w:cs="宋体"/>
                <w:color w:val="auto"/>
                <w:spacing w:val="-3"/>
                <w:sz w:val="24"/>
                <w:szCs w:val="24"/>
                <w:highlight w:val="none"/>
                <w:lang w:eastAsia="zh-CN"/>
              </w:rPr>
              <w:t>影响。</w:t>
            </w:r>
          </w:p>
        </w:tc>
      </w:tr>
      <w:tr w14:paraId="0C68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77787834">
            <w:pPr>
              <w:pStyle w:val="22"/>
              <w:widowControl w:val="0"/>
              <w:kinsoku/>
              <w:spacing w:before="65" w:line="228" w:lineRule="auto"/>
              <w:jc w:val="center"/>
              <w:rPr>
                <w:rFonts w:ascii="Times New Roman" w:hAnsi="Times New Roman" w:cs="Times New Roman"/>
                <w:color w:val="auto"/>
                <w:sz w:val="24"/>
                <w:szCs w:val="24"/>
                <w:highlight w:val="none"/>
                <w:lang w:eastAsia="zh-CN"/>
              </w:rPr>
            </w:pPr>
            <w:r>
              <w:rPr>
                <w:rFonts w:ascii="Times New Roman" w:hAnsi="Times New Roman" w:cs="Times New Roman"/>
                <w:color w:val="auto"/>
                <w:spacing w:val="13"/>
                <w:sz w:val="24"/>
                <w:szCs w:val="24"/>
                <w:highlight w:val="none"/>
                <w:lang w:eastAsia="zh-CN"/>
              </w:rPr>
              <w:t>运营期</w:t>
            </w:r>
          </w:p>
          <w:p w14:paraId="63A85800">
            <w:pPr>
              <w:pStyle w:val="22"/>
              <w:widowControl w:val="0"/>
              <w:kinsoku/>
              <w:spacing w:before="23" w:line="230" w:lineRule="auto"/>
              <w:jc w:val="center"/>
              <w:rPr>
                <w:rFonts w:ascii="Times New Roman" w:hAnsi="Times New Roman" w:cs="Times New Roman"/>
                <w:color w:val="auto"/>
                <w:sz w:val="24"/>
                <w:szCs w:val="24"/>
                <w:highlight w:val="none"/>
                <w:lang w:eastAsia="zh-CN"/>
              </w:rPr>
            </w:pPr>
            <w:r>
              <w:rPr>
                <w:rFonts w:ascii="Times New Roman" w:hAnsi="Times New Roman" w:cs="Times New Roman"/>
                <w:color w:val="auto"/>
                <w:spacing w:val="12"/>
                <w:sz w:val="24"/>
                <w:szCs w:val="24"/>
                <w:highlight w:val="none"/>
                <w:lang w:eastAsia="zh-CN"/>
              </w:rPr>
              <w:t>生态环</w:t>
            </w:r>
            <w:r>
              <w:rPr>
                <w:rFonts w:ascii="Times New Roman" w:hAnsi="Times New Roman" w:cs="Times New Roman"/>
                <w:color w:val="auto"/>
                <w:spacing w:val="13"/>
                <w:sz w:val="24"/>
                <w:szCs w:val="24"/>
                <w:highlight w:val="none"/>
                <w:lang w:eastAsia="zh-CN"/>
              </w:rPr>
              <w:t>境影响</w:t>
            </w:r>
            <w:r>
              <w:rPr>
                <w:rFonts w:ascii="Times New Roman" w:hAnsi="Times New Roman" w:cs="Times New Roman"/>
                <w:color w:val="auto"/>
                <w:spacing w:val="9"/>
                <w:sz w:val="24"/>
                <w:szCs w:val="24"/>
                <w:highlight w:val="none"/>
                <w:lang w:eastAsia="zh-CN"/>
              </w:rPr>
              <w:t>分析</w:t>
            </w:r>
          </w:p>
        </w:tc>
        <w:tc>
          <w:tcPr>
            <w:tcW w:w="8290" w:type="dxa"/>
            <w:vAlign w:val="center"/>
          </w:tcPr>
          <w:p w14:paraId="4C44F49B">
            <w:pPr>
              <w:pStyle w:val="22"/>
              <w:widowControl w:val="0"/>
              <w:kinsoku/>
              <w:spacing w:before="78" w:line="360" w:lineRule="auto"/>
              <w:ind w:firstLine="476"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本项目无营运期，试油结束后视试油结果决定是否转为生产井，若可转为生产井，则应当在产能开发建设前开展其环境影响评价工作。如发现该井不具开发价值或目的层不含油，则进行封井，拆除井口装置，截去地下1m内管头，最后清理场地，清除各种固体废弃物，恢复至相对自然的地貌。封井后，人员撤离，区域内没有了人为的扰动，井场范围内的自然植被会逐渐得以恢复，有助于区域生态环境的改善。</w:t>
            </w:r>
          </w:p>
        </w:tc>
      </w:tr>
      <w:tr w14:paraId="7759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28D1F6F4">
            <w:pPr>
              <w:pStyle w:val="22"/>
              <w:widowControl w:val="0"/>
              <w:kinsoku/>
              <w:spacing w:before="65" w:line="228" w:lineRule="auto"/>
              <w:jc w:val="center"/>
              <w:rPr>
                <w:rFonts w:ascii="Times New Roman" w:hAnsi="Times New Roman" w:cs="Times New Roman"/>
                <w:color w:val="auto"/>
                <w:sz w:val="24"/>
                <w:szCs w:val="24"/>
                <w:highlight w:val="none"/>
                <w:lang w:eastAsia="zh-CN"/>
              </w:rPr>
            </w:pPr>
            <w:r>
              <w:rPr>
                <w:rFonts w:ascii="Times New Roman" w:hAnsi="Times New Roman" w:cs="Times New Roman"/>
                <w:color w:val="auto"/>
                <w:spacing w:val="13"/>
                <w:sz w:val="24"/>
                <w:szCs w:val="24"/>
                <w:highlight w:val="none"/>
                <w:lang w:eastAsia="zh-CN"/>
              </w:rPr>
              <w:t>选址选线环境合理性分析</w:t>
            </w:r>
          </w:p>
        </w:tc>
        <w:tc>
          <w:tcPr>
            <w:tcW w:w="8290" w:type="dxa"/>
          </w:tcPr>
          <w:p w14:paraId="19FBAAE3">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现场踏勘及井场平面布置，本项目2口探井钻试工程项目井场选址均位于准噶尔盆地阜康凹陷康探1块，道路选址已尽可能避开野生植物生长密集地带；井口距离75m范围内无高压线及其它永久性设施，100m范围内无民宅，200m范围内无铁路、高速公路，500m范围内无学校、医院和大型油库等人口密集型、高危性场所。项目选址符合《钻前工程及井场布置技术要求》（SY/T5466-2013）中的相关规定。</w:t>
            </w:r>
          </w:p>
          <w:p w14:paraId="66D77B70">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各井井场周边未发现永久性建（构）筑物，周边无地表水体、集中饮用水源、文物保护单位等环境敏感目标。各井场东、西、南三侧均设有简易公路通达，交通便利。井场选址均与最近道路保持合理安全距离，并位于空旷区域，有利于事故状态下的应急疏散与扩散。</w:t>
            </w:r>
          </w:p>
          <w:p w14:paraId="73A761A2">
            <w:pPr>
              <w:pStyle w:val="22"/>
              <w:widowControl w:val="0"/>
              <w:kinsoku/>
              <w:spacing w:line="353" w:lineRule="auto"/>
              <w:ind w:firstLine="480" w:firstLineChars="20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eastAsia="zh-CN"/>
              </w:rPr>
              <w:t>项目周边无其他自然保护区、风景名胜区、饮用水水源保护区、基本草原、沙化土地封禁保护区等，且无以居住、医疗卫生、文化教育、科研、行政办公等为主要功能的区域及文物保护单位，不存在环境制约因素。项目占地已尽量减少占用植被地带，且所在区域人类活动频繁，区域内野生动物数量较少，环境影响程度低，钻试工程结束后，临时占地均可</w:t>
            </w:r>
            <w:r>
              <w:rPr>
                <w:rFonts w:hint="eastAsia" w:ascii="Times New Roman" w:hAnsi="Times New Roman" w:cs="Times New Roman"/>
                <w:color w:val="auto"/>
                <w:sz w:val="24"/>
                <w:szCs w:val="24"/>
                <w:highlight w:val="none"/>
                <w:lang w:val="en-US" w:eastAsia="zh-CN"/>
              </w:rPr>
              <w:t>得</w:t>
            </w:r>
            <w:r>
              <w:rPr>
                <w:rFonts w:ascii="Times New Roman" w:hAnsi="Times New Roman" w:cs="Times New Roman"/>
                <w:color w:val="auto"/>
                <w:sz w:val="24"/>
                <w:szCs w:val="24"/>
                <w:highlight w:val="none"/>
                <w:lang w:eastAsia="zh-CN"/>
              </w:rPr>
              <w:t>到释放和恢复，建设期间产生的废气、废水和噪声消失。</w:t>
            </w:r>
            <w:r>
              <w:rPr>
                <w:rFonts w:ascii="Times New Roman" w:hAnsi="Times New Roman" w:cs="Times New Roman"/>
                <w:color w:val="auto"/>
                <w:sz w:val="24"/>
                <w:szCs w:val="24"/>
                <w:highlight w:val="none"/>
              </w:rPr>
              <w:t>综上所述，项目选址合理。</w:t>
            </w:r>
          </w:p>
        </w:tc>
      </w:tr>
    </w:tbl>
    <w:p w14:paraId="3F402970">
      <w:pPr>
        <w:kinsoku/>
        <w:spacing w:line="219" w:lineRule="auto"/>
        <w:rPr>
          <w:rFonts w:ascii="Times New Roman" w:hAnsi="Times New Roman" w:eastAsia="宋体" w:cs="Times New Roman"/>
          <w:color w:val="auto"/>
          <w:sz w:val="24"/>
          <w:szCs w:val="24"/>
          <w:highlight w:val="none"/>
        </w:rPr>
        <w:sectPr>
          <w:footerReference r:id="rId5" w:type="default"/>
          <w:pgSz w:w="11906" w:h="16840"/>
          <w:pgMar w:top="1440" w:right="1803" w:bottom="1440" w:left="1803" w:header="850" w:footer="992" w:gutter="0"/>
          <w:pgNumType w:start="1"/>
          <w:cols w:space="720" w:num="1"/>
        </w:sectPr>
      </w:pPr>
    </w:p>
    <w:p w14:paraId="1B8286C8">
      <w:pPr>
        <w:pStyle w:val="3"/>
        <w:kinsoku/>
        <w:rPr>
          <w:rFonts w:ascii="Times New Roman" w:hAnsi="Times New Roman" w:cs="Times New Roman" w:eastAsiaTheme="minorEastAsia"/>
          <w:color w:val="auto"/>
          <w:sz w:val="30"/>
          <w:szCs w:val="30"/>
          <w:highlight w:val="none"/>
          <w:lang w:eastAsia="zh-CN"/>
        </w:rPr>
      </w:pPr>
      <w:bookmarkStart w:id="21" w:name="_Hlk136794953"/>
      <w:r>
        <w:rPr>
          <w:rFonts w:ascii="Times New Roman" w:hAnsi="Times New Roman" w:cs="Times New Roman" w:eastAsiaTheme="minorEastAsia"/>
          <w:color w:val="auto"/>
          <w:sz w:val="30"/>
          <w:szCs w:val="30"/>
          <w:highlight w:val="none"/>
          <w:lang w:eastAsia="zh-CN"/>
        </w:rPr>
        <w:t>五、主要生态环境保护措施</w:t>
      </w:r>
    </w:p>
    <w:bookmarkEnd w:id="21"/>
    <w:tbl>
      <w:tblPr>
        <w:tblStyle w:val="16"/>
        <w:tblW w:w="52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402"/>
      </w:tblGrid>
      <w:tr w14:paraId="65A4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79795901">
            <w:pPr>
              <w:widowControl w:val="0"/>
              <w:kinsoku/>
              <w:spacing w:line="360" w:lineRule="auto"/>
              <w:jc w:val="center"/>
              <w:rPr>
                <w:rFonts w:ascii="Times New Roman" w:hAnsi="Times New Roman" w:eastAsia="宋体" w:cs="Times New Roman"/>
                <w:color w:val="auto"/>
                <w:highlight w:val="none"/>
                <w:lang w:eastAsia="zh-CN"/>
              </w:rPr>
            </w:pPr>
            <w:r>
              <w:rPr>
                <w:rFonts w:ascii="Times New Roman" w:hAnsi="Times New Roman" w:eastAsia="宋体" w:cs="Times New Roman"/>
                <w:bCs/>
                <w:color w:val="auto"/>
                <w:sz w:val="24"/>
                <w:szCs w:val="24"/>
                <w:highlight w:val="none"/>
                <w:lang w:eastAsia="zh-CN"/>
              </w:rPr>
              <w:t>施工期生态环境保护措施</w:t>
            </w:r>
          </w:p>
        </w:tc>
        <w:tc>
          <w:tcPr>
            <w:tcW w:w="4728" w:type="pct"/>
          </w:tcPr>
          <w:p w14:paraId="3F587DF7">
            <w:pPr>
              <w:pStyle w:val="26"/>
              <w:widowControl w:val="0"/>
              <w:numPr>
                <w:ilvl w:val="0"/>
                <w:numId w:val="9"/>
              </w:numPr>
              <w:kinsoku/>
              <w:ind w:firstLine="0" w:firstLineChars="0"/>
              <w:jc w:val="both"/>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生态环境保护措施</w:t>
            </w:r>
          </w:p>
          <w:p w14:paraId="40E53749">
            <w:pPr>
              <w:pStyle w:val="26"/>
              <w:widowControl w:val="0"/>
              <w:kinsoku/>
              <w:jc w:val="both"/>
              <w:rPr>
                <w:rFonts w:ascii="Times New Roman" w:hAnsi="Times New Roman" w:eastAsia="宋体" w:cs="Times New Roman"/>
                <w:color w:val="auto"/>
                <w:sz w:val="24"/>
                <w:szCs w:val="24"/>
                <w:highlight w:val="none"/>
                <w:lang w:eastAsia="zh-CN"/>
              </w:rPr>
            </w:pPr>
            <w:bookmarkStart w:id="22" w:name="_Hlk189400813"/>
            <w:r>
              <w:rPr>
                <w:rFonts w:ascii="Times New Roman" w:hAnsi="Times New Roman" w:eastAsia="宋体" w:cs="Times New Roman"/>
                <w:color w:val="auto"/>
                <w:sz w:val="24"/>
                <w:szCs w:val="24"/>
                <w:highlight w:val="none"/>
                <w:lang w:eastAsia="zh-CN"/>
              </w:rPr>
              <w:t>建设单位及施工单位应严格执行本次评价提出的生态环境保护措施，并确保各项保护措施与钻试工程同时设计、同时施工、同时使用。项目占地合理规划，尽量避让植被较多的区域；严格控制施工作业带宽度，减少临时占地面积；在工程施工过程中和施工结束后，及时对施工场地进行平整，以便后期自然恢复；工程结束后，做好施工场地的恢复工作。</w:t>
            </w:r>
          </w:p>
          <w:p w14:paraId="3486BB18">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bookmarkStart w:id="23" w:name="_Hlk140837423"/>
            <w:r>
              <w:rPr>
                <w:rFonts w:ascii="Times New Roman" w:hAnsi="Times New Roman" w:eastAsia="宋体" w:cs="Times New Roman"/>
                <w:b/>
                <w:bCs/>
                <w:color w:val="auto"/>
                <w:sz w:val="24"/>
                <w:szCs w:val="24"/>
                <w:highlight w:val="none"/>
                <w:lang w:eastAsia="zh-CN"/>
              </w:rPr>
              <w:t>1.1林地植被保护措施</w:t>
            </w:r>
          </w:p>
          <w:p w14:paraId="2FC45DD0">
            <w:pPr>
              <w:widowControl/>
              <w:kinsoku/>
              <w:topLinePunct/>
              <w:spacing w:line="360" w:lineRule="auto"/>
              <w:ind w:firstLine="480" w:firstLineChars="200"/>
              <w:jc w:val="both"/>
              <w:rPr>
                <w:rFonts w:ascii="Times New Roman" w:hAnsi="Times New Roman" w:eastAsia="Times New Roman" w:cs="Times New Roman"/>
                <w:color w:val="auto"/>
                <w:sz w:val="24"/>
                <w:szCs w:val="24"/>
                <w:highlight w:val="none"/>
                <w:lang w:val="zh-CN"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项目生活营地及其进场道路等临时占地</w:t>
            </w:r>
            <w:r>
              <w:rPr>
                <w:rFonts w:ascii="Times New Roman" w:hAnsi="Times New Roman" w:eastAsia="宋体" w:cs="Times New Roman"/>
                <w:color w:val="auto"/>
                <w:sz w:val="24"/>
                <w:szCs w:val="24"/>
                <w:highlight w:val="none"/>
                <w:lang w:val="zh-CN" w:eastAsia="zh-CN"/>
              </w:rPr>
              <w:t>，</w:t>
            </w:r>
            <w:r>
              <w:rPr>
                <w:rFonts w:ascii="Times New Roman" w:hAnsi="Times New Roman" w:eastAsia="宋体" w:cs="Times New Roman"/>
                <w:color w:val="auto"/>
                <w:sz w:val="24"/>
                <w:szCs w:val="24"/>
                <w:highlight w:val="none"/>
                <w:lang w:eastAsia="zh-CN"/>
              </w:rPr>
              <w:t>尽量</w:t>
            </w:r>
            <w:r>
              <w:rPr>
                <w:rFonts w:ascii="Times New Roman" w:hAnsi="Times New Roman" w:eastAsia="宋体" w:cs="Times New Roman"/>
                <w:color w:val="auto"/>
                <w:sz w:val="24"/>
                <w:szCs w:val="24"/>
                <w:highlight w:val="none"/>
                <w:lang w:val="zh-CN" w:eastAsia="zh-CN"/>
              </w:rPr>
              <w:t>避开植被较丰富的区域，避免破坏</w:t>
            </w:r>
            <w:r>
              <w:rPr>
                <w:rFonts w:ascii="Times New Roman" w:hAnsi="Times New Roman" w:eastAsia="宋体" w:cs="Times New Roman"/>
                <w:color w:val="auto"/>
                <w:sz w:val="24"/>
                <w:szCs w:val="24"/>
                <w:highlight w:val="none"/>
                <w:lang w:eastAsia="zh-CN"/>
              </w:rPr>
              <w:t>林地</w:t>
            </w:r>
            <w:r>
              <w:rPr>
                <w:rFonts w:ascii="Times New Roman" w:hAnsi="Times New Roman" w:eastAsia="宋体" w:cs="Times New Roman"/>
                <w:color w:val="auto"/>
                <w:sz w:val="24"/>
                <w:szCs w:val="24"/>
                <w:highlight w:val="none"/>
                <w:lang w:val="zh-CN" w:eastAsia="zh-CN"/>
              </w:rPr>
              <w:t>植物。</w:t>
            </w:r>
          </w:p>
          <w:p w14:paraId="1B4FC317">
            <w:pPr>
              <w:widowControl/>
              <w:kinsoku/>
              <w:topLinePunct/>
              <w:spacing w:line="360" w:lineRule="auto"/>
              <w:ind w:firstLine="480" w:firstLineChars="200"/>
              <w:jc w:val="both"/>
              <w:rPr>
                <w:rFonts w:ascii="Times New Roman" w:hAnsi="Times New Roman" w:eastAsia="Times New Roman" w:cs="Times New Roman"/>
                <w:color w:val="auto"/>
                <w:sz w:val="24"/>
                <w:szCs w:val="24"/>
                <w:highlight w:val="none"/>
                <w:lang w:val="zh-CN" w:eastAsia="zh-CN"/>
              </w:rPr>
            </w:pPr>
            <w:r>
              <w:rPr>
                <w:rFonts w:ascii="Cambria Math" w:hAnsi="Cambria Math" w:cs="Cambria Math" w:eastAsiaTheme="minorEastAsia"/>
                <w:color w:val="auto"/>
                <w:sz w:val="24"/>
                <w:szCs w:val="24"/>
                <w:highlight w:val="none"/>
                <w:lang w:val="zh-CN" w:eastAsia="zh-CN"/>
              </w:rPr>
              <w:t>②</w:t>
            </w:r>
            <w:r>
              <w:rPr>
                <w:rFonts w:ascii="Times New Roman" w:hAnsi="Times New Roman" w:eastAsia="宋体" w:cs="Times New Roman"/>
                <w:color w:val="auto"/>
                <w:sz w:val="24"/>
                <w:szCs w:val="24"/>
                <w:highlight w:val="none"/>
                <w:lang w:val="zh-CN" w:eastAsia="zh-CN"/>
              </w:rPr>
              <w:t>施工过程中严格规定各类工作人员的活动范围，使之限于在各工区和生活区范围内活动，最大限度减少对荒漠植物生存环境的践踏破坏。</w:t>
            </w:r>
          </w:p>
          <w:p w14:paraId="5DFC0A9E">
            <w:pPr>
              <w:widowControl/>
              <w:kinsoku/>
              <w:topLinePunct/>
              <w:spacing w:line="360" w:lineRule="auto"/>
              <w:ind w:firstLine="480" w:firstLineChars="200"/>
              <w:jc w:val="both"/>
              <w:rPr>
                <w:rFonts w:ascii="Times New Roman" w:hAnsi="Times New Roman" w:eastAsia="Times New Roman" w:cs="Times New Roman"/>
                <w:color w:val="auto"/>
                <w:sz w:val="24"/>
                <w:szCs w:val="24"/>
                <w:highlight w:val="none"/>
                <w:lang w:val="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val="zh-CN"/>
              </w:rPr>
              <w:t>确保各环保设施正常运行，避免各种污染物对土壤环境的影响从而进一步影响其上部生长的</w:t>
            </w:r>
            <w:r>
              <w:rPr>
                <w:rFonts w:ascii="Times New Roman" w:hAnsi="Times New Roman" w:eastAsia="宋体" w:cs="Times New Roman"/>
                <w:color w:val="auto"/>
                <w:sz w:val="24"/>
                <w:szCs w:val="24"/>
                <w:highlight w:val="none"/>
                <w:lang w:eastAsia="zh-CN"/>
              </w:rPr>
              <w:t>林地</w:t>
            </w:r>
            <w:r>
              <w:rPr>
                <w:rFonts w:ascii="Times New Roman" w:hAnsi="Times New Roman" w:eastAsia="宋体" w:cs="Times New Roman"/>
                <w:color w:val="auto"/>
                <w:sz w:val="24"/>
                <w:szCs w:val="24"/>
                <w:highlight w:val="none"/>
                <w:lang w:val="zh-CN"/>
              </w:rPr>
              <w:t>植被。</w:t>
            </w:r>
          </w:p>
          <w:p w14:paraId="29303142">
            <w:pPr>
              <w:widowControl/>
              <w:kinsoku/>
              <w:topLinePunct/>
              <w:spacing w:line="360" w:lineRule="auto"/>
              <w:ind w:firstLine="480" w:firstLineChars="200"/>
              <w:jc w:val="both"/>
              <w:rPr>
                <w:rFonts w:ascii="Times New Roman" w:hAnsi="Times New Roman" w:eastAsia="Times New Roman" w:cs="Times New Roman"/>
                <w:color w:val="auto"/>
                <w:sz w:val="24"/>
                <w:szCs w:val="24"/>
                <w:highlight w:val="none"/>
                <w:lang w:val="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val="zh-CN"/>
              </w:rPr>
              <w:t>井场施工在开挖地表、平整土地时，临时堆土必须进行拦挡，施工完毕，应尽快整理施工现场。</w:t>
            </w:r>
          </w:p>
          <w:p w14:paraId="38DE6CFF">
            <w:pPr>
              <w:widowControl/>
              <w:kinsoku/>
              <w:topLinePunct/>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Times New Roman" w:cs="Cambria Math"/>
                <w:color w:val="auto"/>
                <w:sz w:val="24"/>
                <w:szCs w:val="24"/>
                <w:highlight w:val="none"/>
                <w:lang w:eastAsia="zh-CN"/>
              </w:rPr>
              <w:t>⑤</w:t>
            </w:r>
            <w:r>
              <w:rPr>
                <w:rFonts w:ascii="Times New Roman" w:hAnsi="Times New Roman" w:eastAsia="宋体" w:cs="Times New Roman"/>
                <w:color w:val="auto"/>
                <w:sz w:val="24"/>
                <w:szCs w:val="24"/>
                <w:highlight w:val="none"/>
                <w:lang w:val="zh-CN" w:eastAsia="zh-CN"/>
              </w:rPr>
              <w:t>强化风险意识，制定切实可行的风险防范与应急预案，最大限度降低风险概率，避免可能发生的油品泄漏事故对荒漠野生植物生存环境造成威胁。</w:t>
            </w:r>
          </w:p>
          <w:p w14:paraId="48083912">
            <w:pPr>
              <w:widowControl/>
              <w:kinsoku/>
              <w:topLinePunct/>
              <w:spacing w:line="360" w:lineRule="auto"/>
              <w:ind w:firstLine="480" w:firstLineChars="200"/>
              <w:jc w:val="both"/>
              <w:rPr>
                <w:rFonts w:ascii="Times New Roman" w:hAnsi="Times New Roman" w:eastAsia="宋体" w:cs="Times New Roman"/>
                <w:b/>
                <w:bCs/>
                <w:color w:val="auto"/>
                <w:sz w:val="24"/>
                <w:szCs w:val="24"/>
                <w:highlight w:val="none"/>
                <w:lang w:eastAsia="zh-CN"/>
              </w:rPr>
            </w:pPr>
            <w:r>
              <w:rPr>
                <w:rFonts w:ascii="Cambria Math" w:hAnsi="Cambria Math" w:eastAsia="宋体" w:cs="Cambria Math"/>
                <w:color w:val="auto"/>
                <w:sz w:val="24"/>
                <w:szCs w:val="24"/>
                <w:highlight w:val="none"/>
                <w:lang w:eastAsia="zh-CN"/>
              </w:rPr>
              <w:t>⑥</w:t>
            </w:r>
            <w:r>
              <w:rPr>
                <w:rFonts w:ascii="Times New Roman" w:hAnsi="Times New Roman" w:eastAsia="宋体" w:cs="Times New Roman"/>
                <w:color w:val="auto"/>
                <w:sz w:val="24"/>
                <w:szCs w:val="24"/>
                <w:highlight w:val="none"/>
                <w:lang w:val="zh-CN" w:eastAsia="zh-CN"/>
              </w:rPr>
              <w:t>加强对施工人员和职工的教育，强化保护野生植物的观念，不得随意踩踏野生植物。</w:t>
            </w:r>
          </w:p>
          <w:bookmarkEnd w:id="22"/>
          <w:bookmarkEnd w:id="23"/>
          <w:p w14:paraId="7E82377C">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1.2对野生动物的生态环保措施要求</w:t>
            </w:r>
          </w:p>
          <w:p w14:paraId="649788FB">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位于准噶尔盆地区域，地貌以沙丘为主，地表植被以稀疏乔木、灌木和草本植物为主，野生动物资源有限，种类主要为适应干旱气候的小型鸟类（如麻雀）、啮齿类（如鼠类）、爬行动物（如荒漠沙蜥、快步麻蜥）和其他小型兽类。各井场周边人类活动较少，区域生态原貌保存较好，具备一定的野生动物栖息条件。因此，在项目施工过程中应特别注意对野生动物活动环境的保护，最大限度减缓人为施工干扰，落实以下生态保护措施：</w:t>
            </w:r>
          </w:p>
          <w:p w14:paraId="246EE59E">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施工期避让原则</w:t>
            </w:r>
          </w:p>
          <w:p w14:paraId="4D6BAF78">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施工单位在组织钻前准备和进场作业时，应尽量避开野生动物繁殖、迁徙及活动频繁时段（如春秋季节）和区域，避免因施工噪声、照明、车辆进出等干扰野生动物的正常生活节律。</w:t>
            </w:r>
          </w:p>
          <w:p w14:paraId="37377CF7">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噪声与光照控制</w:t>
            </w:r>
          </w:p>
          <w:p w14:paraId="66C1D88F">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施工期应优先采用低噪声设备，并严格限制夜间施工。钻井设备夜间作业时应采用定向照明，避免强光直射周边自然区域，防止对野生动物视觉和作息造成干扰。</w:t>
            </w:r>
          </w:p>
          <w:p w14:paraId="451BBD6C">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禁止捕猎及使用毒性化学物品</w:t>
            </w:r>
          </w:p>
          <w:p w14:paraId="543EC422">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严禁施工人员猎捕、驱赶野生动物，严禁私自携带犬类及其他宠物进场，严禁使用鼠药、杀虫剂等对野生动物构成直接毒害风险的药物。</w:t>
            </w:r>
          </w:p>
          <w:p w14:paraId="06F72C6A">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运输及道路管理</w:t>
            </w:r>
          </w:p>
          <w:p w14:paraId="536F8CBD">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施工车辆运输应限速通行，夜间行车使用近光灯，防止惊扰动物或发生撞击事件。施工便道布设应避开动物活动通道，必要时设置临时警示标识。</w:t>
            </w:r>
          </w:p>
          <w:p w14:paraId="79770B45">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eastAsia="zh-CN"/>
              </w:rPr>
              <w:t>加强环保教育与日常巡查</w:t>
            </w:r>
          </w:p>
          <w:p w14:paraId="66F84362">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施工单位应开展野生动物保护专题培训，</w:t>
            </w:r>
            <w:r>
              <w:rPr>
                <w:rFonts w:hint="eastAsia" w:ascii="Times New Roman" w:hAnsi="Times New Roman" w:eastAsia="宋体" w:cs="Times New Roman"/>
                <w:color w:val="auto"/>
                <w:sz w:val="24"/>
                <w:szCs w:val="24"/>
                <w:highlight w:val="none"/>
                <w:lang w:val="en-US" w:eastAsia="zh-CN"/>
              </w:rPr>
              <w:t>增强</w:t>
            </w:r>
            <w:r>
              <w:rPr>
                <w:rFonts w:ascii="Times New Roman" w:hAnsi="Times New Roman" w:eastAsia="宋体" w:cs="Times New Roman"/>
                <w:color w:val="auto"/>
                <w:sz w:val="24"/>
                <w:szCs w:val="24"/>
                <w:highlight w:val="none"/>
                <w:lang w:eastAsia="zh-CN"/>
              </w:rPr>
              <w:t>施工人员生态保护意识。项目管理单位应设立生态保护巡查岗，定期检查是否存在破坏野生动物生境行为，并建立违规问责机制。</w:t>
            </w:r>
          </w:p>
          <w:p w14:paraId="5D3E0767">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⑥</w:t>
            </w:r>
            <w:r>
              <w:rPr>
                <w:rFonts w:ascii="Times New Roman" w:hAnsi="Times New Roman" w:eastAsia="宋体" w:cs="Times New Roman"/>
                <w:color w:val="auto"/>
                <w:sz w:val="24"/>
                <w:szCs w:val="24"/>
                <w:highlight w:val="none"/>
                <w:lang w:eastAsia="zh-CN"/>
              </w:rPr>
              <w:t>生态恢复同步考虑</w:t>
            </w:r>
          </w:p>
          <w:p w14:paraId="2FAEDD79">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工程完工后，在实施土地恢复与植被恢复时，应优先恢复本地优势灌草植物种类，为小型野生动物提供可利用的觅食与隐蔽环境，促进区域生态功能的恢复。</w:t>
            </w:r>
          </w:p>
          <w:p w14:paraId="627349BD">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7BE0CF3E">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1.3井场、道路临时占地保护措施要求</w:t>
            </w:r>
          </w:p>
          <w:p w14:paraId="7A7B79D4">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无道路区域作业车辆“一”字形行驶。</w:t>
            </w:r>
          </w:p>
          <w:p w14:paraId="6DFDA10A">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加强对临时占地地表土的保护，临时性占地进行合理规划，严格控制占地面积，尽量选择在植被稀少的区域。</w:t>
            </w:r>
          </w:p>
          <w:p w14:paraId="3617F38C">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本项目临时占地期满后，占地单位需对临时占地进行清理，拆除临时建筑物，清除废弃材料，结合地形恢复场地并平整土地，做到工完料净场地清。</w:t>
            </w:r>
          </w:p>
          <w:p w14:paraId="4FE6FF86">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施工过程中严格规定车辆和各类工作人员的活动范围，所有车辆采用“一”字形作业法，严格控制和管理车辆及重型机械的运行范围，使之限于在施工区范围内活动，最大限度减少对植物生存环境的踩踏破坏，避免破坏植物。</w:t>
            </w:r>
          </w:p>
          <w:p w14:paraId="6BE5A453">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eastAsia="zh-CN"/>
              </w:rPr>
              <w:t>做好施工场地的恢复工作，并按相关规定对植被损失进行生态经济补偿。</w:t>
            </w:r>
          </w:p>
          <w:p w14:paraId="63DDEC87">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⑥</w:t>
            </w:r>
            <w:r>
              <w:rPr>
                <w:rFonts w:ascii="Times New Roman" w:hAnsi="Times New Roman" w:eastAsia="宋体" w:cs="Times New Roman"/>
                <w:color w:val="auto"/>
                <w:sz w:val="24"/>
                <w:szCs w:val="24"/>
                <w:highlight w:val="none"/>
                <w:lang w:eastAsia="zh-CN"/>
              </w:rPr>
              <w:t>井场选址及井场布置严格按照《钻前工程及井场布置技术要求》（SY/T5466-2013）中要求执行。</w:t>
            </w:r>
          </w:p>
          <w:p w14:paraId="53C7D1EE">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1.4道路工程施工作业带、井场施工作业范围管控要求</w:t>
            </w:r>
          </w:p>
          <w:p w14:paraId="33CD7DF7">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对油田内的道路合理规划，巡检道路严格控制施工作业带（开挖）面积，并尽量沿道路纵向平行布设，以减少地表破坏，减少土方的暴露面积。</w:t>
            </w:r>
          </w:p>
          <w:p w14:paraId="6D6632C9">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尽量利用原有公路，沿已有车辙行驶，严格执行先修路，后开钻的原则进行勘探。杜绝车辆乱碾乱轧的情况发生。不随意开设便道。</w:t>
            </w:r>
          </w:p>
          <w:p w14:paraId="04B742DB">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施工机械不得在道路以外行驶和作业，保持地表不被扰动。</w:t>
            </w:r>
          </w:p>
          <w:p w14:paraId="058C8C86">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施工结束后，临时用地一律平整土地，清除用地范围内的一切固体废弃物。</w:t>
            </w:r>
          </w:p>
          <w:p w14:paraId="7BF7B6A9">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eastAsia="zh-CN"/>
              </w:rPr>
              <w:t>道路施工的临时用地禁止设置在农田内。</w:t>
            </w:r>
          </w:p>
          <w:p w14:paraId="69276442">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⑥</w:t>
            </w:r>
            <w:r>
              <w:rPr>
                <w:rFonts w:ascii="Times New Roman" w:hAnsi="Times New Roman" w:eastAsia="宋体" w:cs="Times New Roman"/>
                <w:color w:val="auto"/>
                <w:sz w:val="24"/>
                <w:szCs w:val="24"/>
                <w:highlight w:val="none"/>
                <w:lang w:eastAsia="zh-CN"/>
              </w:rPr>
              <w:t>施工期间应划定施工活动范围，在施工作业带边界拉彩条旗以示明车辆行驶边界，严格控制和管理运输车辆及重型机械的运行线路和范围，不得离开运输道路及随意行驶，由专人负责，以防破坏土壤和植被，加剧土地荒漠化。</w:t>
            </w:r>
          </w:p>
          <w:p w14:paraId="273E235A">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⑦</w:t>
            </w:r>
            <w:r>
              <w:rPr>
                <w:rFonts w:ascii="Times New Roman" w:hAnsi="Times New Roman" w:eastAsia="宋体" w:cs="Times New Roman"/>
                <w:color w:val="auto"/>
                <w:sz w:val="24"/>
                <w:szCs w:val="24"/>
                <w:highlight w:val="none"/>
                <w:lang w:eastAsia="zh-CN"/>
              </w:rPr>
              <w:t>井场施工在开挖地表、平整土地时，临时堆土必须进行拦挡，施工完毕，应尽快整理施工现场。</w:t>
            </w:r>
          </w:p>
          <w:p w14:paraId="15DEF257">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1.5农田生态保护措施</w:t>
            </w:r>
          </w:p>
          <w:p w14:paraId="2503A163">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控制作业范围，施工机械（主要为挖掘机）需在控制范围内作业，严禁 自行扩大施工用地范围</w:t>
            </w:r>
          </w:p>
          <w:p w14:paraId="17532C22">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耕地区施工应避开农作物生长和收获期，减少农业生产的损失。要保护 农田林网，使农田生态系统的功能相对稳定。</w:t>
            </w:r>
          </w:p>
          <w:p w14:paraId="6CD0CDAB">
            <w:pPr>
              <w:pStyle w:val="26"/>
              <w:widowControl w:val="0"/>
              <w:kinsoku/>
              <w:spacing w:line="360" w:lineRule="auto"/>
              <w:jc w:val="both"/>
              <w:rPr>
                <w:rFonts w:ascii="Times New Roman" w:hAnsi="Times New Roman" w:eastAsia="Times New Roman" w:cs="Times New Roman"/>
                <w:color w:val="auto"/>
                <w:sz w:val="24"/>
                <w:szCs w:val="24"/>
                <w:highlight w:val="none"/>
                <w:lang w:val="zh-CN"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val="zh-CN" w:eastAsia="zh-CN"/>
              </w:rPr>
              <w:t>在耕地中施工时，可将表层</w:t>
            </w:r>
            <w:r>
              <w:rPr>
                <w:rFonts w:ascii="Times New Roman" w:hAnsi="Times New Roman" w:eastAsia="Times New Roman" w:cs="Times New Roman"/>
                <w:color w:val="auto"/>
                <w:sz w:val="24"/>
                <w:szCs w:val="24"/>
                <w:highlight w:val="none"/>
                <w:lang w:val="zh-CN" w:eastAsia="zh-CN"/>
              </w:rPr>
              <w:t>25cm</w:t>
            </w:r>
            <w:r>
              <w:rPr>
                <w:rFonts w:ascii="Times New Roman" w:hAnsi="Times New Roman" w:eastAsia="宋体" w:cs="Times New Roman"/>
                <w:color w:val="auto"/>
                <w:sz w:val="24"/>
                <w:szCs w:val="24"/>
                <w:highlight w:val="none"/>
                <w:lang w:val="zh-CN" w:eastAsia="zh-CN"/>
              </w:rPr>
              <w:t>的土壤集中堆放，施工结束后地表土壤作为生态恢复用土，分层开挖、分层堆放，以保持耕地肥力和作物正常生长。</w:t>
            </w:r>
          </w:p>
          <w:p w14:paraId="216F179A">
            <w:pPr>
              <w:pStyle w:val="26"/>
              <w:widowControl w:val="0"/>
              <w:kinsoku/>
              <w:spacing w:line="360" w:lineRule="auto"/>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施工结束后做好耕地的恢复工作。清理施工作业区域内产生的废弃物。 应按国务院颁发的《土地复垦条例》、国土资源部颁发的《土地复垦条例实施办 法》的规定进行复垦。凡受到施工车辆、机械破坏的地方，都要及时修整，恢复原貌，植被（自然的、人工的）破坏应在施工结束后的当年或来年予以恢复。</w:t>
            </w:r>
          </w:p>
          <w:p w14:paraId="3DE939CD">
            <w:pPr>
              <w:widowControl w:val="0"/>
              <w:kinsoku/>
              <w:spacing w:line="360" w:lineRule="auto"/>
              <w:ind w:firstLine="480" w:firstLineChars="200"/>
              <w:jc w:val="both"/>
              <w:rPr>
                <w:rFonts w:ascii="Times New Roman" w:hAnsi="Times New Roman" w:eastAsia="Times New Roman" w:cs="Times New Roman"/>
                <w:color w:val="auto"/>
                <w:sz w:val="24"/>
                <w:szCs w:val="24"/>
                <w:highlight w:val="none"/>
                <w:lang w:val="zh-CN"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val="zh-CN" w:eastAsia="zh-CN"/>
              </w:rPr>
              <w:t>严禁施工车辆在耕地区到处乱碾乱压，应严格限制在已有的道路和作业区行驶，防止对周围土壤和作物产生破坏。</w:t>
            </w:r>
          </w:p>
          <w:p w14:paraId="375B328F">
            <w:pPr>
              <w:widowControl w:val="0"/>
              <w:kinsoku/>
              <w:spacing w:line="360" w:lineRule="auto"/>
              <w:ind w:firstLine="480" w:firstLineChars="200"/>
              <w:jc w:val="both"/>
              <w:rPr>
                <w:rFonts w:ascii="Times New Roman" w:hAnsi="Times New Roman" w:eastAsia="Times New Roman" w:cs="Times New Roman"/>
                <w:color w:val="auto"/>
                <w:sz w:val="24"/>
                <w:szCs w:val="24"/>
                <w:highlight w:val="none"/>
                <w:lang w:val="zh-CN" w:eastAsia="zh-CN"/>
              </w:rPr>
            </w:pPr>
            <w:r>
              <w:rPr>
                <w:rFonts w:ascii="Cambria Math" w:hAnsi="Cambria Math" w:eastAsia="宋体" w:cs="Cambria Math"/>
                <w:color w:val="auto"/>
                <w:sz w:val="24"/>
                <w:szCs w:val="24"/>
                <w:highlight w:val="none"/>
                <w:lang w:eastAsia="zh-CN"/>
              </w:rPr>
              <w:t>⑥</w:t>
            </w:r>
            <w:r>
              <w:rPr>
                <w:rFonts w:ascii="Times New Roman" w:hAnsi="Times New Roman" w:eastAsia="宋体" w:cs="Times New Roman"/>
                <w:color w:val="auto"/>
                <w:sz w:val="24"/>
                <w:szCs w:val="24"/>
                <w:highlight w:val="none"/>
                <w:lang w:val="zh-CN" w:eastAsia="zh-CN"/>
              </w:rPr>
              <w:t>废弃的施工原料均运至规定的地点进行存放，禁止向施工区域附近的耕地内倾倒。</w:t>
            </w:r>
          </w:p>
          <w:p w14:paraId="40AF5D8F">
            <w:pPr>
              <w:pStyle w:val="26"/>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Cambria Math" w:hAnsi="Cambria Math" w:eastAsia="宋体" w:cs="Cambria Math"/>
                <w:color w:val="auto"/>
                <w:sz w:val="24"/>
                <w:szCs w:val="24"/>
                <w:highlight w:val="none"/>
                <w:lang w:eastAsia="zh-CN"/>
              </w:rPr>
              <w:t>⑦</w:t>
            </w:r>
            <w:r>
              <w:rPr>
                <w:rFonts w:ascii="Times New Roman" w:hAnsi="Times New Roman" w:eastAsia="宋体" w:cs="Times New Roman"/>
                <w:color w:val="auto"/>
                <w:sz w:val="24"/>
                <w:szCs w:val="24"/>
                <w:highlight w:val="none"/>
                <w:lang w:val="zh-CN" w:eastAsia="zh-CN"/>
              </w:rPr>
              <w:t>加强对施工人员的教育、监督和管理，积极倡导文明施工。</w:t>
            </w:r>
          </w:p>
          <w:p w14:paraId="22A506FA">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1.6生态恢复方案</w:t>
            </w:r>
          </w:p>
          <w:p w14:paraId="300957FF">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根据《关于加强沙区建设项目环境影响评价工作的通知》《陆上石油天然气开采业绿色矿山建设规范》（DZ/T 0317-2018）的有关要求进行生态恢复。施工前需对占地范围内表土进行剥离，剥离后用砂石料对井场和探临道路进行铺垫，剥离表土单独堆放，用于完井后临时占地的恢复。施工结束后，施工单位应负责及时清理现场，做到井场整洁、无杂物，完井后施工机械、设备及时撤离，对生活营地和探临道路等占地进行清理平整，废水和固体废物全部妥善处置，禁止现场遗留；尽量利用井场及探临道路施工时产生的表层土对临时占地进行覆盖，植被主要靠自然恢复。施工为分段施工，建议“边施工、边修复”。具体措施如下：</w:t>
            </w:r>
          </w:p>
          <w:p w14:paraId="7181ADCC">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井场生态恢复措施</w:t>
            </w:r>
          </w:p>
          <w:p w14:paraId="16F554FC">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陆上石油天然气开采业绿色矿山建设规范》（DZ/T0317-2018）所有施工范围需进行生态环境保护与恢复治理。工程施工结束后，应对井场临时占地内的土地进行平整，恢复原有地貌。充分利用前期已收集的表土覆盖于井场表层，覆盖厚度根据植被类型和场地用途确定。减少植被破坏，减缓水土流失，抵制沙漠化发展将起到一定的积极作用。</w:t>
            </w:r>
          </w:p>
          <w:p w14:paraId="5CCA1459">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道路生态恢复措施</w:t>
            </w:r>
          </w:p>
          <w:p w14:paraId="4F7B7B24">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开挖路基及取弃土工程均应根据道路施工进度有计划地进行表土剥离并保存。工程结束后，弃土应及时回填、平整、压实，并利用堆存的表土对临时占地进行植被和景观恢复，与原有地貌和景观协调。临时占地的土壤恢复按照《土壤环境质量农用地土壤污染风险管控标准（试行）》（GB15618-2018）管理控制。</w:t>
            </w:r>
          </w:p>
          <w:p w14:paraId="4F2FE1A1">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水土流失防治措施</w:t>
            </w:r>
          </w:p>
          <w:p w14:paraId="7AEFB740">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14:paraId="59560351">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闭井期生态修复措施</w:t>
            </w:r>
          </w:p>
          <w:p w14:paraId="53CA1803">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矿山生态环境保护与恢复治理技术规范（试行）》(HJ651-2013)、《陆上石油天然气开采业绿色矿山建设规范》（DZ/T0317-2018）和《废弃井封井回填技术指南（试行）》中的相关要求，勘探活动结束后，应根据景观相似原则，对勘探活动造成的土壤、植被和地表景观破坏进行恢复。</w:t>
            </w:r>
          </w:p>
          <w:p w14:paraId="0B07FFEA">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1）对水文地质条件及道路安全有影响或重要建筑物附近的钻孔或坑井应予回填封闭，并恢复其原有生态功能。</w:t>
            </w:r>
          </w:p>
          <w:p w14:paraId="4CF158CC">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2）井场道路用地应严格控制占地面积和范围。</w:t>
            </w:r>
          </w:p>
          <w:p w14:paraId="61E86B11">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3）道路建设及取弃土工程，均应根据道路施工进度有计划地进行表土剥离并保存，必要时应设置截排水沟、挡土墙等相应保护措施。井场道路取弃土工程结束后，弃土场应及时回填、整平、压实，并利用堆存的表土进行植被和景观恢复。道路建设施工结束后，临时占地应及时恢复，与原有地貌和景观协调。</w:t>
            </w:r>
          </w:p>
          <w:p w14:paraId="2C6046AA">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4）对项目区域不再使用的各项临时建（构）筑物和基础设施应全部拆除，并进行景观和植被恢复。转为其他用途的，应开展污染场地调查、风险评估与修复治理。</w:t>
            </w:r>
          </w:p>
          <w:p w14:paraId="0483B949">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5）试油期伴生气燃烧放空应远离耕地、植被等。</w:t>
            </w:r>
          </w:p>
          <w:p w14:paraId="4C67CA9C">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6）勘探后的封闭井应将井口封堵完整，采取遮挡和防护措施，并设立警示牌。</w:t>
            </w:r>
          </w:p>
          <w:p w14:paraId="44D49924">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废弃井封井回填技术指南（试行）》中的相关要求，封井回填：回填前，资料不全的井，应根据现场情况，开展调查工作，摸清废弃井（筒）管现状。回填时，应根据不同环境风险等级对应的要求开展回填工作，或采用更严格的回填要求进行回填；回填材料应无污染，不得使用可能对地下水造成污染的材料。回填后，应开展井盖封堵或密闭填充，确保地表污染物不进入井内，各层位地下水不连通。建设单位将作为生态修复实施的主体。</w:t>
            </w:r>
          </w:p>
          <w:p w14:paraId="2B03C515">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eastAsia="zh-CN"/>
              </w:rPr>
              <w:t>补偿措施</w:t>
            </w:r>
          </w:p>
          <w:p w14:paraId="4AAC89A6">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依法依规办理用地审批手续，并对因项目实施造成的生态损失予以经济补偿，足额缴纳生态经济补偿费。</w:t>
            </w:r>
          </w:p>
          <w:p w14:paraId="58298908">
            <w:pPr>
              <w:widowControl/>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4C7AEF0B">
            <w:pPr>
              <w:widowControl/>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2.井场防沙治沙防治措施</w:t>
            </w:r>
          </w:p>
          <w:p w14:paraId="23314B7F">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次评价要求建设单位严格按照《中华人民共和国防沙治沙法》（2018）、《关于加强沙区建设项目环境影响评价工作的通知》（新环环评发〔2020〕138号）和《新疆维吾尔自治区实施〈中华人民共和国防沙治沙法〉办法》中有关规定，执行以下防沙治沙措施：</w:t>
            </w:r>
          </w:p>
          <w:p w14:paraId="3529FA17">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加强宣传《中华人民共和国防沙治沙法》和《新疆维吾尔自治区实施〈中华人民共和国防沙治沙法〉办法》，使施工人员知法、懂法、守法，自觉保护林草植被，自觉履行防治义务；</w:t>
            </w:r>
          </w:p>
          <w:p w14:paraId="266C0B9D">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优化施工组织，缩短施工时间，避免在大风天气作业，避免造成土壤风蚀影响；</w:t>
            </w:r>
          </w:p>
          <w:p w14:paraId="1A0655E9">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严格控制井场、道路等工程的临时占地，按施工方案严格控制扰动范围；</w:t>
            </w:r>
          </w:p>
          <w:p w14:paraId="001A9740">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道路施工时，划定施工活动范围，严格控制和管理车辆及重型机械的运行范围，所有车辆采用“一”字型作业法，临探道路应选取最短路径与油田现有公路相连接，不开辟新路，以减少风蚀沙化活动的范围；</w:t>
            </w:r>
          </w:p>
          <w:p w14:paraId="6A8BDEDD">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eastAsia="zh-CN"/>
              </w:rPr>
              <w:t>为减少因施工破坏植被造成局部区域的沙化，本环评要求建设单位和施工人员须征得当地林业管理部门的批准后方可开展施工作业。建议尽可能完整保存拟建选址区域的原生植株，在施工期结束后恢复原有植被或栽种同类沙地植物，最大限度减少沙化的可能性；</w:t>
            </w:r>
          </w:p>
          <w:p w14:paraId="12F1A40C">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⑥</w:t>
            </w:r>
            <w:r>
              <w:rPr>
                <w:rFonts w:ascii="Times New Roman" w:hAnsi="Times New Roman" w:eastAsia="宋体" w:cs="Times New Roman"/>
                <w:color w:val="auto"/>
                <w:sz w:val="24"/>
                <w:szCs w:val="24"/>
                <w:highlight w:val="none"/>
                <w:lang w:eastAsia="zh-CN"/>
              </w:rPr>
              <w:t>对于无植被生长的纯沙地区域，在施工结束时建议对遭受扰动的临时占地区域设置草方格进行固沙，阻止沙化进一步发展；</w:t>
            </w:r>
          </w:p>
          <w:p w14:paraId="5B2F1914">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⑦</w:t>
            </w:r>
            <w:r>
              <w:rPr>
                <w:rFonts w:ascii="Times New Roman" w:hAnsi="Times New Roman" w:eastAsia="宋体" w:cs="Times New Roman"/>
                <w:color w:val="auto"/>
                <w:sz w:val="24"/>
                <w:szCs w:val="24"/>
                <w:highlight w:val="none"/>
                <w:lang w:eastAsia="zh-CN"/>
              </w:rPr>
              <w:t>施工过程中及施工期结束土壤环境恢复过程中发现临时占用土地出现沙化或者沙化程度加重的，应当及时报告当地生态环境部门和人民政府，并根据专业意见开展防沙治沙措施；</w:t>
            </w:r>
          </w:p>
          <w:p w14:paraId="38E2015D">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通过采取上述措施，可将项目建设对所在区域土壤环境造成的水土流失和沙化影响降至可接受水平。</w:t>
            </w:r>
          </w:p>
          <w:p w14:paraId="515B123E">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bookmarkStart w:id="24" w:name="OLE_LINK48"/>
            <w:r>
              <w:rPr>
                <w:rFonts w:ascii="Times New Roman" w:hAnsi="Times New Roman" w:eastAsia="宋体" w:cs="Times New Roman"/>
                <w:b/>
                <w:bCs/>
                <w:color w:val="auto"/>
                <w:sz w:val="24"/>
                <w:szCs w:val="24"/>
                <w:highlight w:val="none"/>
                <w:lang w:eastAsia="zh-CN"/>
              </w:rPr>
              <w:t>3.大气污染防治措施</w:t>
            </w:r>
          </w:p>
          <w:bookmarkEnd w:id="24"/>
          <w:p w14:paraId="2DD7BCFA">
            <w:pPr>
              <w:pStyle w:val="26"/>
              <w:widowControl w:val="0"/>
              <w:kinsoku/>
              <w:jc w:val="both"/>
              <w:rPr>
                <w:rFonts w:ascii="Times New Roman" w:hAnsi="Times New Roman" w:eastAsia="宋体" w:cs="Times New Roman"/>
                <w:color w:val="auto"/>
                <w:sz w:val="24"/>
                <w:szCs w:val="24"/>
                <w:highlight w:val="none"/>
                <w:lang w:eastAsia="zh-CN"/>
              </w:rPr>
            </w:pPr>
            <w:bookmarkStart w:id="25" w:name="OLE_LINK49"/>
            <w:bookmarkStart w:id="26" w:name="_Hlk176185340"/>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使用符合国家标准的油品，加强机械、车辆的维护。</w:t>
            </w:r>
          </w:p>
          <w:bookmarkEnd w:id="25"/>
          <w:p w14:paraId="48797E3D">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施工现场运输车辆应低速慢行、不得超载，并采取密闭或遮盖措施；车辆沿道路行驶，不得随意开设便道。</w:t>
            </w:r>
          </w:p>
          <w:p w14:paraId="77ECC592">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易起尘物料在运输、存放时应加盖遮盖物，最大限度防止扬尘扩散。</w:t>
            </w:r>
          </w:p>
          <w:p w14:paraId="516462F5">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试油期产生的伴生气气量不稳定，不具备回收利用条件，但具备燃烧条件的，经排气管线充分燃烧后排放。应定期检查伴生气燃烧设备，加强燃烧设备的运营维护，确保伴生气充分燃烧，以减轻燃烧废气对区域大气环境质量的不良影响。</w:t>
            </w:r>
          </w:p>
          <w:p w14:paraId="133520A8">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eastAsia="zh-CN"/>
              </w:rPr>
              <w:t>试油期加强采出液储罐管理，尽可能减少无组织挥发性有机物的排放。</w:t>
            </w:r>
          </w:p>
          <w:p w14:paraId="783283BA">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⑥</w:t>
            </w:r>
            <w:r>
              <w:rPr>
                <w:rFonts w:ascii="Times New Roman" w:hAnsi="Times New Roman" w:eastAsia="宋体" w:cs="Times New Roman"/>
                <w:color w:val="auto"/>
                <w:spacing w:val="-4"/>
                <w:sz w:val="24"/>
                <w:szCs w:val="24"/>
                <w:highlight w:val="none"/>
                <w:lang w:eastAsia="zh-CN"/>
              </w:rPr>
              <w:t>柴油储罐采用固定顶罐，井场内柴油罐容积为20m</w:t>
            </w:r>
            <w:r>
              <w:rPr>
                <w:rFonts w:ascii="Times New Roman" w:hAnsi="Times New Roman" w:eastAsia="宋体" w:cs="Times New Roman"/>
                <w:color w:val="auto"/>
                <w:spacing w:val="-4"/>
                <w:sz w:val="24"/>
                <w:szCs w:val="24"/>
                <w:highlight w:val="none"/>
                <w:vertAlign w:val="superscript"/>
                <w:lang w:eastAsia="zh-CN"/>
              </w:rPr>
              <w:t>3</w:t>
            </w:r>
            <w:r>
              <w:rPr>
                <w:rFonts w:ascii="Times New Roman" w:hAnsi="Times New Roman" w:eastAsia="宋体" w:cs="Times New Roman"/>
                <w:color w:val="auto"/>
                <w:spacing w:val="-4"/>
                <w:sz w:val="24"/>
                <w:szCs w:val="24"/>
                <w:highlight w:val="none"/>
                <w:lang w:eastAsia="zh-CN"/>
              </w:rPr>
              <w:t>，小于75m</w:t>
            </w:r>
            <w:r>
              <w:rPr>
                <w:rFonts w:ascii="Times New Roman" w:hAnsi="Times New Roman" w:eastAsia="宋体" w:cs="Times New Roman"/>
                <w:color w:val="auto"/>
                <w:spacing w:val="-4"/>
                <w:sz w:val="24"/>
                <w:szCs w:val="24"/>
                <w:highlight w:val="none"/>
                <w:vertAlign w:val="superscript"/>
                <w:lang w:eastAsia="zh-CN"/>
              </w:rPr>
              <w:t>3</w:t>
            </w:r>
            <w:r>
              <w:rPr>
                <w:rFonts w:ascii="Times New Roman" w:hAnsi="Times New Roman" w:eastAsia="宋体" w:cs="Times New Roman"/>
                <w:color w:val="auto"/>
                <w:spacing w:val="-4"/>
                <w:sz w:val="24"/>
                <w:szCs w:val="24"/>
                <w:highlight w:val="none"/>
                <w:lang w:eastAsia="zh-CN"/>
              </w:rPr>
              <w:t>，且柴油真实蒸气压小于27.6kPa，按照《挥发性有机物无组织排放控制标准》（GB37822-2019）中要求可不采取油罐烃蒸气回收措施。施工期应加强储罐的检修和维护，柴油储罐罐体应保持完好，不应有孔洞；储罐附件开口（孔），除采样、计量和例行检查、维护和其他正常活动外，应密闭；定期监测呼吸阀的定压是否符合设定要求</w:t>
            </w:r>
            <w:r>
              <w:rPr>
                <w:rFonts w:ascii="Times New Roman" w:hAnsi="Times New Roman" w:eastAsia="宋体" w:cs="Times New Roman"/>
                <w:color w:val="auto"/>
                <w:sz w:val="24"/>
                <w:szCs w:val="24"/>
                <w:highlight w:val="none"/>
                <w:lang w:eastAsia="zh-CN"/>
              </w:rPr>
              <w:t>。</w:t>
            </w:r>
          </w:p>
          <w:p w14:paraId="44F46756">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⑦</w:t>
            </w:r>
            <w:r>
              <w:rPr>
                <w:rFonts w:ascii="Times New Roman" w:hAnsi="Times New Roman" w:eastAsia="宋体" w:cs="Times New Roman"/>
                <w:color w:val="auto"/>
                <w:sz w:val="24"/>
                <w:szCs w:val="24"/>
                <w:highlight w:val="none"/>
                <w:lang w:eastAsia="zh-CN"/>
              </w:rPr>
              <w:t>钻井岩屑暂存于罐中，及时转运。</w:t>
            </w:r>
          </w:p>
          <w:p w14:paraId="6F2D3651">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以上防治措施，简单可行，具有可操作性，施工扬尘影响能够减缓到可以接受的程度。</w:t>
            </w:r>
          </w:p>
          <w:bookmarkEnd w:id="26"/>
          <w:p w14:paraId="3489A6BB">
            <w:pPr>
              <w:widowControl/>
              <w:numPr>
                <w:ilvl w:val="0"/>
                <w:numId w:val="10"/>
              </w:numPr>
              <w:kinsoku/>
              <w:spacing w:line="500" w:lineRule="exact"/>
              <w:jc w:val="both"/>
              <w:rPr>
                <w:rFonts w:ascii="Times New Roman" w:hAnsi="Times New Roman" w:eastAsia="宋体" w:cs="Times New Roman"/>
                <w:b/>
                <w:bCs/>
                <w:color w:val="auto"/>
                <w:sz w:val="24"/>
                <w:szCs w:val="24"/>
                <w:highlight w:val="none"/>
              </w:rPr>
            </w:pPr>
            <w:bookmarkStart w:id="27" w:name="_Hlk136795800"/>
            <w:r>
              <w:rPr>
                <w:rFonts w:ascii="Times New Roman" w:hAnsi="Times New Roman" w:eastAsia="宋体" w:cs="Times New Roman"/>
                <w:b/>
                <w:bCs/>
                <w:color w:val="auto"/>
                <w:sz w:val="24"/>
                <w:szCs w:val="24"/>
                <w:highlight w:val="none"/>
              </w:rPr>
              <w:t>水污染防治措施</w:t>
            </w:r>
          </w:p>
          <w:p w14:paraId="1FCE1D97">
            <w:pPr>
              <w:widowControl/>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4.1生活污水</w:t>
            </w:r>
          </w:p>
          <w:p w14:paraId="4151F289">
            <w:pPr>
              <w:widowControl/>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4.1.1生活污水基本情况及其去向</w:t>
            </w:r>
          </w:p>
          <w:p w14:paraId="7FD252F3">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施工期生活污水产生量约345.6m</w:t>
            </w:r>
            <w:r>
              <w:rPr>
                <w:rFonts w:ascii="Times New Roman" w:hAnsi="Times New Roman" w:eastAsia="宋体" w:cs="Times New Roman"/>
                <w:color w:val="auto"/>
                <w:sz w:val="24"/>
                <w:szCs w:val="24"/>
                <w:highlight w:val="none"/>
                <w:vertAlign w:val="superscript"/>
                <w:lang w:eastAsia="zh-CN"/>
              </w:rPr>
              <w:t>3</w:t>
            </w:r>
            <w:r>
              <w:rPr>
                <w:rFonts w:ascii="Times New Roman" w:hAnsi="Times New Roman" w:eastAsia="宋体" w:cs="Times New Roman"/>
                <w:color w:val="auto"/>
                <w:sz w:val="24"/>
                <w:szCs w:val="24"/>
                <w:highlight w:val="none"/>
                <w:lang w:eastAsia="zh-CN"/>
              </w:rPr>
              <w:t>，</w:t>
            </w:r>
            <w:r>
              <w:rPr>
                <w:rFonts w:hint="eastAsia" w:ascii="宋体" w:hAnsi="宋体" w:eastAsia="宋体" w:cs="宋体"/>
                <w:color w:val="auto"/>
                <w:spacing w:val="-1"/>
                <w:sz w:val="24"/>
                <w:szCs w:val="24"/>
                <w:highlight w:val="none"/>
                <w:lang w:eastAsia="zh-CN"/>
              </w:rPr>
              <w:t>排入</w:t>
            </w:r>
            <w:r>
              <w:rPr>
                <w:rFonts w:ascii="Times New Roman" w:hAnsi="Times New Roman" w:eastAsia="宋体" w:cs="Times New Roman"/>
                <w:color w:val="auto"/>
                <w:spacing w:val="-1"/>
                <w:sz w:val="24"/>
                <w:szCs w:val="24"/>
                <w:highlight w:val="none"/>
                <w:lang w:eastAsia="zh-CN"/>
              </w:rPr>
              <w:t>移动厕所</w:t>
            </w:r>
            <w:r>
              <w:rPr>
                <w:rFonts w:hint="eastAsia" w:ascii="宋体" w:hAnsi="宋体" w:eastAsia="宋体" w:cs="宋体"/>
                <w:color w:val="auto"/>
                <w:spacing w:val="-1"/>
                <w:sz w:val="24"/>
                <w:szCs w:val="24"/>
                <w:highlight w:val="none"/>
                <w:lang w:eastAsia="zh-CN"/>
              </w:rPr>
              <w:t>暂存</w:t>
            </w:r>
            <w:r>
              <w:rPr>
                <w:rFonts w:ascii="Times New Roman" w:hAnsi="Times New Roman" w:eastAsia="宋体" w:cs="Times New Roman"/>
                <w:color w:val="auto"/>
                <w:sz w:val="24"/>
                <w:szCs w:val="24"/>
                <w:highlight w:val="none"/>
                <w:lang w:eastAsia="zh-CN"/>
              </w:rPr>
              <w:t>，定期由施工队采用密闭式吸污罐车抽出后运至市政污水处理厂处理。</w:t>
            </w:r>
          </w:p>
          <w:p w14:paraId="42C524AC">
            <w:pPr>
              <w:widowControl/>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4.1.2生活污水拉运方案的可行性分析</w:t>
            </w:r>
          </w:p>
          <w:p w14:paraId="201C9FA5">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区域距离市政污水处理厂运输距离较短，施工队操作较为方便，施工期生活污水主要污染物成分与污水处理厂处理污染物成分一致，同时避免了生活污水乱排，符合环保要求，因此生活污水拉运方案具有可行性。</w:t>
            </w:r>
          </w:p>
          <w:p w14:paraId="05254986">
            <w:pPr>
              <w:widowControl/>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4.1.3市政污水处理厂的依托可行性分析</w:t>
            </w:r>
          </w:p>
          <w:p w14:paraId="02823F39">
            <w:pPr>
              <w:widowControl w:val="0"/>
              <w:kinsoku/>
              <w:spacing w:before="156" w:beforeLines="50"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宋体" w:hAnsi="宋体" w:eastAsia="宋体" w:cs="宋体"/>
                <w:color w:val="auto"/>
                <w:sz w:val="24"/>
                <w:szCs w:val="24"/>
                <w:highlight w:val="none"/>
                <w:lang w:eastAsia="zh-CN" w:bidi="ar"/>
              </w:rPr>
              <w:t>本项目需委托</w:t>
            </w:r>
            <w:r>
              <w:rPr>
                <w:rFonts w:ascii="Times New Roman" w:hAnsi="Times New Roman" w:eastAsia="宋体" w:cs="Times New Roman"/>
                <w:color w:val="auto"/>
                <w:sz w:val="24"/>
                <w:szCs w:val="24"/>
                <w:highlight w:val="none"/>
                <w:lang w:eastAsia="zh-CN" w:bidi="ar"/>
              </w:rPr>
              <w:t>市政污水处理厂</w:t>
            </w:r>
            <w:r>
              <w:rPr>
                <w:rFonts w:hint="eastAsia" w:ascii="宋体" w:hAnsi="宋体" w:eastAsia="宋体" w:cs="宋体"/>
                <w:color w:val="auto"/>
                <w:sz w:val="24"/>
                <w:szCs w:val="24"/>
                <w:highlight w:val="none"/>
                <w:lang w:eastAsia="zh-CN" w:bidi="ar"/>
              </w:rPr>
              <w:t>处理废水为生活污水，水质满足其进水水质要求，产生量少，</w:t>
            </w:r>
            <w:r>
              <w:rPr>
                <w:rFonts w:ascii="Times New Roman" w:hAnsi="Times New Roman" w:eastAsia="宋体" w:cs="Times New Roman"/>
                <w:color w:val="auto"/>
                <w:sz w:val="24"/>
                <w:szCs w:val="24"/>
                <w:highlight w:val="none"/>
                <w:lang w:eastAsia="zh-CN" w:bidi="ar"/>
              </w:rPr>
              <w:t>市政污水处理厂</w:t>
            </w:r>
            <w:r>
              <w:rPr>
                <w:rFonts w:hint="eastAsia" w:ascii="宋体" w:hAnsi="宋体" w:eastAsia="宋体" w:cs="宋体"/>
                <w:color w:val="auto"/>
                <w:sz w:val="24"/>
                <w:szCs w:val="24"/>
                <w:highlight w:val="none"/>
                <w:lang w:eastAsia="zh-CN" w:bidi="ar"/>
              </w:rPr>
              <w:t>规模、工艺等可满足本项目需求，依托可行</w:t>
            </w:r>
            <w:r>
              <w:rPr>
                <w:rFonts w:ascii="Times New Roman" w:hAnsi="Times New Roman" w:eastAsia="宋体" w:cs="Times New Roman"/>
                <w:color w:val="auto"/>
                <w:sz w:val="24"/>
                <w:szCs w:val="24"/>
                <w:highlight w:val="none"/>
                <w:lang w:eastAsia="zh-CN"/>
              </w:rPr>
              <w:t>。</w:t>
            </w:r>
          </w:p>
          <w:p w14:paraId="59C02142">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4.2试油废水</w:t>
            </w:r>
          </w:p>
          <w:p w14:paraId="3AC8B99F">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4.2.1试油废水基本情况及其去向</w:t>
            </w:r>
          </w:p>
          <w:p w14:paraId="4185CEAC">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试油期产生的洗井废水和压裂返排液产生量36150m</w:t>
            </w:r>
            <w:r>
              <w:rPr>
                <w:rFonts w:ascii="Times New Roman" w:hAnsi="Times New Roman" w:eastAsia="宋体" w:cs="Times New Roman"/>
                <w:color w:val="auto"/>
                <w:sz w:val="24"/>
                <w:szCs w:val="24"/>
                <w:highlight w:val="none"/>
                <w:vertAlign w:val="superscript"/>
                <w:lang w:eastAsia="zh-CN"/>
              </w:rPr>
              <w:t>3</w:t>
            </w:r>
            <w:r>
              <w:rPr>
                <w:rFonts w:ascii="Times New Roman" w:hAnsi="Times New Roman" w:eastAsia="宋体" w:cs="Times New Roman"/>
                <w:color w:val="auto"/>
                <w:sz w:val="24"/>
                <w:szCs w:val="24"/>
                <w:highlight w:val="none"/>
                <w:lang w:eastAsia="zh-CN"/>
              </w:rPr>
              <w:t>，由专用方罐收集后，拉运至吉28脱水站进行处理，处理达标后全部回注，不外排。</w:t>
            </w:r>
          </w:p>
          <w:p w14:paraId="45566205">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4.2.2吉28脱水站的依托可行性分析</w:t>
            </w:r>
          </w:p>
          <w:p w14:paraId="1DFB22E0">
            <w:pPr>
              <w:pStyle w:val="22"/>
              <w:widowControl w:val="0"/>
              <w:kinsoku/>
              <w:spacing w:line="360" w:lineRule="auto"/>
              <w:ind w:firstLine="476" w:firstLineChars="20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1"/>
                <w:sz w:val="24"/>
                <w:szCs w:val="24"/>
                <w:highlight w:val="none"/>
                <w:lang w:eastAsia="zh-CN"/>
              </w:rPr>
              <w:t>吉28脱水站采出水处理系统设计处理能力为1</w:t>
            </w:r>
            <w:r>
              <w:rPr>
                <w:rFonts w:hint="eastAsia" w:ascii="Times New Roman" w:hAnsi="Times New Roman" w:cs="Times New Roman"/>
                <w:color w:val="auto"/>
                <w:spacing w:val="-1"/>
                <w:sz w:val="24"/>
                <w:szCs w:val="24"/>
                <w:highlight w:val="none"/>
                <w:lang w:val="en-US" w:eastAsia="zh-CN"/>
              </w:rPr>
              <w:t>2</w:t>
            </w:r>
            <w:r>
              <w:rPr>
                <w:rFonts w:ascii="Times New Roman" w:hAnsi="Times New Roman" w:cs="Times New Roman"/>
                <w:color w:val="auto"/>
                <w:spacing w:val="-1"/>
                <w:sz w:val="24"/>
                <w:szCs w:val="24"/>
                <w:highlight w:val="none"/>
                <w:lang w:eastAsia="zh-CN"/>
              </w:rPr>
              <w:t>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d，采用“重力沉降除油+微涡旋絮凝反应沉降+多介质过滤器、纤维束过滤器双料过滤处理技术”处理工艺。出水水质达到《碎屑岩油藏注水水质指标及分析方法》（SY/T5329-2022）要求后，进入注水系统回注油层。目前采出水处理系统实际处理能力为1</w:t>
            </w:r>
            <w:r>
              <w:rPr>
                <w:rFonts w:hint="eastAsia" w:ascii="Times New Roman" w:hAnsi="Times New Roman" w:cs="Times New Roman"/>
                <w:color w:val="auto"/>
                <w:spacing w:val="-1"/>
                <w:sz w:val="24"/>
                <w:szCs w:val="24"/>
                <w:highlight w:val="none"/>
                <w:lang w:val="en-US" w:eastAsia="zh-CN"/>
              </w:rPr>
              <w:t>2</w:t>
            </w:r>
            <w:r>
              <w:rPr>
                <w:rFonts w:ascii="Times New Roman" w:hAnsi="Times New Roman" w:cs="Times New Roman"/>
                <w:color w:val="auto"/>
                <w:spacing w:val="-1"/>
                <w:sz w:val="24"/>
                <w:szCs w:val="24"/>
                <w:highlight w:val="none"/>
                <w:lang w:eastAsia="zh-CN"/>
              </w:rPr>
              <w:t>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/d，富余处理量为</w:t>
            </w:r>
            <w:r>
              <w:rPr>
                <w:rFonts w:hint="eastAsia" w:ascii="Times New Roman" w:hAnsi="Times New Roman" w:cs="Times New Roman"/>
                <w:color w:val="auto"/>
                <w:spacing w:val="-1"/>
                <w:sz w:val="24"/>
                <w:szCs w:val="24"/>
                <w:highlight w:val="none"/>
                <w:lang w:val="en-US" w:eastAsia="zh-CN"/>
              </w:rPr>
              <w:t>6</w:t>
            </w:r>
            <w:r>
              <w:rPr>
                <w:rFonts w:ascii="Times New Roman" w:hAnsi="Times New Roman" w:cs="Times New Roman"/>
                <w:color w:val="auto"/>
                <w:spacing w:val="-1"/>
                <w:sz w:val="24"/>
                <w:szCs w:val="24"/>
                <w:highlight w:val="none"/>
                <w:lang w:eastAsia="zh-CN"/>
              </w:rPr>
              <w:t>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/d，试油期间洗井废水产生量约150m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，压裂返排液产生量约36000m</w:t>
            </w:r>
            <w:r>
              <w:rPr>
                <w:rFonts w:ascii="Times New Roman" w:hAnsi="Times New Roman" w:cs="Times New Roman"/>
                <w:color w:val="auto"/>
                <w:spacing w:val="-1"/>
                <w:sz w:val="24"/>
                <w:szCs w:val="24"/>
                <w:highlight w:val="none"/>
                <w:vertAlign w:val="superscript"/>
                <w:lang w:eastAsia="zh-CN"/>
              </w:rPr>
              <w:t>3</w:t>
            </w:r>
            <w:r>
              <w:rPr>
                <w:rFonts w:ascii="Times New Roman" w:hAnsi="Times New Roman" w:cs="Times New Roman"/>
                <w:color w:val="auto"/>
                <w:spacing w:val="-1"/>
                <w:sz w:val="24"/>
                <w:szCs w:val="24"/>
                <w:highlight w:val="none"/>
                <w:lang w:eastAsia="zh-CN"/>
              </w:rPr>
              <w:t>，定期拉运至吉28脱水站进行处理。吉28脱水站采出水处理系统余量可满足本工程试油废水处理需求，依托可行。</w:t>
            </w:r>
          </w:p>
          <w:p w14:paraId="4675A2AC">
            <w:pPr>
              <w:widowControl w:val="0"/>
              <w:kinsoku/>
              <w:spacing w:line="360" w:lineRule="auto"/>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4.3废水运输至吉28脱水站处理后回注的保障性措施</w:t>
            </w:r>
          </w:p>
          <w:p w14:paraId="29EE7C46">
            <w:pPr>
              <w:widowControl/>
              <w:kinsoku/>
              <w:spacing w:line="360" w:lineRule="auto"/>
              <w:ind w:left="39" w:right="33" w:firstLine="496"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pacing w:val="4"/>
                <w:sz w:val="24"/>
                <w:szCs w:val="24"/>
                <w:highlight w:val="none"/>
                <w:lang w:eastAsia="zh-CN"/>
              </w:rPr>
              <w:t>据《关于进一步加强石油天然气行业环境影响评价管理的通知》（环办环评函</w:t>
            </w:r>
            <w:r>
              <w:rPr>
                <w:rFonts w:ascii="Times New Roman" w:hAnsi="Times New Roman" w:eastAsia="宋体" w:cs="Times New Roman"/>
                <w:color w:val="auto"/>
                <w:spacing w:val="-4"/>
                <w:sz w:val="24"/>
                <w:szCs w:val="24"/>
                <w:highlight w:val="none"/>
                <w:lang w:eastAsia="zh-CN"/>
              </w:rPr>
              <w:t>〔</w:t>
            </w:r>
            <w:r>
              <w:rPr>
                <w:rFonts w:ascii="Times New Roman" w:hAnsi="Times New Roman" w:eastAsia="Times New Roman" w:cs="Times New Roman"/>
                <w:color w:val="auto"/>
                <w:spacing w:val="-4"/>
                <w:sz w:val="24"/>
                <w:szCs w:val="24"/>
                <w:highlight w:val="none"/>
                <w:lang w:eastAsia="zh-CN"/>
              </w:rPr>
              <w:t>2019</w:t>
            </w:r>
            <w:r>
              <w:rPr>
                <w:rFonts w:ascii="Times New Roman" w:hAnsi="Times New Roman" w:eastAsia="宋体" w:cs="Times New Roman"/>
                <w:color w:val="auto"/>
                <w:spacing w:val="-4"/>
                <w:sz w:val="24"/>
                <w:szCs w:val="24"/>
                <w:highlight w:val="none"/>
                <w:lang w:eastAsia="zh-CN"/>
              </w:rPr>
              <w:t>〕</w:t>
            </w:r>
            <w:r>
              <w:rPr>
                <w:rFonts w:ascii="Times New Roman" w:hAnsi="Times New Roman" w:eastAsia="Times New Roman" w:cs="Times New Roman"/>
                <w:color w:val="auto"/>
                <w:spacing w:val="-4"/>
                <w:sz w:val="24"/>
                <w:szCs w:val="24"/>
                <w:highlight w:val="none"/>
                <w:lang w:eastAsia="zh-CN"/>
              </w:rPr>
              <w:t>910</w:t>
            </w:r>
            <w:r>
              <w:rPr>
                <w:rFonts w:ascii="Times New Roman" w:hAnsi="Times New Roman" w:eastAsia="宋体" w:cs="Times New Roman"/>
                <w:color w:val="auto"/>
                <w:spacing w:val="-4"/>
                <w:sz w:val="24"/>
                <w:szCs w:val="24"/>
                <w:highlight w:val="none"/>
                <w:lang w:eastAsia="zh-CN"/>
              </w:rPr>
              <w:t>号）要求：“涉及废水回注的，应当论证回注的环境可行性，采取切实可</w:t>
            </w:r>
            <w:r>
              <w:rPr>
                <w:rFonts w:ascii="Times New Roman" w:hAnsi="Times New Roman" w:eastAsia="宋体" w:cs="Times New Roman"/>
                <w:color w:val="auto"/>
                <w:spacing w:val="5"/>
                <w:sz w:val="24"/>
                <w:szCs w:val="24"/>
                <w:highlight w:val="none"/>
                <w:lang w:eastAsia="zh-CN"/>
              </w:rPr>
              <w:t>行的地下水污染防治和监控措施，不得回注与油气开采无关的</w:t>
            </w:r>
            <w:r>
              <w:rPr>
                <w:rFonts w:ascii="Times New Roman" w:hAnsi="Times New Roman" w:eastAsia="宋体" w:cs="Times New Roman"/>
                <w:color w:val="auto"/>
                <w:spacing w:val="4"/>
                <w:sz w:val="24"/>
                <w:szCs w:val="24"/>
                <w:highlight w:val="none"/>
                <w:lang w:eastAsia="zh-CN"/>
              </w:rPr>
              <w:t>废水，严禁造成地下水</w:t>
            </w:r>
            <w:r>
              <w:rPr>
                <w:rFonts w:ascii="Times New Roman" w:hAnsi="Times New Roman" w:eastAsia="宋体" w:cs="Times New Roman"/>
                <w:color w:val="auto"/>
                <w:spacing w:val="5"/>
                <w:sz w:val="24"/>
                <w:szCs w:val="24"/>
                <w:highlight w:val="none"/>
                <w:lang w:eastAsia="zh-CN"/>
              </w:rPr>
              <w:t>污染。在相关行业污染控制标准发布前，回注的开采废水应当</w:t>
            </w:r>
            <w:r>
              <w:rPr>
                <w:rFonts w:ascii="Times New Roman" w:hAnsi="Times New Roman" w:eastAsia="宋体" w:cs="Times New Roman"/>
                <w:color w:val="auto"/>
                <w:spacing w:val="4"/>
                <w:sz w:val="24"/>
                <w:szCs w:val="24"/>
                <w:highlight w:val="none"/>
                <w:lang w:eastAsia="zh-CN"/>
              </w:rPr>
              <w:t>经处理并符合《碎屑岩</w:t>
            </w:r>
            <w:r>
              <w:rPr>
                <w:rFonts w:ascii="Times New Roman" w:hAnsi="Times New Roman" w:eastAsia="宋体" w:cs="Times New Roman"/>
                <w:color w:val="auto"/>
                <w:spacing w:val="-2"/>
                <w:sz w:val="24"/>
                <w:szCs w:val="24"/>
                <w:highlight w:val="none"/>
                <w:lang w:eastAsia="zh-CN"/>
              </w:rPr>
              <w:t>油藏注水水质推荐指标及分析方法》（</w:t>
            </w:r>
            <w:r>
              <w:rPr>
                <w:rFonts w:ascii="Times New Roman" w:hAnsi="Times New Roman" w:eastAsia="Times New Roman" w:cs="Times New Roman"/>
                <w:color w:val="auto"/>
                <w:spacing w:val="-2"/>
                <w:sz w:val="24"/>
                <w:szCs w:val="24"/>
                <w:highlight w:val="none"/>
                <w:lang w:eastAsia="zh-CN"/>
              </w:rPr>
              <w:t>SY/T</w:t>
            </w:r>
            <w:r>
              <w:rPr>
                <w:rFonts w:ascii="Times New Roman" w:hAnsi="Times New Roman" w:eastAsia="Times New Roman" w:cs="Times New Roman"/>
                <w:color w:val="auto"/>
                <w:spacing w:val="-3"/>
                <w:sz w:val="24"/>
                <w:szCs w:val="24"/>
                <w:highlight w:val="none"/>
                <w:lang w:eastAsia="zh-CN"/>
              </w:rPr>
              <w:t>5329</w:t>
            </w:r>
            <w:r>
              <w:rPr>
                <w:rFonts w:ascii="Times New Roman" w:hAnsi="Times New Roman" w:cs="Times New Roman"/>
                <w:color w:val="auto"/>
                <w:spacing w:val="-1"/>
                <w:sz w:val="24"/>
                <w:szCs w:val="24"/>
                <w:highlight w:val="none"/>
                <w:lang w:eastAsia="zh-CN"/>
              </w:rPr>
              <w:t>-2022</w:t>
            </w:r>
            <w:r>
              <w:rPr>
                <w:rFonts w:ascii="Times New Roman" w:hAnsi="Times New Roman" w:eastAsia="宋体" w:cs="Times New Roman"/>
                <w:color w:val="auto"/>
                <w:spacing w:val="-3"/>
                <w:sz w:val="24"/>
                <w:szCs w:val="24"/>
                <w:highlight w:val="none"/>
                <w:lang w:eastAsia="zh-CN"/>
              </w:rPr>
              <w:t>）</w:t>
            </w:r>
            <w:r>
              <w:rPr>
                <w:rFonts w:hint="eastAsia" w:ascii="宋体" w:hAnsi="宋体" w:eastAsia="宋体" w:cs="宋体"/>
                <w:color w:val="auto"/>
                <w:spacing w:val="-1"/>
                <w:sz w:val="24"/>
                <w:szCs w:val="24"/>
                <w:highlight w:val="none"/>
                <w:lang w:eastAsia="zh-CN"/>
              </w:rPr>
              <w:t>中Ⅲ级</w:t>
            </w:r>
            <w:r>
              <w:rPr>
                <w:rFonts w:ascii="Times New Roman" w:hAnsi="Times New Roman" w:eastAsia="宋体" w:cs="Times New Roman"/>
                <w:color w:val="auto"/>
                <w:spacing w:val="-3"/>
                <w:sz w:val="24"/>
                <w:szCs w:val="24"/>
                <w:highlight w:val="none"/>
                <w:lang w:eastAsia="zh-CN"/>
              </w:rPr>
              <w:t>标准要求后回注，同步采取切</w:t>
            </w:r>
            <w:r>
              <w:rPr>
                <w:rFonts w:ascii="Times New Roman" w:hAnsi="Times New Roman" w:eastAsia="宋体" w:cs="Times New Roman"/>
                <w:color w:val="auto"/>
                <w:spacing w:val="5"/>
                <w:sz w:val="24"/>
                <w:szCs w:val="24"/>
                <w:highlight w:val="none"/>
                <w:lang w:eastAsia="zh-CN"/>
              </w:rPr>
              <w:t>实可行措施防治污染。回注目的层应当为地质构造封闭地层，</w:t>
            </w:r>
            <w:r>
              <w:rPr>
                <w:rFonts w:ascii="Times New Roman" w:hAnsi="Times New Roman" w:eastAsia="宋体" w:cs="Times New Roman"/>
                <w:color w:val="auto"/>
                <w:spacing w:val="4"/>
                <w:sz w:val="24"/>
                <w:szCs w:val="24"/>
                <w:highlight w:val="none"/>
                <w:lang w:eastAsia="zh-CN"/>
              </w:rPr>
              <w:t>一般应当回注到现役油</w:t>
            </w:r>
            <w:r>
              <w:rPr>
                <w:rFonts w:ascii="Times New Roman" w:hAnsi="Times New Roman" w:eastAsia="宋体" w:cs="Times New Roman"/>
                <w:color w:val="auto"/>
                <w:spacing w:val="-1"/>
                <w:sz w:val="24"/>
                <w:szCs w:val="24"/>
                <w:highlight w:val="none"/>
                <w:lang w:eastAsia="zh-CN"/>
              </w:rPr>
              <w:t>气藏或枯竭废弃油气藏”。</w:t>
            </w:r>
          </w:p>
          <w:p w14:paraId="3D225076">
            <w:pPr>
              <w:widowControl/>
              <w:kinsoku/>
              <w:spacing w:line="360" w:lineRule="auto"/>
              <w:ind w:left="37" w:right="26" w:firstLine="500" w:firstLineChars="200"/>
              <w:jc w:val="both"/>
              <w:rPr>
                <w:rFonts w:ascii="Times New Roman" w:hAnsi="Times New Roman" w:eastAsia="宋体" w:cs="Times New Roman"/>
                <w:color w:val="auto"/>
                <w:spacing w:val="-2"/>
                <w:sz w:val="24"/>
                <w:szCs w:val="24"/>
                <w:highlight w:val="none"/>
                <w:lang w:eastAsia="zh-CN"/>
              </w:rPr>
            </w:pPr>
            <w:r>
              <w:rPr>
                <w:rFonts w:ascii="Times New Roman" w:hAnsi="Times New Roman" w:eastAsia="宋体" w:cs="Times New Roman"/>
                <w:color w:val="auto"/>
                <w:spacing w:val="5"/>
                <w:sz w:val="24"/>
                <w:szCs w:val="24"/>
                <w:highlight w:val="none"/>
                <w:lang w:eastAsia="zh-CN"/>
              </w:rPr>
              <w:t>本项目回注的采出水经吉28脱水站一体化污水撬装装置处理达到《碎屑岩油藏注</w:t>
            </w:r>
            <w:r>
              <w:rPr>
                <w:rFonts w:ascii="Times New Roman" w:hAnsi="Times New Roman" w:eastAsia="宋体" w:cs="Times New Roman"/>
                <w:color w:val="auto"/>
                <w:spacing w:val="2"/>
                <w:sz w:val="24"/>
                <w:szCs w:val="24"/>
                <w:highlight w:val="none"/>
                <w:lang w:eastAsia="zh-CN"/>
              </w:rPr>
              <w:t>水水质指标技术要求及分析方法》（</w:t>
            </w:r>
            <w:r>
              <w:rPr>
                <w:rFonts w:ascii="Times New Roman" w:hAnsi="Times New Roman" w:eastAsia="Times New Roman" w:cs="Times New Roman"/>
                <w:color w:val="auto"/>
                <w:sz w:val="24"/>
                <w:szCs w:val="24"/>
                <w:highlight w:val="none"/>
                <w:lang w:eastAsia="zh-CN"/>
              </w:rPr>
              <w:t>SY</w:t>
            </w:r>
            <w:r>
              <w:rPr>
                <w:rFonts w:ascii="Times New Roman" w:hAnsi="Times New Roman" w:eastAsia="Times New Roman" w:cs="Times New Roman"/>
                <w:color w:val="auto"/>
                <w:spacing w:val="2"/>
                <w:sz w:val="24"/>
                <w:szCs w:val="24"/>
                <w:highlight w:val="none"/>
                <w:lang w:eastAsia="zh-CN"/>
              </w:rPr>
              <w:t>/T5329</w:t>
            </w:r>
            <w:r>
              <w:rPr>
                <w:rFonts w:ascii="Times New Roman" w:hAnsi="Times New Roman" w:eastAsia="Times New Roman" w:cs="Times New Roman"/>
                <w:color w:val="auto"/>
                <w:spacing w:val="1"/>
                <w:sz w:val="24"/>
                <w:szCs w:val="24"/>
                <w:highlight w:val="none"/>
                <w:lang w:eastAsia="zh-CN"/>
              </w:rPr>
              <w:t>-2022</w:t>
            </w:r>
            <w:r>
              <w:rPr>
                <w:rFonts w:ascii="Times New Roman" w:hAnsi="Times New Roman" w:eastAsia="宋体" w:cs="Times New Roman"/>
                <w:color w:val="auto"/>
                <w:spacing w:val="1"/>
                <w:sz w:val="24"/>
                <w:szCs w:val="24"/>
                <w:highlight w:val="none"/>
                <w:lang w:eastAsia="zh-CN"/>
              </w:rPr>
              <w:t>）</w:t>
            </w:r>
            <w:r>
              <w:rPr>
                <w:rFonts w:hint="eastAsia" w:ascii="宋体" w:hAnsi="宋体" w:eastAsia="宋体" w:cs="宋体"/>
                <w:color w:val="auto"/>
                <w:spacing w:val="-1"/>
                <w:sz w:val="24"/>
                <w:szCs w:val="24"/>
                <w:highlight w:val="none"/>
                <w:lang w:eastAsia="zh-CN"/>
              </w:rPr>
              <w:t>中Ⅲ级</w:t>
            </w:r>
            <w:r>
              <w:rPr>
                <w:rFonts w:ascii="Times New Roman" w:hAnsi="Times New Roman" w:eastAsia="宋体" w:cs="Times New Roman"/>
                <w:color w:val="auto"/>
                <w:spacing w:val="1"/>
                <w:sz w:val="24"/>
                <w:szCs w:val="24"/>
                <w:highlight w:val="none"/>
                <w:lang w:eastAsia="zh-CN"/>
              </w:rPr>
              <w:t>标准要求，根据建设单位提供的</w:t>
            </w:r>
            <w:r>
              <w:rPr>
                <w:rFonts w:ascii="Times New Roman" w:hAnsi="Times New Roman" w:eastAsia="宋体" w:cs="Times New Roman"/>
                <w:color w:val="auto"/>
                <w:spacing w:val="5"/>
                <w:sz w:val="24"/>
                <w:szCs w:val="24"/>
                <w:highlight w:val="none"/>
                <w:lang w:eastAsia="zh-CN"/>
              </w:rPr>
              <w:t>开发利用方案，回注层系与本次拟开发含油层位于同一层系，属于</w:t>
            </w:r>
            <w:r>
              <w:rPr>
                <w:rFonts w:ascii="Times New Roman" w:hAnsi="Times New Roman" w:eastAsia="宋体" w:cs="Times New Roman"/>
                <w:color w:val="auto"/>
                <w:spacing w:val="4"/>
                <w:sz w:val="24"/>
                <w:szCs w:val="24"/>
                <w:highlight w:val="none"/>
                <w:lang w:eastAsia="zh-CN"/>
              </w:rPr>
              <w:t>现役油藏，地质构</w:t>
            </w:r>
            <w:r>
              <w:rPr>
                <w:rFonts w:ascii="Times New Roman" w:hAnsi="Times New Roman" w:eastAsia="宋体" w:cs="Times New Roman"/>
                <w:color w:val="auto"/>
                <w:spacing w:val="1"/>
                <w:sz w:val="24"/>
                <w:szCs w:val="24"/>
                <w:highlight w:val="none"/>
                <w:lang w:eastAsia="zh-CN"/>
              </w:rPr>
              <w:t xml:space="preserve">造封闭，回注深度可达到 </w:t>
            </w:r>
            <w:r>
              <w:rPr>
                <w:rFonts w:ascii="Times New Roman" w:hAnsi="Times New Roman" w:eastAsia="Times New Roman" w:cs="Times New Roman"/>
                <w:color w:val="auto"/>
                <w:spacing w:val="1"/>
                <w:sz w:val="24"/>
                <w:szCs w:val="24"/>
                <w:highlight w:val="none"/>
                <w:lang w:eastAsia="zh-CN"/>
              </w:rPr>
              <w:t>3500m~3800m</w:t>
            </w:r>
            <w:r>
              <w:rPr>
                <w:rFonts w:ascii="Times New Roman" w:hAnsi="Times New Roman" w:eastAsia="宋体" w:cs="Times New Roman"/>
                <w:color w:val="auto"/>
                <w:spacing w:val="1"/>
                <w:sz w:val="24"/>
                <w:szCs w:val="24"/>
                <w:highlight w:val="none"/>
                <w:lang w:eastAsia="zh-CN"/>
              </w:rPr>
              <w:t>，回注油层与地下水处于不同层系，远远超出</w:t>
            </w:r>
            <w:r>
              <w:rPr>
                <w:rFonts w:ascii="Times New Roman" w:hAnsi="Times New Roman" w:eastAsia="宋体" w:cs="Times New Roman"/>
                <w:color w:val="auto"/>
                <w:spacing w:val="5"/>
                <w:sz w:val="24"/>
                <w:szCs w:val="24"/>
                <w:highlight w:val="none"/>
                <w:lang w:eastAsia="zh-CN"/>
              </w:rPr>
              <w:t>含水层的深度。本项目采取了切实可行的地下水污染防治措施，</w:t>
            </w:r>
            <w:r>
              <w:rPr>
                <w:rFonts w:ascii="Times New Roman" w:hAnsi="Times New Roman" w:eastAsia="宋体" w:cs="Times New Roman"/>
                <w:color w:val="auto"/>
                <w:spacing w:val="4"/>
                <w:sz w:val="24"/>
                <w:szCs w:val="24"/>
                <w:highlight w:val="none"/>
                <w:lang w:eastAsia="zh-CN"/>
              </w:rPr>
              <w:t>在钻井过程中对潜水</w:t>
            </w:r>
            <w:r>
              <w:rPr>
                <w:rFonts w:ascii="Times New Roman" w:hAnsi="Times New Roman" w:eastAsia="宋体" w:cs="Times New Roman"/>
                <w:color w:val="auto"/>
                <w:spacing w:val="5"/>
                <w:sz w:val="24"/>
                <w:szCs w:val="24"/>
                <w:highlight w:val="none"/>
                <w:lang w:eastAsia="zh-CN"/>
              </w:rPr>
              <w:t>所在的地层进行了水泥浆固井，固井深度远远超过了承压水埋深</w:t>
            </w:r>
            <w:r>
              <w:rPr>
                <w:rFonts w:ascii="Times New Roman" w:hAnsi="Times New Roman" w:eastAsia="宋体" w:cs="Times New Roman"/>
                <w:color w:val="auto"/>
                <w:spacing w:val="4"/>
                <w:sz w:val="24"/>
                <w:szCs w:val="24"/>
                <w:highlight w:val="none"/>
                <w:lang w:eastAsia="zh-CN"/>
              </w:rPr>
              <w:t>，可以确保井壁不会</w:t>
            </w:r>
            <w:r>
              <w:rPr>
                <w:rFonts w:ascii="Times New Roman" w:hAnsi="Times New Roman" w:eastAsia="宋体" w:cs="Times New Roman"/>
                <w:color w:val="auto"/>
                <w:spacing w:val="5"/>
                <w:sz w:val="24"/>
                <w:szCs w:val="24"/>
                <w:highlight w:val="none"/>
                <w:lang w:eastAsia="zh-CN"/>
              </w:rPr>
              <w:t>发生侧漏，有效隔离含水层与井内回注水的交换，有效保护地下</w:t>
            </w:r>
            <w:r>
              <w:rPr>
                <w:rFonts w:ascii="Times New Roman" w:hAnsi="Times New Roman" w:eastAsia="宋体" w:cs="Times New Roman"/>
                <w:color w:val="auto"/>
                <w:spacing w:val="4"/>
                <w:sz w:val="24"/>
                <w:szCs w:val="24"/>
                <w:highlight w:val="none"/>
                <w:lang w:eastAsia="zh-CN"/>
              </w:rPr>
              <w:t>水层。</w:t>
            </w:r>
          </w:p>
          <w:bookmarkEnd w:id="27"/>
          <w:p w14:paraId="6875A032">
            <w:pPr>
              <w:widowControl/>
              <w:tabs>
                <w:tab w:val="left" w:pos="4584"/>
              </w:tabs>
              <w:kinsoku/>
              <w:spacing w:line="500" w:lineRule="exact"/>
              <w:jc w:val="both"/>
              <w:rPr>
                <w:rFonts w:ascii="Times New Roman" w:hAnsi="Times New Roman" w:eastAsia="宋体" w:cs="Times New Roman"/>
                <w:b/>
                <w:bCs/>
                <w:color w:val="auto"/>
                <w:spacing w:val="-2"/>
                <w:sz w:val="24"/>
                <w:szCs w:val="24"/>
                <w:highlight w:val="none"/>
                <w:lang w:eastAsia="zh-CN"/>
              </w:rPr>
            </w:pPr>
            <w:r>
              <w:rPr>
                <w:rFonts w:ascii="Times New Roman" w:hAnsi="Times New Roman" w:eastAsia="宋体" w:cs="Times New Roman"/>
                <w:b/>
                <w:bCs/>
                <w:color w:val="auto"/>
                <w:spacing w:val="-2"/>
                <w:sz w:val="24"/>
                <w:szCs w:val="24"/>
                <w:highlight w:val="none"/>
                <w:lang w:eastAsia="zh-CN"/>
              </w:rPr>
              <w:t>5.地下水和土壤环境保护措施</w:t>
            </w:r>
          </w:p>
          <w:p w14:paraId="038F9C7F">
            <w:pPr>
              <w:widowControl/>
              <w:tabs>
                <w:tab w:val="left" w:pos="4584"/>
              </w:tabs>
              <w:kinsoku/>
              <w:spacing w:line="500" w:lineRule="exact"/>
              <w:ind w:firstLine="464" w:firstLineChars="200"/>
              <w:jc w:val="both"/>
              <w:rPr>
                <w:rFonts w:ascii="Times New Roman" w:hAnsi="Times New Roman" w:eastAsia="宋体" w:cs="Times New Roman"/>
                <w:color w:val="auto"/>
                <w:spacing w:val="-4"/>
                <w:sz w:val="24"/>
                <w:szCs w:val="24"/>
                <w:highlight w:val="none"/>
                <w:lang w:eastAsia="zh-CN"/>
              </w:rPr>
            </w:pPr>
            <w:r>
              <w:rPr>
                <w:rFonts w:ascii="Times New Roman" w:hAnsi="Times New Roman" w:eastAsia="宋体" w:cs="Times New Roman"/>
                <w:color w:val="auto"/>
                <w:spacing w:val="-4"/>
                <w:sz w:val="24"/>
                <w:szCs w:val="24"/>
                <w:highlight w:val="none"/>
                <w:lang w:eastAsia="zh-CN"/>
              </w:rPr>
              <w:t>根据《环境影响评价技术导则 地下水环境》（HJ610-2016）和《石油化工工程防渗技术规范》（GB/T50934-2013）的相关规定，本工程拟对厂区进行分区地下水污染防治。</w:t>
            </w:r>
          </w:p>
          <w:p w14:paraId="1FD47F63">
            <w:pPr>
              <w:widowControl/>
              <w:tabs>
                <w:tab w:val="left" w:pos="4584"/>
              </w:tabs>
              <w:kinsoku/>
              <w:spacing w:line="500" w:lineRule="exact"/>
              <w:ind w:firstLine="464" w:firstLineChars="200"/>
              <w:jc w:val="both"/>
              <w:rPr>
                <w:rFonts w:ascii="Times New Roman" w:hAnsi="Times New Roman" w:eastAsia="宋体" w:cs="Times New Roman"/>
                <w:color w:val="auto"/>
                <w:spacing w:val="-4"/>
                <w:sz w:val="24"/>
                <w:szCs w:val="24"/>
                <w:lang w:eastAsia="zh-CN"/>
              </w:rPr>
            </w:pPr>
            <w:r>
              <w:rPr>
                <w:rFonts w:ascii="Times New Roman" w:hAnsi="Times New Roman" w:eastAsia="宋体" w:cs="Times New Roman"/>
                <w:color w:val="auto"/>
                <w:spacing w:val="-4"/>
                <w:sz w:val="24"/>
                <w:szCs w:val="24"/>
                <w:highlight w:val="none"/>
                <w:lang w:eastAsia="zh-CN"/>
              </w:rPr>
              <w:t>（1）</w:t>
            </w:r>
            <w:r>
              <w:rPr>
                <w:rFonts w:ascii="Times New Roman" w:hAnsi="Times New Roman" w:eastAsia="宋体" w:cs="Times New Roman"/>
                <w:color w:val="auto"/>
                <w:spacing w:val="-4"/>
                <w:sz w:val="24"/>
                <w:szCs w:val="24"/>
                <w:lang w:eastAsia="zh-CN"/>
              </w:rPr>
              <w:t>施工期间钻井井场分为重点防渗区、一般防渗区和简单防渗区。其中柴油储罐、发电</w:t>
            </w:r>
            <w:r>
              <w:rPr>
                <w:rFonts w:hint="eastAsia" w:ascii="Times New Roman" w:hAnsi="Times New Roman" w:eastAsia="宋体" w:cs="Times New Roman"/>
                <w:color w:val="auto"/>
                <w:spacing w:val="-4"/>
                <w:sz w:val="24"/>
                <w:szCs w:val="24"/>
                <w:lang w:val="en-US" w:eastAsia="zh-CN"/>
              </w:rPr>
              <w:t>机</w:t>
            </w:r>
            <w:r>
              <w:rPr>
                <w:rFonts w:ascii="Times New Roman" w:hAnsi="Times New Roman" w:eastAsia="宋体" w:cs="Times New Roman"/>
                <w:color w:val="auto"/>
                <w:spacing w:val="-4"/>
                <w:sz w:val="24"/>
                <w:szCs w:val="24"/>
                <w:lang w:eastAsia="zh-CN"/>
              </w:rPr>
              <w:t>房、不落地系统、泥浆储罐区、岩屑储罐区、危险废物</w:t>
            </w:r>
            <w:r>
              <w:rPr>
                <w:rFonts w:hint="eastAsia" w:ascii="Times New Roman" w:hAnsi="Times New Roman" w:eastAsia="宋体" w:cs="Times New Roman"/>
                <w:color w:val="auto"/>
                <w:spacing w:val="-4"/>
                <w:sz w:val="24"/>
                <w:szCs w:val="24"/>
                <w:lang w:val="en-US" w:eastAsia="zh-CN"/>
              </w:rPr>
              <w:t>暂</w:t>
            </w:r>
            <w:r>
              <w:rPr>
                <w:rFonts w:ascii="Times New Roman" w:hAnsi="Times New Roman" w:eastAsia="宋体" w:cs="Times New Roman"/>
                <w:color w:val="auto"/>
                <w:spacing w:val="-4"/>
                <w:sz w:val="24"/>
                <w:szCs w:val="24"/>
                <w:lang w:eastAsia="zh-CN"/>
              </w:rPr>
              <w:t>存区等区域为重点防渗区</w:t>
            </w:r>
            <w:r>
              <w:rPr>
                <w:rFonts w:ascii="Times New Roman" w:hAnsi="Times New Roman" w:eastAsia="宋体" w:cs="Times New Roman"/>
                <w:color w:val="auto"/>
                <w:spacing w:val="-4"/>
                <w:sz w:val="24"/>
                <w:szCs w:val="24"/>
                <w:highlight w:val="none"/>
                <w:lang w:eastAsia="zh-CN"/>
              </w:rPr>
              <w:t>，采用防渗膜进行防渗，满足等效黏土防渗层Mb≥6.0m，K＜1×10</w:t>
            </w:r>
            <w:r>
              <w:rPr>
                <w:rFonts w:ascii="Times New Roman" w:hAnsi="Times New Roman" w:eastAsia="宋体" w:cs="Times New Roman"/>
                <w:color w:val="auto"/>
                <w:spacing w:val="-4"/>
                <w:sz w:val="24"/>
                <w:szCs w:val="24"/>
                <w:highlight w:val="none"/>
                <w:vertAlign w:val="superscript"/>
                <w:lang w:eastAsia="zh-CN"/>
              </w:rPr>
              <w:t>-7</w:t>
            </w:r>
            <w:r>
              <w:rPr>
                <w:rFonts w:ascii="Times New Roman" w:hAnsi="Times New Roman" w:eastAsia="宋体" w:cs="Times New Roman"/>
                <w:color w:val="auto"/>
                <w:spacing w:val="-4"/>
                <w:sz w:val="24"/>
                <w:szCs w:val="24"/>
                <w:highlight w:val="none"/>
                <w:lang w:eastAsia="zh-CN"/>
              </w:rPr>
              <w:t>cm/s的防渗性能；移动厕所为一般防渗区，铺设HDPE防渗膜（等效黏土防渗层Mb≥1.5m，K≤1×10</w:t>
            </w:r>
            <w:r>
              <w:rPr>
                <w:rFonts w:ascii="Times New Roman" w:hAnsi="Times New Roman" w:eastAsia="宋体" w:cs="Times New Roman"/>
                <w:color w:val="auto"/>
                <w:spacing w:val="-4"/>
                <w:sz w:val="24"/>
                <w:szCs w:val="24"/>
                <w:highlight w:val="none"/>
                <w:vertAlign w:val="superscript"/>
                <w:lang w:eastAsia="zh-CN"/>
              </w:rPr>
              <w:t>-7</w:t>
            </w:r>
            <w:r>
              <w:rPr>
                <w:rFonts w:ascii="Times New Roman" w:hAnsi="Times New Roman" w:eastAsia="宋体" w:cs="Times New Roman"/>
                <w:color w:val="auto"/>
                <w:spacing w:val="-4"/>
                <w:sz w:val="24"/>
                <w:szCs w:val="24"/>
                <w:highlight w:val="none"/>
                <w:lang w:eastAsia="zh-CN"/>
              </w:rPr>
              <w:t>cm/s）；水罐</w:t>
            </w:r>
            <w:r>
              <w:rPr>
                <w:rFonts w:ascii="Times New Roman" w:hAnsi="Times New Roman" w:eastAsia="宋体" w:cs="Times New Roman"/>
                <w:color w:val="auto"/>
                <w:spacing w:val="-4"/>
                <w:sz w:val="24"/>
                <w:szCs w:val="24"/>
                <w:lang w:eastAsia="zh-CN"/>
              </w:rPr>
              <w:t>区、库房和值班房等其他区域为简单防渗区。</w:t>
            </w:r>
          </w:p>
          <w:p w14:paraId="62C4F369">
            <w:pPr>
              <w:widowControl/>
              <w:tabs>
                <w:tab w:val="left" w:pos="4584"/>
              </w:tabs>
              <w:kinsoku/>
              <w:spacing w:line="500" w:lineRule="exact"/>
              <w:ind w:firstLine="464" w:firstLineChars="200"/>
              <w:jc w:val="both"/>
              <w:rPr>
                <w:rFonts w:ascii="Times New Roman" w:hAnsi="Times New Roman" w:eastAsia="宋体" w:cs="Times New Roman"/>
                <w:color w:val="auto"/>
                <w:spacing w:val="-4"/>
                <w:sz w:val="24"/>
                <w:szCs w:val="24"/>
                <w:highlight w:val="none"/>
                <w:lang w:eastAsia="zh-CN"/>
              </w:rPr>
            </w:pPr>
            <w:r>
              <w:rPr>
                <w:rFonts w:ascii="Times New Roman" w:hAnsi="Times New Roman" w:eastAsia="宋体" w:cs="Times New Roman"/>
                <w:color w:val="auto"/>
                <w:spacing w:val="-4"/>
                <w:sz w:val="24"/>
                <w:szCs w:val="24"/>
                <w:lang w:eastAsia="zh-CN"/>
              </w:rPr>
              <w:t>试油井场分为重点防渗区和简单防渗区。其中发电</w:t>
            </w:r>
            <w:r>
              <w:rPr>
                <w:rFonts w:hint="eastAsia" w:ascii="Times New Roman" w:hAnsi="Times New Roman" w:eastAsia="宋体" w:cs="Times New Roman"/>
                <w:color w:val="auto"/>
                <w:spacing w:val="-4"/>
                <w:sz w:val="24"/>
                <w:szCs w:val="24"/>
                <w:lang w:val="en-US" w:eastAsia="zh-CN"/>
              </w:rPr>
              <w:t>机</w:t>
            </w:r>
            <w:r>
              <w:rPr>
                <w:rFonts w:ascii="Times New Roman" w:hAnsi="Times New Roman" w:eastAsia="宋体" w:cs="Times New Roman"/>
                <w:color w:val="auto"/>
                <w:spacing w:val="-4"/>
                <w:sz w:val="24"/>
                <w:szCs w:val="24"/>
                <w:lang w:eastAsia="zh-CN"/>
              </w:rPr>
              <w:t>房、采出液储罐、试油废水罐为重点防渗区，铺设HDPE防渗膜，值班房为简单防渗区。分区防渗情况详见表5-1</w:t>
            </w:r>
            <w:r>
              <w:rPr>
                <w:rFonts w:ascii="Times New Roman" w:hAnsi="Times New Roman" w:eastAsia="宋体" w:cs="Times New Roman"/>
                <w:color w:val="auto"/>
                <w:spacing w:val="-4"/>
                <w:sz w:val="24"/>
                <w:szCs w:val="24"/>
                <w:highlight w:val="none"/>
                <w:lang w:eastAsia="zh-CN"/>
              </w:rPr>
              <w:t>。</w:t>
            </w:r>
          </w:p>
          <w:p w14:paraId="38BAEE5E">
            <w:pPr>
              <w:pStyle w:val="6"/>
              <w:widowControl w:val="0"/>
              <w:kinsoku/>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表5-1 项目分区防渗表</w:t>
            </w:r>
          </w:p>
          <w:tbl>
            <w:tblPr>
              <w:tblStyle w:val="29"/>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0"/>
              <w:gridCol w:w="1264"/>
              <w:gridCol w:w="2837"/>
              <w:gridCol w:w="3177"/>
            </w:tblGrid>
            <w:tr w14:paraId="56DEA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tcBorders>
                    <w:top w:val="single" w:color="auto" w:sz="4" w:space="0"/>
                    <w:left w:val="single" w:color="auto" w:sz="0" w:space="0"/>
                  </w:tcBorders>
                  <w:vAlign w:val="center"/>
                </w:tcPr>
                <w:p w14:paraId="76576336">
                  <w:pPr>
                    <w:pStyle w:val="27"/>
                    <w:kinsoku/>
                    <w:contextualSpacing/>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时期</w:t>
                  </w:r>
                </w:p>
              </w:tc>
              <w:tc>
                <w:tcPr>
                  <w:tcW w:w="1264" w:type="dxa"/>
                  <w:tcBorders>
                    <w:top w:val="single" w:color="auto" w:sz="4" w:space="0"/>
                  </w:tcBorders>
                  <w:vAlign w:val="center"/>
                </w:tcPr>
                <w:p w14:paraId="1186115F">
                  <w:pPr>
                    <w:pStyle w:val="27"/>
                    <w:kinsoku/>
                    <w:contextualSpacing/>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防渗分区</w:t>
                  </w:r>
                </w:p>
              </w:tc>
              <w:tc>
                <w:tcPr>
                  <w:tcW w:w="2837" w:type="dxa"/>
                  <w:tcBorders>
                    <w:top w:val="single" w:color="auto" w:sz="4" w:space="0"/>
                  </w:tcBorders>
                  <w:vAlign w:val="center"/>
                </w:tcPr>
                <w:p w14:paraId="5F551BA3">
                  <w:pPr>
                    <w:pStyle w:val="27"/>
                    <w:kinsoku/>
                    <w:contextualSpacing/>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生产单元</w:t>
                  </w:r>
                </w:p>
              </w:tc>
              <w:tc>
                <w:tcPr>
                  <w:tcW w:w="3177" w:type="dxa"/>
                  <w:tcBorders>
                    <w:top w:val="single" w:color="auto" w:sz="4" w:space="0"/>
                    <w:right w:val="single" w:color="auto" w:sz="4" w:space="0"/>
                  </w:tcBorders>
                  <w:vAlign w:val="center"/>
                </w:tcPr>
                <w:p w14:paraId="5F1229E9">
                  <w:pPr>
                    <w:pStyle w:val="27"/>
                    <w:kinsoku/>
                    <w:contextualSpacing/>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防渗性能要求</w:t>
                  </w:r>
                </w:p>
              </w:tc>
            </w:tr>
            <w:tr w14:paraId="46D7D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restart"/>
                  <w:tcBorders>
                    <w:left w:val="single" w:color="auto" w:sz="4" w:space="0"/>
                  </w:tcBorders>
                  <w:vAlign w:val="center"/>
                </w:tcPr>
                <w:p w14:paraId="33772F0C">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钻井井场</w:t>
                  </w:r>
                </w:p>
              </w:tc>
              <w:tc>
                <w:tcPr>
                  <w:tcW w:w="1264" w:type="dxa"/>
                  <w:vAlign w:val="center"/>
                </w:tcPr>
                <w:p w14:paraId="7E54BD8A">
                  <w:pPr>
                    <w:pStyle w:val="27"/>
                    <w:kinsoku/>
                    <w:contextualSpacing/>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重点防渗区</w:t>
                  </w:r>
                </w:p>
              </w:tc>
              <w:tc>
                <w:tcPr>
                  <w:tcW w:w="2837" w:type="dxa"/>
                  <w:vAlign w:val="center"/>
                </w:tcPr>
                <w:p w14:paraId="13F863B4">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lang w:eastAsia="zh-CN"/>
                    </w:rPr>
                    <w:t>柴油罐区、发电机房、不落地系统、泥浆</w:t>
                  </w:r>
                  <w:r>
                    <w:rPr>
                      <w:rFonts w:hint="eastAsia" w:ascii="Times New Roman" w:hAnsi="Times New Roman" w:eastAsia="宋体" w:cs="Times New Roman"/>
                      <w:color w:val="auto"/>
                      <w:lang w:val="en-US" w:eastAsia="zh-CN"/>
                    </w:rPr>
                    <w:t>储</w:t>
                  </w:r>
                  <w:r>
                    <w:rPr>
                      <w:rFonts w:ascii="Times New Roman" w:hAnsi="Times New Roman" w:eastAsia="宋体" w:cs="Times New Roman"/>
                      <w:color w:val="auto"/>
                      <w:lang w:eastAsia="zh-CN"/>
                    </w:rPr>
                    <w:t>罐区、岩屑罐区、危险废物</w:t>
                  </w:r>
                  <w:r>
                    <w:rPr>
                      <w:rFonts w:hint="eastAsia" w:ascii="Times New Roman" w:hAnsi="Times New Roman" w:eastAsia="宋体" w:cs="Times New Roman"/>
                      <w:color w:val="auto"/>
                      <w:lang w:val="en-US" w:eastAsia="zh-CN"/>
                    </w:rPr>
                    <w:t>暂</w:t>
                  </w:r>
                  <w:r>
                    <w:rPr>
                      <w:rFonts w:ascii="Times New Roman" w:hAnsi="Times New Roman" w:eastAsia="宋体" w:cs="Times New Roman"/>
                      <w:color w:val="auto"/>
                      <w:lang w:eastAsia="zh-CN"/>
                    </w:rPr>
                    <w:t>存区</w:t>
                  </w:r>
                </w:p>
              </w:tc>
              <w:tc>
                <w:tcPr>
                  <w:tcW w:w="3177" w:type="dxa"/>
                  <w:tcBorders>
                    <w:right w:val="single" w:color="auto" w:sz="4" w:space="0"/>
                  </w:tcBorders>
                  <w:vAlign w:val="center"/>
                </w:tcPr>
                <w:p w14:paraId="3B159A93">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szCs w:val="18"/>
                      <w:highlight w:val="none"/>
                      <w:lang w:val="zh-CN" w:eastAsia="zh-CN"/>
                    </w:rPr>
                    <w:t>等效黏土防渗层Mb≥</w:t>
                  </w:r>
                  <w:r>
                    <w:rPr>
                      <w:rFonts w:ascii="Times New Roman" w:hAnsi="Times New Roman" w:eastAsia="宋体" w:cs="Times New Roman"/>
                      <w:color w:val="auto"/>
                      <w:szCs w:val="18"/>
                      <w:highlight w:val="none"/>
                      <w:lang w:eastAsia="zh-CN"/>
                    </w:rPr>
                    <w:t>6.0</w:t>
                  </w:r>
                  <w:r>
                    <w:rPr>
                      <w:rFonts w:ascii="Times New Roman" w:hAnsi="Times New Roman" w:eastAsia="宋体" w:cs="Times New Roman"/>
                      <w:color w:val="auto"/>
                      <w:szCs w:val="18"/>
                      <w:highlight w:val="none"/>
                      <w:lang w:val="zh-CN" w:eastAsia="zh-CN"/>
                    </w:rPr>
                    <w:t>m，K＜1×10</w:t>
                  </w:r>
                  <w:r>
                    <w:rPr>
                      <w:rFonts w:ascii="Times New Roman" w:hAnsi="Times New Roman" w:eastAsia="宋体" w:cs="Times New Roman"/>
                      <w:color w:val="auto"/>
                      <w:szCs w:val="18"/>
                      <w:highlight w:val="none"/>
                      <w:vertAlign w:val="superscript"/>
                      <w:lang w:val="zh-CN" w:eastAsia="zh-CN"/>
                    </w:rPr>
                    <w:t>-7</w:t>
                  </w:r>
                  <w:r>
                    <w:rPr>
                      <w:rFonts w:ascii="Times New Roman" w:hAnsi="Times New Roman" w:eastAsia="宋体" w:cs="Times New Roman"/>
                      <w:color w:val="auto"/>
                      <w:szCs w:val="18"/>
                      <w:highlight w:val="none"/>
                      <w:lang w:val="zh-CN" w:eastAsia="zh-CN"/>
                    </w:rPr>
                    <w:t>cm/s，或参照GB</w:t>
                  </w:r>
                  <w:r>
                    <w:rPr>
                      <w:rFonts w:ascii="Times New Roman" w:hAnsi="Times New Roman" w:eastAsia="宋体" w:cs="Times New Roman"/>
                      <w:color w:val="auto"/>
                      <w:szCs w:val="18"/>
                      <w:highlight w:val="none"/>
                      <w:lang w:eastAsia="zh-CN"/>
                    </w:rPr>
                    <w:t>18598</w:t>
                  </w:r>
                  <w:r>
                    <w:rPr>
                      <w:rFonts w:ascii="Times New Roman" w:hAnsi="Times New Roman" w:eastAsia="宋体" w:cs="Times New Roman"/>
                      <w:color w:val="auto"/>
                      <w:szCs w:val="18"/>
                      <w:highlight w:val="none"/>
                      <w:lang w:val="zh-CN" w:eastAsia="zh-CN"/>
                    </w:rPr>
                    <w:t>执行</w:t>
                  </w:r>
                </w:p>
              </w:tc>
            </w:tr>
            <w:tr w14:paraId="725D5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continue"/>
                  <w:tcBorders>
                    <w:left w:val="single" w:color="auto" w:sz="4" w:space="0"/>
                  </w:tcBorders>
                  <w:vAlign w:val="center"/>
                </w:tcPr>
                <w:p w14:paraId="6253D1BC">
                  <w:pPr>
                    <w:pStyle w:val="27"/>
                    <w:kinsoku/>
                    <w:contextualSpacing/>
                    <w:rPr>
                      <w:rFonts w:ascii="Times New Roman" w:hAnsi="Times New Roman" w:eastAsia="宋体" w:cs="Times New Roman"/>
                      <w:color w:val="auto"/>
                      <w:highlight w:val="none"/>
                      <w:lang w:eastAsia="zh-CN"/>
                    </w:rPr>
                  </w:pPr>
                </w:p>
              </w:tc>
              <w:tc>
                <w:tcPr>
                  <w:tcW w:w="1264" w:type="dxa"/>
                  <w:vAlign w:val="center"/>
                </w:tcPr>
                <w:p w14:paraId="44A205CB">
                  <w:pPr>
                    <w:pStyle w:val="27"/>
                    <w:kinsoku/>
                    <w:contextualSpacing/>
                    <w:rPr>
                      <w:rFonts w:ascii="Times New Roman" w:hAnsi="Times New Roman" w:eastAsia="宋体" w:cs="Times New Roman"/>
                      <w:color w:val="auto"/>
                      <w:highlight w:val="none"/>
                    </w:rPr>
                  </w:pPr>
                  <w:r>
                    <w:rPr>
                      <w:rFonts w:ascii="Times New Roman" w:hAnsi="Times New Roman" w:eastAsia="宋体" w:cs="Times New Roman"/>
                      <w:color w:val="auto"/>
                      <w:spacing w:val="-4"/>
                      <w:highlight w:val="none"/>
                    </w:rPr>
                    <w:t>简单防渗区</w:t>
                  </w:r>
                </w:p>
              </w:tc>
              <w:tc>
                <w:tcPr>
                  <w:tcW w:w="2837" w:type="dxa"/>
                  <w:vAlign w:val="center"/>
                </w:tcPr>
                <w:p w14:paraId="16C51730">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lang w:eastAsia="zh-CN"/>
                    </w:rPr>
                    <w:t>水罐区、值班房、库房、材料储存区、钻井区</w:t>
                  </w:r>
                </w:p>
              </w:tc>
              <w:tc>
                <w:tcPr>
                  <w:tcW w:w="3177" w:type="dxa"/>
                  <w:tcBorders>
                    <w:right w:val="single" w:color="auto" w:sz="4" w:space="0"/>
                  </w:tcBorders>
                  <w:vAlign w:val="center"/>
                </w:tcPr>
                <w:p w14:paraId="22174922">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铺垫戈壁料</w:t>
                  </w:r>
                </w:p>
              </w:tc>
            </w:tr>
            <w:tr w14:paraId="37033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tcBorders>
                    <w:left w:val="single" w:color="auto" w:sz="4" w:space="0"/>
                  </w:tcBorders>
                  <w:vAlign w:val="center"/>
                </w:tcPr>
                <w:p w14:paraId="01B05E28">
                  <w:pPr>
                    <w:pStyle w:val="27"/>
                    <w:kinsoku/>
                    <w:contextualSpacing/>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生活营地</w:t>
                  </w:r>
                </w:p>
              </w:tc>
              <w:tc>
                <w:tcPr>
                  <w:tcW w:w="1264" w:type="dxa"/>
                  <w:vAlign w:val="center"/>
                </w:tcPr>
                <w:p w14:paraId="6618D41C">
                  <w:pPr>
                    <w:pStyle w:val="27"/>
                    <w:kinsoku/>
                    <w:contextualSpacing/>
                    <w:rPr>
                      <w:rFonts w:ascii="Times New Roman" w:hAnsi="Times New Roman" w:eastAsia="宋体" w:cs="Times New Roman"/>
                      <w:color w:val="auto"/>
                      <w:highlight w:val="none"/>
                    </w:rPr>
                  </w:pPr>
                  <w:r>
                    <w:rPr>
                      <w:rFonts w:ascii="Times New Roman" w:hAnsi="Times New Roman" w:eastAsia="宋体" w:cs="Times New Roman"/>
                      <w:color w:val="auto"/>
                      <w:highlight w:val="none"/>
                    </w:rPr>
                    <w:t>一般防渗区</w:t>
                  </w:r>
                </w:p>
              </w:tc>
              <w:tc>
                <w:tcPr>
                  <w:tcW w:w="2837" w:type="dxa"/>
                  <w:vAlign w:val="center"/>
                </w:tcPr>
                <w:p w14:paraId="618E1D20">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lang w:eastAsia="zh-CN"/>
                    </w:rPr>
                    <w:t>移动厕所</w:t>
                  </w:r>
                </w:p>
              </w:tc>
              <w:tc>
                <w:tcPr>
                  <w:tcW w:w="3177" w:type="dxa"/>
                  <w:tcBorders>
                    <w:right w:val="single" w:color="auto" w:sz="4" w:space="0"/>
                  </w:tcBorders>
                  <w:vAlign w:val="center"/>
                </w:tcPr>
                <w:p w14:paraId="24003522">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等效黏土防渗层MB≥1.5m，K≤1.0×10</w:t>
                  </w:r>
                  <w:r>
                    <w:rPr>
                      <w:rFonts w:ascii="Times New Roman" w:hAnsi="Times New Roman" w:eastAsia="宋体" w:cs="Times New Roman"/>
                      <w:color w:val="auto"/>
                      <w:highlight w:val="none"/>
                      <w:vertAlign w:val="superscript"/>
                      <w:lang w:eastAsia="zh-CN"/>
                    </w:rPr>
                    <w:t>-7</w:t>
                  </w:r>
                  <w:r>
                    <w:rPr>
                      <w:rFonts w:ascii="Times New Roman" w:hAnsi="Times New Roman" w:eastAsia="宋体" w:cs="Times New Roman"/>
                      <w:color w:val="auto"/>
                      <w:highlight w:val="none"/>
                      <w:lang w:eastAsia="zh-CN"/>
                    </w:rPr>
                    <w:t>cm/s</w:t>
                  </w:r>
                  <w:r>
                    <w:rPr>
                      <w:rFonts w:ascii="Times New Roman" w:hAnsi="Times New Roman" w:eastAsia="宋体" w:cs="Times New Roman"/>
                      <w:color w:val="auto"/>
                      <w:szCs w:val="18"/>
                      <w:highlight w:val="none"/>
                      <w:lang w:val="zh-CN" w:eastAsia="zh-CN"/>
                    </w:rPr>
                    <w:t>，或参照GB16889执行</w:t>
                  </w:r>
                </w:p>
              </w:tc>
            </w:tr>
            <w:tr w14:paraId="17A2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restart"/>
                  <w:tcBorders>
                    <w:left w:val="single" w:color="auto" w:sz="4" w:space="0"/>
                  </w:tcBorders>
                  <w:vAlign w:val="center"/>
                </w:tcPr>
                <w:p w14:paraId="108AB394">
                  <w:pPr>
                    <w:pStyle w:val="27"/>
                    <w:kinsoku/>
                    <w:contextualSpacing/>
                    <w:rPr>
                      <w:rFonts w:ascii="Times New Roman" w:hAnsi="Times New Roman" w:eastAsia="宋体" w:cs="Times New Roman"/>
                      <w:color w:val="auto"/>
                      <w:highlight w:val="none"/>
                    </w:rPr>
                  </w:pPr>
                  <w:r>
                    <w:rPr>
                      <w:rFonts w:ascii="Times New Roman" w:hAnsi="Times New Roman" w:eastAsia="宋体" w:cs="Times New Roman"/>
                      <w:color w:val="auto"/>
                      <w:highlight w:val="none"/>
                    </w:rPr>
                    <w:t>试油井场</w:t>
                  </w:r>
                </w:p>
              </w:tc>
              <w:tc>
                <w:tcPr>
                  <w:tcW w:w="1264" w:type="dxa"/>
                  <w:vAlign w:val="center"/>
                </w:tcPr>
                <w:p w14:paraId="3417FDF9">
                  <w:pPr>
                    <w:pStyle w:val="27"/>
                    <w:kinsoku/>
                    <w:contextualSpacing/>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重点防渗区</w:t>
                  </w:r>
                </w:p>
              </w:tc>
              <w:tc>
                <w:tcPr>
                  <w:tcW w:w="2837" w:type="dxa"/>
                  <w:vAlign w:val="center"/>
                </w:tcPr>
                <w:p w14:paraId="1776FEB2">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lang w:eastAsia="zh-CN"/>
                    </w:rPr>
                    <w:t>发电</w:t>
                  </w:r>
                  <w:r>
                    <w:rPr>
                      <w:rFonts w:hint="eastAsia" w:ascii="Times New Roman" w:hAnsi="Times New Roman" w:eastAsia="宋体" w:cs="Times New Roman"/>
                      <w:color w:val="auto"/>
                      <w:lang w:val="en-US" w:eastAsia="zh-CN"/>
                    </w:rPr>
                    <w:t>机</w:t>
                  </w:r>
                  <w:r>
                    <w:rPr>
                      <w:rFonts w:ascii="Times New Roman" w:hAnsi="Times New Roman" w:eastAsia="宋体" w:cs="Times New Roman"/>
                      <w:color w:val="auto"/>
                      <w:lang w:eastAsia="zh-CN"/>
                    </w:rPr>
                    <w:t>房、采出液储罐区、试油废水罐</w:t>
                  </w:r>
                </w:p>
              </w:tc>
              <w:tc>
                <w:tcPr>
                  <w:tcW w:w="3177" w:type="dxa"/>
                  <w:tcBorders>
                    <w:right w:val="single" w:color="auto" w:sz="4" w:space="0"/>
                  </w:tcBorders>
                  <w:vAlign w:val="center"/>
                </w:tcPr>
                <w:p w14:paraId="4B159FD8">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szCs w:val="18"/>
                      <w:highlight w:val="none"/>
                      <w:lang w:val="zh-CN" w:eastAsia="zh-CN"/>
                    </w:rPr>
                    <w:t>等效黏土防渗层Mb≥</w:t>
                  </w:r>
                  <w:r>
                    <w:rPr>
                      <w:rFonts w:ascii="Times New Roman" w:hAnsi="Times New Roman" w:eastAsia="宋体" w:cs="Times New Roman"/>
                      <w:color w:val="auto"/>
                      <w:szCs w:val="18"/>
                      <w:highlight w:val="none"/>
                      <w:lang w:eastAsia="zh-CN"/>
                    </w:rPr>
                    <w:t>6.0</w:t>
                  </w:r>
                  <w:r>
                    <w:rPr>
                      <w:rFonts w:ascii="Times New Roman" w:hAnsi="Times New Roman" w:eastAsia="宋体" w:cs="Times New Roman"/>
                      <w:color w:val="auto"/>
                      <w:szCs w:val="18"/>
                      <w:highlight w:val="none"/>
                      <w:lang w:val="zh-CN" w:eastAsia="zh-CN"/>
                    </w:rPr>
                    <w:t>m，K＜1×10</w:t>
                  </w:r>
                  <w:r>
                    <w:rPr>
                      <w:rFonts w:ascii="Times New Roman" w:hAnsi="Times New Roman" w:eastAsia="宋体" w:cs="Times New Roman"/>
                      <w:color w:val="auto"/>
                      <w:szCs w:val="18"/>
                      <w:highlight w:val="none"/>
                      <w:vertAlign w:val="superscript"/>
                      <w:lang w:val="zh-CN" w:eastAsia="zh-CN"/>
                    </w:rPr>
                    <w:t>-7</w:t>
                  </w:r>
                  <w:r>
                    <w:rPr>
                      <w:rFonts w:ascii="Times New Roman" w:hAnsi="Times New Roman" w:eastAsia="宋体" w:cs="Times New Roman"/>
                      <w:color w:val="auto"/>
                      <w:szCs w:val="18"/>
                      <w:highlight w:val="none"/>
                      <w:lang w:val="zh-CN" w:eastAsia="zh-CN"/>
                    </w:rPr>
                    <w:t>cm/s，或参照GB</w:t>
                  </w:r>
                  <w:r>
                    <w:rPr>
                      <w:rFonts w:ascii="Times New Roman" w:hAnsi="Times New Roman" w:eastAsia="宋体" w:cs="Times New Roman"/>
                      <w:color w:val="auto"/>
                      <w:szCs w:val="18"/>
                      <w:highlight w:val="none"/>
                      <w:lang w:eastAsia="zh-CN"/>
                    </w:rPr>
                    <w:t>18598</w:t>
                  </w:r>
                  <w:r>
                    <w:rPr>
                      <w:rFonts w:ascii="Times New Roman" w:hAnsi="Times New Roman" w:eastAsia="宋体" w:cs="Times New Roman"/>
                      <w:color w:val="auto"/>
                      <w:szCs w:val="18"/>
                      <w:highlight w:val="none"/>
                      <w:lang w:val="zh-CN" w:eastAsia="zh-CN"/>
                    </w:rPr>
                    <w:t>执行</w:t>
                  </w:r>
                </w:p>
              </w:tc>
            </w:tr>
            <w:tr w14:paraId="35D27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continue"/>
                  <w:tcBorders>
                    <w:left w:val="single" w:color="auto" w:sz="4" w:space="0"/>
                    <w:bottom w:val="single" w:color="auto" w:sz="4" w:space="0"/>
                  </w:tcBorders>
                  <w:vAlign w:val="center"/>
                </w:tcPr>
                <w:p w14:paraId="3F3DD453">
                  <w:pPr>
                    <w:pStyle w:val="27"/>
                    <w:kinsoku/>
                    <w:contextualSpacing/>
                    <w:rPr>
                      <w:rFonts w:ascii="Times New Roman" w:hAnsi="Times New Roman" w:eastAsia="宋体" w:cs="Times New Roman"/>
                      <w:color w:val="auto"/>
                      <w:highlight w:val="none"/>
                      <w:lang w:eastAsia="zh-CN"/>
                    </w:rPr>
                  </w:pPr>
                </w:p>
              </w:tc>
              <w:tc>
                <w:tcPr>
                  <w:tcW w:w="1264" w:type="dxa"/>
                  <w:tcBorders>
                    <w:bottom w:val="single" w:color="auto" w:sz="4" w:space="0"/>
                  </w:tcBorders>
                  <w:vAlign w:val="center"/>
                </w:tcPr>
                <w:p w14:paraId="42074945">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spacing w:val="-4"/>
                      <w:highlight w:val="none"/>
                      <w:lang w:eastAsia="zh-CN"/>
                    </w:rPr>
                    <w:t>简单防渗区</w:t>
                  </w:r>
                </w:p>
              </w:tc>
              <w:tc>
                <w:tcPr>
                  <w:tcW w:w="2837" w:type="dxa"/>
                  <w:tcBorders>
                    <w:bottom w:val="single" w:color="auto" w:sz="4" w:space="0"/>
                  </w:tcBorders>
                  <w:vAlign w:val="center"/>
                </w:tcPr>
                <w:p w14:paraId="2C92C318">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lang w:eastAsia="zh-CN"/>
                    </w:rPr>
                    <w:t>库房、值班房</w:t>
                  </w:r>
                </w:p>
              </w:tc>
              <w:tc>
                <w:tcPr>
                  <w:tcW w:w="3177" w:type="dxa"/>
                  <w:tcBorders>
                    <w:bottom w:val="single" w:color="auto" w:sz="4" w:space="0"/>
                    <w:right w:val="single" w:color="auto" w:sz="4" w:space="0"/>
                  </w:tcBorders>
                  <w:vAlign w:val="center"/>
                </w:tcPr>
                <w:p w14:paraId="15534032">
                  <w:pPr>
                    <w:pStyle w:val="27"/>
                    <w:kinsoku/>
                    <w:contextualSpacing/>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铺垫戈壁料</w:t>
                  </w:r>
                </w:p>
              </w:tc>
            </w:tr>
          </w:tbl>
          <w:p w14:paraId="65D72CD1">
            <w:pPr>
              <w:widowControl/>
              <w:tabs>
                <w:tab w:val="left" w:pos="4584"/>
              </w:tabs>
              <w:kinsoku/>
              <w:spacing w:line="500" w:lineRule="exact"/>
              <w:ind w:firstLine="464" w:firstLineChars="200"/>
              <w:jc w:val="both"/>
              <w:rPr>
                <w:rFonts w:ascii="Times New Roman" w:hAnsi="Times New Roman" w:eastAsia="宋体" w:cs="Times New Roman"/>
                <w:color w:val="auto"/>
                <w:spacing w:val="-4"/>
                <w:sz w:val="24"/>
                <w:szCs w:val="24"/>
                <w:highlight w:val="none"/>
                <w:lang w:eastAsia="zh-CN" w:bidi="ar"/>
              </w:rPr>
            </w:pPr>
            <w:r>
              <w:rPr>
                <w:rFonts w:ascii="Times New Roman" w:hAnsi="Times New Roman" w:eastAsia="宋体" w:cs="Times New Roman"/>
                <w:color w:val="auto"/>
                <w:spacing w:val="-4"/>
                <w:sz w:val="24"/>
                <w:szCs w:val="24"/>
                <w:highlight w:val="none"/>
                <w:lang w:eastAsia="zh-CN" w:bidi="ar"/>
              </w:rPr>
              <w:t>建设单位应监督施工单位严格按照表5-1的分区防渗要求执行，以确保防渗措施的落实和有效性。</w:t>
            </w:r>
          </w:p>
          <w:p w14:paraId="0ADF3A0D">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（2）钻井时采用套管与地层隔离开、并在套管与地层之间注入水泥进行固井，水泥浆返至地面，封隔疏松地层和水层。</w:t>
            </w:r>
          </w:p>
          <w:p w14:paraId="30C2BC52">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3）本项目钻井过程中采用下套管注水泥固井的完井方式进行水泥固井，将含水层与井筒分隔开，一开环空水泥浆均返至地面，对含水层进行了固封处理，同时严格要求套管下入深度、确保固井质量等措施，可有效控制钻井液在含水层中的漏失。钻井时严格落实套管下入深度合格和固井质量合格，同时定期检查固井质量，发现固井质量不合格应及时采取措施，保证固井质量合格，可有效防止地下水污染。</w:t>
            </w:r>
          </w:p>
          <w:p w14:paraId="39BF6716">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（4）对产生的洗井废水、压裂返排液、生活污水、钻井岩屑、沾油废防渗材料、废润滑油、废润滑油桶及生活垃圾严格管理，禁止乱排。</w:t>
            </w:r>
          </w:p>
          <w:p w14:paraId="7EE293E6">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废水均得以妥善处置，最终实现达标排放或回用，固体废物均得到妥善处置。地下水、土壤环境保护措施均为技术可行、经济合理、稳定可靠、便于实施的成熟措施，在钻井过程中得到广泛应用。采取上述措施后，钻试工程不会对地下水环境和土壤环境造成不利影响。</w:t>
            </w:r>
          </w:p>
          <w:p w14:paraId="5550E7BF">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5.1废（污）水拉运处理管控措施和要求</w:t>
            </w:r>
          </w:p>
          <w:p w14:paraId="1BD77AB5">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（1）台账管理：必须建立废（污）水处理台账，详细记录废水来源、处理时间、处理方法、处理效果等信息。台账应由专人负责管理，并保证其真实性和完整性。</w:t>
            </w:r>
          </w:p>
          <w:p w14:paraId="348B2FF2">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全过程控制：应严格控制废（污）水处理的全过程，确保不出现二次污染，对于每一环节，应有明确的处理标准和操作规程，并设立专门的监测点进行质量抽查，一旦发现异常，立即进行处理，防止问题扩大。</w:t>
            </w:r>
          </w:p>
          <w:p w14:paraId="5ABB279C">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（3）防止肆意排放：所有废（污）水在拉运和处理过程中，必须按照国家或地方的相关法规和标准进行，防止肆意排放，应设立专门的排放管道或区域，确保废水不直接排入环境。</w:t>
            </w:r>
          </w:p>
          <w:p w14:paraId="58EB7D90">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（4）人员培训：对从事废（污）水处理的人员进行专业培训确保他们了解处理流程和处理设备的使用方法，能够独立处理常见问题，</w:t>
            </w:r>
          </w:p>
          <w:p w14:paraId="5D3CDABF">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（5）安全防护：处理废（污）水时，应做好安全防护工作，如佩戴专门的面具、手套等防护用具，避免直接接触废水。另外，应定期检查处理设备的运行状况，确保其正常运行。</w:t>
            </w:r>
          </w:p>
          <w:p w14:paraId="02A0BEA3">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（6）应急预案：制定废（污）水处理的应急预案，对于突发情况，有相应的应对措施应急预案应定期进行演练，确保预案的有效性。</w:t>
            </w:r>
          </w:p>
          <w:p w14:paraId="6BBE203F">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（7）记录保存：对废水处理的各个阶段都应有相应的记录并加以保存，以便日后查看和跟踪。</w:t>
            </w:r>
          </w:p>
          <w:p w14:paraId="77E7F118">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综上所述，项目废水在采取上述措施后不会对水环境产生不利影响。</w:t>
            </w:r>
          </w:p>
          <w:p w14:paraId="18191F55">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6.噪声污染防治措施</w:t>
            </w:r>
          </w:p>
          <w:p w14:paraId="16D3ABDD">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机械采用低噪声设备；加强设备维护及保养，对噪声较大的设备采取基础减震措施；加强施工场地管理，合理疏导进入施工区的车辆，禁止运输车辆随意高声鸣笛。在采取上述措施后，施工场界噪声可满足《建筑施工噪声排放标准》（GB12523-2025）中表1的噪声排放限值要求〔昼间70dB（A），夜间55dB（A）〕，不会对区域声环境产生明显影响。</w:t>
            </w:r>
          </w:p>
          <w:p w14:paraId="517508AA">
            <w:pPr>
              <w:widowControl w:val="0"/>
              <w:kinsoku/>
              <w:spacing w:line="500" w:lineRule="exact"/>
              <w:jc w:val="both"/>
              <w:rPr>
                <w:rFonts w:ascii="Times New Roman" w:hAnsi="Times New Roman" w:eastAsia="宋体" w:cs="Times New Roman"/>
                <w:b/>
                <w:bCs/>
                <w:color w:val="auto"/>
                <w:sz w:val="24"/>
                <w:szCs w:val="24"/>
                <w:highlight w:val="none"/>
                <w:lang w:eastAsia="zh-CN"/>
              </w:rPr>
            </w:pPr>
            <w:bookmarkStart w:id="28" w:name="_Hlk143015311"/>
            <w:bookmarkStart w:id="29" w:name="_Hlk183349956"/>
            <w:bookmarkStart w:id="30" w:name="_Hlk136795812"/>
            <w:r>
              <w:rPr>
                <w:rFonts w:ascii="Times New Roman" w:hAnsi="Times New Roman" w:eastAsia="宋体" w:cs="Times New Roman"/>
                <w:b/>
                <w:bCs/>
                <w:color w:val="auto"/>
                <w:sz w:val="24"/>
                <w:szCs w:val="24"/>
                <w:highlight w:val="none"/>
                <w:lang w:eastAsia="zh-CN" w:bidi="ar"/>
              </w:rPr>
              <w:t>7.固体废物处置措施</w:t>
            </w:r>
          </w:p>
          <w:bookmarkEnd w:id="28"/>
          <w:bookmarkEnd w:id="29"/>
          <w:p w14:paraId="11DA3143">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本项目产生的固体废物主要为生活垃圾、水基钻井泥浆岩屑、落地油、废防渗材料、机械设备废油、废油桶等。</w:t>
            </w:r>
          </w:p>
          <w:p w14:paraId="7AA08019">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7.1固</w:t>
            </w:r>
            <w:r>
              <w:rPr>
                <w:rFonts w:hint="eastAsia" w:ascii="Times New Roman" w:hAnsi="Times New Roman" w:eastAsia="宋体" w:cs="Times New Roman"/>
                <w:b/>
                <w:bCs/>
                <w:color w:val="auto"/>
                <w:sz w:val="24"/>
                <w:szCs w:val="24"/>
                <w:highlight w:val="none"/>
                <w:lang w:val="en-US" w:eastAsia="zh-CN"/>
              </w:rPr>
              <w:t>体</w:t>
            </w:r>
            <w:r>
              <w:rPr>
                <w:rFonts w:ascii="Times New Roman" w:hAnsi="Times New Roman" w:eastAsia="宋体" w:cs="Times New Roman"/>
                <w:b/>
                <w:bCs/>
                <w:color w:val="auto"/>
                <w:sz w:val="24"/>
                <w:szCs w:val="24"/>
                <w:highlight w:val="none"/>
                <w:lang w:eastAsia="zh-CN"/>
              </w:rPr>
              <w:t>废物产生及其处置情况</w:t>
            </w:r>
          </w:p>
          <w:p w14:paraId="7A5F3817">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7.1.1生活垃圾</w:t>
            </w:r>
          </w:p>
          <w:p w14:paraId="31F7B1AF">
            <w:pPr>
              <w:pStyle w:val="22"/>
              <w:widowControl w:val="0"/>
              <w:kinsoku/>
              <w:spacing w:before="38" w:line="359" w:lineRule="auto"/>
              <w:ind w:left="3" w:right="4" w:firstLine="480"/>
              <w:jc w:val="both"/>
              <w:rPr>
                <w:rFonts w:ascii="Times New Roman" w:hAnsi="Times New Roman" w:cs="Times New Roman"/>
                <w:color w:val="auto"/>
                <w:spacing w:val="-2"/>
                <w:sz w:val="24"/>
                <w:szCs w:val="24"/>
                <w:highlight w:val="none"/>
                <w:lang w:eastAsia="zh-CN"/>
              </w:rPr>
            </w:pPr>
            <w:r>
              <w:rPr>
                <w:rFonts w:ascii="Times New Roman" w:hAnsi="Times New Roman" w:cs="Times New Roman"/>
                <w:color w:val="auto"/>
                <w:sz w:val="24"/>
                <w:szCs w:val="24"/>
                <w:highlight w:val="none"/>
                <w:lang w:eastAsia="zh-CN"/>
              </w:rPr>
              <w:t>井场和生活营地设置生活垃圾集中收集后委托第三方拉运至当地垃圾场处理。本项目施工期生活垃圾共产生4.32t，占填埋场填埋量比例极小，当地垃圾场可以满足本工程施工期生活垃圾填埋需求。</w:t>
            </w:r>
          </w:p>
          <w:p w14:paraId="06684CA3">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7.1.2钻井泥浆、钻井岩屑</w:t>
            </w:r>
          </w:p>
          <w:p w14:paraId="6A50B652">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项目钻井时井筒返排的钻井泥浆及岩屑经不落地设备分离，分离出的液相回用于钻井液配置，无法综合利用的委托有资质的直接拉运处置。钻井</w:t>
            </w:r>
            <w:r>
              <w:rPr>
                <w:rFonts w:hint="eastAsia" w:ascii="Times New Roman" w:hAnsi="Times New Roman" w:eastAsia="宋体" w:cs="Times New Roman"/>
                <w:color w:val="auto"/>
                <w:sz w:val="24"/>
                <w:szCs w:val="24"/>
                <w:highlight w:val="none"/>
                <w:lang w:eastAsia="zh-CN"/>
              </w:rPr>
              <w:t>泥浆及</w:t>
            </w:r>
            <w:r>
              <w:rPr>
                <w:rFonts w:ascii="Times New Roman" w:hAnsi="Times New Roman" w:eastAsia="宋体" w:cs="Times New Roman"/>
                <w:color w:val="auto"/>
                <w:sz w:val="24"/>
                <w:szCs w:val="24"/>
                <w:highlight w:val="none"/>
                <w:lang w:eastAsia="zh-CN"/>
              </w:rPr>
              <w:t>岩屑处理工艺流程如下图所示。</w:t>
            </w:r>
          </w:p>
          <w:p w14:paraId="356F4EF7">
            <w:pPr>
              <w:widowControl w:val="0"/>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drawing>
                <wp:inline distT="0" distB="0" distL="0" distR="0">
                  <wp:extent cx="4924425" cy="1295400"/>
                  <wp:effectExtent l="0" t="0" r="9525" b="0"/>
                  <wp:docPr id="10253604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0433" name="图片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24425" cy="1295400"/>
                          </a:xfrm>
                          <a:prstGeom prst="rect">
                            <a:avLst/>
                          </a:prstGeom>
                          <a:noFill/>
                          <a:ln>
                            <a:noFill/>
                          </a:ln>
                        </pic:spPr>
                      </pic:pic>
                    </a:graphicData>
                  </a:graphic>
                </wp:inline>
              </w:drawing>
            </w:r>
          </w:p>
          <w:p w14:paraId="0A353825">
            <w:pPr>
              <w:pStyle w:val="6"/>
              <w:widowControl w:val="0"/>
              <w:kinsoku/>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图5-1钻井</w:t>
            </w:r>
            <w:r>
              <w:rPr>
                <w:rFonts w:hint="eastAsia" w:ascii="Times New Roman" w:hAnsi="Times New Roman" w:eastAsia="宋体" w:cs="Times New Roman"/>
                <w:b/>
                <w:bCs/>
                <w:color w:val="auto"/>
                <w:highlight w:val="none"/>
                <w:lang w:eastAsia="zh-CN"/>
              </w:rPr>
              <w:t>泥浆及</w:t>
            </w:r>
            <w:r>
              <w:rPr>
                <w:rFonts w:ascii="Times New Roman" w:hAnsi="Times New Roman" w:eastAsia="宋体" w:cs="Times New Roman"/>
                <w:b/>
                <w:bCs/>
                <w:color w:val="auto"/>
                <w:highlight w:val="none"/>
                <w:lang w:eastAsia="zh-CN"/>
              </w:rPr>
              <w:t>岩屑处理工艺流程图</w:t>
            </w:r>
          </w:p>
          <w:p w14:paraId="36B791D3">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7.1.3沾油废防渗材料</w:t>
            </w:r>
          </w:p>
          <w:p w14:paraId="3B620FD6">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施工结束后清理场地时产生的未沾油防渗材料由施工单位集中回收利用，</w:t>
            </w:r>
            <w:r>
              <w:rPr>
                <w:rFonts w:ascii="Times New Roman" w:hAnsi="Times New Roman" w:eastAsia="宋体" w:cs="Times New Roman"/>
                <w:color w:val="auto"/>
                <w:spacing w:val="-1"/>
                <w:sz w:val="24"/>
                <w:szCs w:val="24"/>
                <w:highlight w:val="none"/>
                <w:lang w:eastAsia="zh-CN"/>
              </w:rPr>
              <w:t>沾油的</w:t>
            </w:r>
            <w:r>
              <w:rPr>
                <w:rFonts w:ascii="Times New Roman" w:hAnsi="Times New Roman" w:eastAsia="宋体" w:cs="Times New Roman"/>
                <w:color w:val="auto"/>
                <w:sz w:val="24"/>
                <w:szCs w:val="24"/>
                <w:highlight w:val="none"/>
                <w:lang w:eastAsia="zh-CN"/>
              </w:rPr>
              <w:t>废防渗材料属于《国家危险废物名录》（2025年版）中的</w:t>
            </w:r>
            <w:r>
              <w:rPr>
                <w:rFonts w:ascii="Times New Roman" w:hAnsi="Times New Roman" w:eastAsia="宋体" w:cs="Times New Roman"/>
                <w:color w:val="auto"/>
                <w:spacing w:val="-1"/>
                <w:sz w:val="24"/>
                <w:szCs w:val="24"/>
                <w:highlight w:val="none"/>
                <w:lang w:eastAsia="zh-CN"/>
              </w:rPr>
              <w:t>HW08废矿物油与含矿物油类危险废物（废物代码为900-249-08，危险特</w:t>
            </w:r>
            <w:r>
              <w:rPr>
                <w:rFonts w:ascii="Times New Roman" w:hAnsi="Times New Roman" w:eastAsia="宋体" w:cs="Times New Roman"/>
                <w:color w:val="auto"/>
                <w:spacing w:val="-2"/>
                <w:sz w:val="24"/>
                <w:szCs w:val="24"/>
                <w:highlight w:val="none"/>
                <w:lang w:eastAsia="zh-CN"/>
              </w:rPr>
              <w:t>性为毒性和易燃性</w:t>
            </w:r>
            <w:r>
              <w:rPr>
                <w:rFonts w:ascii="Times New Roman" w:hAnsi="Times New Roman" w:eastAsia="宋体" w:cs="Times New Roman"/>
                <w:color w:val="auto"/>
                <w:spacing w:val="4"/>
                <w:sz w:val="24"/>
                <w:szCs w:val="24"/>
                <w:highlight w:val="none"/>
                <w:lang w:eastAsia="zh-CN"/>
              </w:rPr>
              <w:t>），</w:t>
            </w:r>
            <w:r>
              <w:rPr>
                <w:rFonts w:ascii="Times New Roman" w:hAnsi="Times New Roman" w:eastAsia="宋体" w:cs="Times New Roman"/>
                <w:color w:val="auto"/>
                <w:sz w:val="24"/>
                <w:szCs w:val="24"/>
                <w:highlight w:val="none"/>
                <w:lang w:eastAsia="zh-CN"/>
              </w:rPr>
              <w:t>收集后委托具有相应危险废物处置资质的单位进行接收、转运和处置。</w:t>
            </w:r>
          </w:p>
          <w:p w14:paraId="3C0669D2">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7.1.4废润滑油、废润滑油桶</w:t>
            </w:r>
          </w:p>
          <w:p w14:paraId="5D167867">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钻井期间使用的机械设备运行过程中需进行维护、保养、维修等工作，以使其能正常运转，此过程中将产生少量的废油，如废润滑油等。施工过程中机械、设备检修和维护过程中产生的废润滑油、废润滑油桶分区暂存在危废贮存点，委托有资质单位定期进行处置。</w:t>
            </w:r>
          </w:p>
          <w:p w14:paraId="4215DC76">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7.1.5落地油</w:t>
            </w:r>
          </w:p>
          <w:p w14:paraId="5BB77AED">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本工程钻井期和试油期间事故状态下可能产生少量落地原油和含油污泥，落地油要求100%回收，按照《国家危险废物名录》（2025年版）、《危险废物环境管理指南 陆上石油天然气开采》（生态环境部公告2021年第74号），落地油泥属于《国家危险废物名录》（2025年）中的HW08废矿物油与含矿物油类危险废物，废物代码为071-001-08，落地油100%回收。</w:t>
            </w:r>
          </w:p>
          <w:p w14:paraId="28F3AAB2">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7.1.6机械设备废油</w:t>
            </w:r>
          </w:p>
          <w:p w14:paraId="26E824EA">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钻井期间使用的机械设备运行过程中需进行维护、保养、维修等工作，以使其能正常运转，此过程中将产生少量的废油，如废液压油、废润滑油、废机油等。钻井期间产生的废油由建设单位委托有危险废物处理资质单位进行处置。</w:t>
            </w:r>
          </w:p>
          <w:p w14:paraId="32DCEBF7">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7.2危险废物处置措施</w:t>
            </w:r>
          </w:p>
          <w:p w14:paraId="60553D18">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在各井场内设置危险废物贮存点，其选址符合《危险废物贮存污染控制标准》（GB18597-2023）中的相关要求，具体要求如下：</w:t>
            </w:r>
            <w:bookmarkEnd w:id="30"/>
            <w:bookmarkStart w:id="31" w:name="_Hlk183361156"/>
            <w:bookmarkStart w:id="32" w:name="_Hlk136792721"/>
          </w:p>
          <w:p w14:paraId="41159DCE">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贮存点应具有固定的区域边界，并应采取与其他区域进行隔离的措施。</w:t>
            </w:r>
          </w:p>
          <w:p w14:paraId="7553CABD">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贮存点应采取防风、防雨、防晒和防止危险废物流失、扬散等措施。</w:t>
            </w:r>
          </w:p>
          <w:p w14:paraId="2A95ABDF">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贮存点贮存的危险废物应置于容器或包装物中，不应直接散堆。</w:t>
            </w:r>
          </w:p>
          <w:p w14:paraId="4AEF638D">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贮存点应根据危险废物的形态、物理化学性质、包装形式等，采取防渗、防漏等污染防治措施。</w:t>
            </w:r>
          </w:p>
          <w:p w14:paraId="5CCAF462">
            <w:pPr>
              <w:widowControl w:val="0"/>
              <w:kinsoku/>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eastAsia="zh-CN"/>
              </w:rPr>
              <w:t>贮存点应及时清运贮存的危险废物，实时贮存量不应超过3吨。</w:t>
            </w:r>
          </w:p>
          <w:p w14:paraId="710E3D79">
            <w:pPr>
              <w:widowControl w:val="0"/>
              <w:kinsoku/>
              <w:spacing w:line="50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7.4一般工业固体废物环境管理要求</w:t>
            </w:r>
          </w:p>
          <w:p w14:paraId="4A593E0C">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建设单位应落实污染环境防治责任制度，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5CAE2C32">
            <w:pPr>
              <w:pStyle w:val="26"/>
              <w:widowControl w:val="0"/>
              <w:kinsoku/>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水基岩屑综合利用不畅时，建设单位应与具有固体废物处置资质的单位签订书面合同，在合同中约定污染防治要求，由受托方负责处置水基岩屑。</w:t>
            </w:r>
          </w:p>
          <w:p w14:paraId="20E27234">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bookmarkStart w:id="33" w:name="_Hlk183363774"/>
            <w:r>
              <w:rPr>
                <w:rFonts w:ascii="Times New Roman" w:hAnsi="Times New Roman" w:eastAsia="宋体" w:cs="Times New Roman"/>
                <w:b/>
                <w:bCs/>
                <w:color w:val="auto"/>
                <w:sz w:val="24"/>
                <w:szCs w:val="24"/>
                <w:highlight w:val="none"/>
                <w:lang w:eastAsia="zh-CN"/>
              </w:rPr>
              <w:t>7.5危险废物环境管理要求</w:t>
            </w:r>
            <w:bookmarkEnd w:id="33"/>
          </w:p>
          <w:bookmarkEnd w:id="31"/>
          <w:bookmarkEnd w:id="32"/>
          <w:p w14:paraId="0CA21958">
            <w:pPr>
              <w:pStyle w:val="26"/>
              <w:widowControl w:val="0"/>
              <w:kinsoku/>
              <w:jc w:val="both"/>
              <w:rPr>
                <w:rFonts w:ascii="Times New Roman" w:hAnsi="Times New Roman" w:eastAsia="宋体" w:cs="Times New Roman"/>
                <w:color w:val="auto"/>
                <w:sz w:val="24"/>
                <w:szCs w:val="24"/>
                <w:highlight w:val="none"/>
                <w:lang w:val="en-US" w:eastAsia="zh-CN"/>
              </w:rPr>
            </w:pPr>
            <w:bookmarkStart w:id="34" w:name="OLE_LINK66"/>
            <w:r>
              <w:rPr>
                <w:rFonts w:ascii="Times New Roman" w:hAnsi="Times New Roman" w:eastAsia="宋体" w:cs="Times New Roman"/>
                <w:color w:val="auto"/>
                <w:sz w:val="24"/>
                <w:szCs w:val="24"/>
                <w:highlight w:val="none"/>
                <w:lang w:val="en-US" w:eastAsia="zh-CN"/>
              </w:rPr>
              <w:t>（1）危险废物暂存场所建设要求 井场危险废物暂存间严格按照《危险废物贮存污染控制标准》（GB18597-2023）建设：① 结构防渗：地面采用防渗混凝土+HDPE膜铺设，渗透系数≤10</w:t>
            </w:r>
            <w:r>
              <w:rPr>
                <w:rFonts w:hint="eastAsia" w:ascii="Times New Roman" w:hAnsi="Times New Roman" w:eastAsia="宋体" w:cs="Times New Roman"/>
                <w:color w:val="auto"/>
                <w:sz w:val="24"/>
                <w:szCs w:val="24"/>
                <w:highlight w:val="none"/>
                <w:vertAlign w:val="superscript"/>
                <w:lang w:val="en-US" w:eastAsia="zh-CN"/>
              </w:rPr>
              <w:t>-10</w:t>
            </w:r>
            <w:r>
              <w:rPr>
                <w:rFonts w:ascii="Times New Roman" w:hAnsi="Times New Roman" w:eastAsia="宋体" w:cs="Times New Roman"/>
                <w:color w:val="auto"/>
                <w:sz w:val="24"/>
                <w:szCs w:val="24"/>
                <w:highlight w:val="none"/>
                <w:lang w:val="en-US" w:eastAsia="zh-CN"/>
              </w:rPr>
              <w:t>cm/s，并设置围堰（导流槽）和泄漏液体收集池；② “四防”措施：必须采取防风、防雨、防晒、防扬散措施，设置遮雨棚和围挡；③ 分区分类：不同性质的危废（如废油、废桶）应分区存放，间距满足安全要求，禁止混合贮存；④ 标识规范：在贮存设施入口处及容器上设置符合《危险废物识别标志设置技术规范》（HJ 1276-2022）要求的危险废物警示标志和标签（含数字识别码）。</w:t>
            </w:r>
          </w:p>
          <w:p w14:paraId="0397F0AA">
            <w:pPr>
              <w:pStyle w:val="26"/>
              <w:widowControl w:val="0"/>
              <w:kinsoku/>
              <w:jc w:val="both"/>
              <w:rPr>
                <w:rFonts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val="en-US" w:eastAsia="zh-CN"/>
              </w:rPr>
              <w:t>（2）危险废物转移过程管控要求 严格执行《危险废物转移管理办法》（生态环境部 公安部 交通运输部 部令 第23号）： ① 电子联单运行：建设单位应当通过国家危险废物信息管理系统（固体废物管理信息系统）填写电子转移联单，严禁私自转移。 ② 资质核验：转移前必须核实运输单位的《道路运输经营许可证》（含危险货物运输许可）和接收单位的《危险废物经营许可证》，确保其资质与危险废物类别相符。 ③ 运输管控：运输车辆须安装卫星定位系统，按核准路线行驶；移交时，建设单位应现场核对移交的种类、重量和数量，确保与联单一致，严禁途中抛洒滴漏。</w:t>
            </w:r>
          </w:p>
          <w:p w14:paraId="20CA879F">
            <w:pPr>
              <w:pStyle w:val="26"/>
              <w:widowControl w:val="0"/>
              <w:kinsoku/>
              <w:jc w:val="both"/>
              <w:rPr>
                <w:rFonts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val="en-US" w:eastAsia="zh-CN"/>
              </w:rPr>
              <w:t>（3）台账管理及保存年限 建立危险废物管理台账，如实记录产生、入库、出库、处置等信息。根据《危险废物管理计划和管理台账制定技术导则》（HJ 1259-2022）规定，危险废物管理台账应当保存5年以上；以电子形式记录的，应当永久保存电子数据，确保数据可追溯、可查询。</w:t>
            </w:r>
          </w:p>
          <w:p w14:paraId="6752B4A0">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8.环境风险应急措施及应急要求</w:t>
            </w:r>
          </w:p>
          <w:bookmarkEnd w:id="34"/>
          <w:p w14:paraId="6AE8399C">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8.1管理要求</w:t>
            </w:r>
          </w:p>
          <w:p w14:paraId="69F70D8E">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14:paraId="45CFF267">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8.2井喷环境风险防范措施</w:t>
            </w:r>
          </w:p>
          <w:p w14:paraId="55932FE2">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设有井控装置，钻井工程中各岗位必须严格分工，定期对井控装置进行维护、保养、检查，保证井控装置及工具灵活可用、始终处于待命状态；落实溢流监测岗位、关井操作岗位和钻井队干部值班制度。</w:t>
            </w:r>
          </w:p>
          <w:p w14:paraId="0AA0E279">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钻开油层后：落实专人坐岗，观察井口和循环池液面变化，发现溢流、井漏及油气显示等异常情况应立即报告司钻；钻开油层后，每次起下钻（离上次活动时间超过5d）对闸板防喷器及手动锁紧装置开关活动一次，定期对井控装置进行试压；起钻杆时每3～5柱向环空灌满泥浆，起钻铤要连续灌浆，</w:t>
            </w:r>
            <w:r>
              <w:rPr>
                <w:rFonts w:hint="eastAsia" w:ascii="Times New Roman" w:hAnsi="Times New Roman" w:eastAsia="宋体" w:cs="Times New Roman"/>
                <w:color w:val="auto"/>
                <w:sz w:val="24"/>
                <w:szCs w:val="24"/>
                <w:highlight w:val="none"/>
                <w:lang w:val="en-US" w:eastAsia="zh-CN"/>
              </w:rPr>
              <w:t>做好</w:t>
            </w:r>
            <w:r>
              <w:rPr>
                <w:rFonts w:ascii="Times New Roman" w:hAnsi="Times New Roman" w:eastAsia="宋体" w:cs="Times New Roman"/>
                <w:color w:val="auto"/>
                <w:sz w:val="24"/>
                <w:szCs w:val="24"/>
                <w:highlight w:val="none"/>
                <w:lang w:eastAsia="zh-CN"/>
              </w:rPr>
              <w:t>记录、校核，若灌入泥浆量大于或小于应灌入量，均应停止起钻作业并进行观察。如有溢流，应立即关井求压。如有井漏，应及时采取相应措施。安排专人观察出口管钻井液返出情况，严禁在空井情况下检修设备；钻开油层后，所有车辆应停放在距井口以外30m，必须进入距井口30m以内的车辆，应安装阻火器，车头朝外停放。</w:t>
            </w:r>
          </w:p>
          <w:p w14:paraId="591CE89D">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溢流处理和压井措施：最大允许关井压力应考虑井口装置额定工作压力、套管抗内压强度的80%和薄弱地层破裂压力所允许的关井压力。在允许关井套压内严禁放喷。天然气溢流不允许长时间关井而不作处理。在等候加重材料或在加重过程中，应采取井筒压力控制措施防止井口压力过高。空井溢流关井后，根据溢流的严重程度，可采用置换法和压回法等方法进行处理。</w:t>
            </w:r>
          </w:p>
          <w:p w14:paraId="4514B2C4">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测井、固井、完井等作业时，要严格执行安全操作规程和井控措施，避免发生井下复杂情况和井喷失控事故。电测前井内情况应正常、稳定；测井队到井后应向井队了解井况，确认油气上窜安全作业时间，若电测时间超过等值时间，应中途通井循环再电测。测井队专用剪切工具应放置在钻台上，随时处于待命状态。发生溢流征兆应立即停止电测，尽快起出井内电缆，当危及井控安全时，立即实施剪断电缆并关井。由钻井队队长决定何时切断电缆并进行关井作业，测井队队长负责实施剪断电缆工作。不允许用关闭环形防喷器的方法起电缆。</w:t>
            </w:r>
          </w:p>
          <w:p w14:paraId="461AD9FA">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bidi="ar"/>
              </w:rPr>
            </w:pPr>
            <w:bookmarkStart w:id="35" w:name="_Hlk183350582"/>
            <w:r>
              <w:rPr>
                <w:rFonts w:ascii="Cambria Math" w:hAnsi="Cambria Math" w:eastAsia="宋体" w:cs="Cambria Math"/>
                <w:color w:val="auto"/>
                <w:sz w:val="24"/>
                <w:szCs w:val="24"/>
                <w:highlight w:val="none"/>
                <w:lang w:eastAsia="zh-CN" w:bidi="ar"/>
              </w:rPr>
              <w:t>⑤</w:t>
            </w:r>
            <w:r>
              <w:rPr>
                <w:rFonts w:ascii="Times New Roman" w:hAnsi="Times New Roman" w:eastAsia="宋体" w:cs="Times New Roman"/>
                <w:color w:val="auto"/>
                <w:sz w:val="24"/>
                <w:szCs w:val="24"/>
                <w:highlight w:val="none"/>
                <w:lang w:eastAsia="zh-CN" w:bidi="ar"/>
              </w:rPr>
              <w:t>一旦发生井喷突发事件，应立即启动相应的环境突发事件专项应急预案，立即关闭井口切断污染源，控制原油污染面积，对放喷液进行集中收集处理，同时及时通知可能受影响的人员进行疏散；切断一切可能扩大污染范围的环节，严防污染区域的扩大。采取围、堵等措施限制固体废弃物和溢油扩散范围；</w:t>
            </w:r>
            <w:bookmarkStart w:id="36" w:name="_Hlk183363993"/>
            <w:r>
              <w:rPr>
                <w:rFonts w:ascii="Times New Roman" w:hAnsi="Times New Roman" w:eastAsia="宋体" w:cs="Times New Roman"/>
                <w:color w:val="auto"/>
                <w:sz w:val="24"/>
                <w:szCs w:val="24"/>
                <w:highlight w:val="none"/>
                <w:lang w:eastAsia="zh-CN" w:bidi="ar"/>
              </w:rPr>
              <w:t>将溢油最大限度地回收，对少量确实无法回收的油以及受污染的土壤形成的落地油，采用铲除油泥层等有效方法，落地油泥用专用罐收集，最终交由有危险废物处置资质的单位处置，以降低残油对生态环境的污染程度；</w:t>
            </w:r>
            <w:bookmarkEnd w:id="36"/>
            <w:r>
              <w:rPr>
                <w:rFonts w:ascii="Times New Roman" w:hAnsi="Times New Roman" w:eastAsia="宋体" w:cs="Times New Roman"/>
                <w:color w:val="auto"/>
                <w:sz w:val="24"/>
                <w:szCs w:val="24"/>
                <w:highlight w:val="none"/>
                <w:lang w:eastAsia="zh-CN" w:bidi="ar"/>
              </w:rPr>
              <w:t>同时迅速布点监测，在第一时间确定污染物种类和浓度，出具监测数据，评估污染物转移、扩散速率；对污染状况进行跟踪调查，根据监测数据分析，预测污染迁移强度、速度和影响范围，及时调整对策。</w:t>
            </w:r>
            <w:bookmarkEnd w:id="35"/>
          </w:p>
          <w:p w14:paraId="0F291E52">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井喷后土壤污染修复措施主要包括物理修复、化学修复和生物修复三大类，具体措施需根据污染类型和严重程度选择。实施流程如下：</w:t>
            </w:r>
          </w:p>
          <w:p w14:paraId="377CE2BE">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污染评估：通过网格采样分析污染物类型及浓度分布，确定风险等级。‌</w:t>
            </w:r>
          </w:p>
          <w:p w14:paraId="4D135A48">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方案设计：比选3种以上技术路线，制定工程量及预算。</w:t>
            </w:r>
          </w:p>
          <w:p w14:paraId="7A7B4C07">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bidi="ar"/>
              </w:rPr>
            </w:pPr>
            <w:r>
              <w:rPr>
                <w:rFonts w:ascii="Times New Roman" w:hAnsi="Times New Roman" w:eastAsia="宋体" w:cs="Times New Roman"/>
                <w:color w:val="auto"/>
                <w:sz w:val="24"/>
                <w:szCs w:val="24"/>
                <w:highlight w:val="none"/>
                <w:lang w:eastAsia="zh-CN" w:bidi="ar"/>
              </w:rPr>
              <w:t>施工监测：实施过程中定期检测效果，确保达标后再利用。</w:t>
            </w:r>
          </w:p>
          <w:p w14:paraId="67209A82">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⑥</w:t>
            </w:r>
            <w:r>
              <w:rPr>
                <w:rFonts w:ascii="Times New Roman" w:hAnsi="Times New Roman" w:eastAsia="宋体" w:cs="Times New Roman"/>
                <w:color w:val="auto"/>
                <w:sz w:val="24"/>
                <w:szCs w:val="24"/>
                <w:highlight w:val="none"/>
                <w:lang w:eastAsia="zh-CN"/>
              </w:rPr>
              <w:t>试油期产生的伴生气气量不稳定，不具备回收利用条件，经放喷管线充分燃烧后排放；建设单位应定期检查伴生气燃烧设备，加强燃烧设备的运营维护，确保伴生气充分燃烧，减少污染物的排放。</w:t>
            </w:r>
          </w:p>
          <w:p w14:paraId="68D451B4">
            <w:pPr>
              <w:widowControl w:val="0"/>
              <w:kinsoku/>
              <w:spacing w:line="480" w:lineRule="exact"/>
              <w:jc w:val="both"/>
              <w:rPr>
                <w:rFonts w:ascii="Times New Roman" w:hAnsi="Times New Roman" w:eastAsia="宋体" w:cs="Times New Roman"/>
                <w:b/>
                <w:bCs/>
                <w:color w:val="auto"/>
                <w:sz w:val="24"/>
                <w:szCs w:val="24"/>
                <w:highlight w:val="none"/>
                <w:lang w:eastAsia="zh-CN"/>
              </w:rPr>
            </w:pPr>
            <w:bookmarkStart w:id="37" w:name="OLE_LINK67"/>
            <w:bookmarkStart w:id="38" w:name="_Hlk187171839"/>
            <w:r>
              <w:rPr>
                <w:rFonts w:ascii="Times New Roman" w:hAnsi="Times New Roman" w:eastAsia="宋体" w:cs="Times New Roman"/>
                <w:b/>
                <w:bCs/>
                <w:color w:val="auto"/>
                <w:sz w:val="24"/>
                <w:szCs w:val="24"/>
                <w:highlight w:val="none"/>
                <w:lang w:eastAsia="zh-CN"/>
              </w:rPr>
              <w:t>8.3储罐泄漏防范措施</w:t>
            </w:r>
          </w:p>
          <w:p w14:paraId="344F567C">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选用质量、防腐措施合格的储罐。安装过程中焊接要经过100%的探伤，安装时应选择刚性不燃的坚固基础作为罐体基础。储罐在投用前，必须严格按照《压力容器安全技术监察规程》进行强度和气密性试验。</w:t>
            </w:r>
          </w:p>
          <w:p w14:paraId="62B5A2B2">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储罐区应严格用火管理，采用有效的避雷装置和接地装置等防止雷电的措施。</w:t>
            </w:r>
          </w:p>
          <w:p w14:paraId="6D2F63B9">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加强储罐和管线接口的检查工作，防止腐蚀穿孔。定期进行壁厚检测，腐蚀余量低于规定的允许值时，要及时进行检修和更换。</w:t>
            </w:r>
          </w:p>
          <w:p w14:paraId="4E11A0F9">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bookmarkStart w:id="39" w:name="_Hlk183350612"/>
            <w:r>
              <w:rPr>
                <w:rFonts w:ascii="Cambria Math" w:hAnsi="Cambria Math" w:eastAsia="宋体" w:cs="Cambria Math"/>
                <w:color w:val="auto"/>
                <w:sz w:val="24"/>
                <w:szCs w:val="24"/>
                <w:highlight w:val="none"/>
                <w:lang w:eastAsia="zh-CN" w:bidi="ar"/>
              </w:rPr>
              <w:t>④</w:t>
            </w:r>
            <w:bookmarkStart w:id="40" w:name="_Hlk183364061"/>
            <w:r>
              <w:rPr>
                <w:rFonts w:ascii="Times New Roman" w:hAnsi="Times New Roman" w:eastAsia="宋体" w:cs="Times New Roman"/>
                <w:color w:val="auto"/>
                <w:sz w:val="24"/>
                <w:szCs w:val="24"/>
                <w:highlight w:val="none"/>
                <w:lang w:eastAsia="zh-CN" w:bidi="ar"/>
              </w:rPr>
              <w:t>井场各类储罐、特别是油类物质及危险废物储罐底部均应铺设符合要求的防渗材料，一旦发生泄漏须及时发现并采取有效的堵漏措施，同时对产生的落地油泥用专用罐收集，最终交由有危险废物处置资质的单位处置；加强储罐运输环节的管理，避免出现储罐泄漏风险事故发生。</w:t>
            </w:r>
            <w:bookmarkEnd w:id="39"/>
            <w:bookmarkEnd w:id="40"/>
          </w:p>
          <w:p w14:paraId="15595889">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⑤</w:t>
            </w:r>
            <w:r>
              <w:rPr>
                <w:rFonts w:ascii="Times New Roman" w:hAnsi="Times New Roman" w:eastAsia="宋体" w:cs="Times New Roman"/>
                <w:color w:val="auto"/>
                <w:sz w:val="24"/>
                <w:szCs w:val="24"/>
                <w:highlight w:val="none"/>
                <w:lang w:eastAsia="zh-CN"/>
              </w:rPr>
              <w:t>加强消防安全管理</w:t>
            </w:r>
          </w:p>
          <w:p w14:paraId="1FA63EB6">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定期进行消防培训与实战演练，要求岗位工作人员具有较强的消防安全意识，加强巡检，确保无异常情况出现。</w:t>
            </w:r>
          </w:p>
          <w:bookmarkEnd w:id="37"/>
          <w:p w14:paraId="47C095C6">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8.4井漏防范措施</w:t>
            </w:r>
          </w:p>
          <w:p w14:paraId="423E959C">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建立、健全各项安全管理制度以及配套的工艺、设备安全操作规程并严格执行，确保施工质量，防漏、防窜，做好防腐工作。</w:t>
            </w:r>
          </w:p>
          <w:p w14:paraId="75FE62DA">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操作人员应密切注意设备运行状况，发现管件破裂刺漏等问题及时处理；作业现场应配备消防设备以备应急救援。</w:t>
            </w:r>
          </w:p>
          <w:p w14:paraId="3B233597">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③</w:t>
            </w:r>
            <w:r>
              <w:rPr>
                <w:rFonts w:ascii="Times New Roman" w:hAnsi="Times New Roman" w:eastAsia="宋体" w:cs="Times New Roman"/>
                <w:color w:val="auto"/>
                <w:sz w:val="24"/>
                <w:szCs w:val="24"/>
                <w:highlight w:val="none"/>
                <w:lang w:eastAsia="zh-CN"/>
              </w:rPr>
              <w:t>严格要求套管下入深度、确保固井质量。</w:t>
            </w:r>
          </w:p>
          <w:p w14:paraId="50CBA703">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④</w:t>
            </w:r>
            <w:r>
              <w:rPr>
                <w:rFonts w:ascii="Times New Roman" w:hAnsi="Times New Roman" w:eastAsia="宋体" w:cs="Times New Roman"/>
                <w:color w:val="auto"/>
                <w:sz w:val="24"/>
                <w:szCs w:val="24"/>
                <w:highlight w:val="none"/>
                <w:lang w:eastAsia="zh-CN"/>
              </w:rPr>
              <w:t>工程施工单位需具备相应资质，加强对施工现场的安全组织管理和监督。</w:t>
            </w:r>
          </w:p>
          <w:p w14:paraId="2FD31108">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8.5硫化氢防范措施</w:t>
            </w:r>
          </w:p>
          <w:p w14:paraId="4F412BCF">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①</w:t>
            </w:r>
            <w:r>
              <w:rPr>
                <w:rFonts w:ascii="Times New Roman" w:hAnsi="Times New Roman" w:eastAsia="宋体" w:cs="Times New Roman"/>
                <w:color w:val="auto"/>
                <w:sz w:val="24"/>
                <w:szCs w:val="24"/>
                <w:highlight w:val="none"/>
                <w:lang w:eastAsia="zh-CN"/>
              </w:rPr>
              <w:t>在钻井、试油作业过程中配备便携式硫化氢监测仪，做好硫化氢监测预警工作，并制定防硫化氢应急预案。</w:t>
            </w:r>
            <w:r>
              <w:rPr>
                <w:rFonts w:hint="eastAsia" w:ascii="Times New Roman" w:hAnsi="Times New Roman" w:eastAsia="宋体" w:cs="Times New Roman"/>
                <w:color w:val="auto"/>
                <w:sz w:val="24"/>
                <w:szCs w:val="24"/>
                <w:highlight w:val="none"/>
                <w:lang w:val="en-US" w:eastAsia="zh-CN"/>
              </w:rPr>
              <w:t>根据《含硫油气井钻井作业规程（Q/SY 1115-2014）》，</w:t>
            </w:r>
            <w:r>
              <w:rPr>
                <w:rFonts w:ascii="Times New Roman" w:hAnsi="Times New Roman" w:eastAsia="宋体" w:cs="Times New Roman"/>
                <w:color w:val="auto"/>
                <w:sz w:val="24"/>
                <w:szCs w:val="24"/>
                <w:highlight w:val="none"/>
                <w:lang w:eastAsia="zh-CN"/>
              </w:rPr>
              <w:t>当监测到硫化氢浓度大于75mg/m</w:t>
            </w:r>
            <w:r>
              <w:rPr>
                <w:rFonts w:ascii="Times New Roman" w:hAnsi="Times New Roman" w:eastAsia="宋体" w:cs="Times New Roman"/>
                <w:color w:val="auto"/>
                <w:sz w:val="24"/>
                <w:szCs w:val="24"/>
                <w:highlight w:val="none"/>
                <w:vertAlign w:val="superscript"/>
                <w:lang w:eastAsia="zh-CN"/>
              </w:rPr>
              <w:t>3</w:t>
            </w:r>
            <w:r>
              <w:rPr>
                <w:rFonts w:ascii="Times New Roman" w:hAnsi="Times New Roman" w:eastAsia="宋体" w:cs="Times New Roman"/>
                <w:color w:val="auto"/>
                <w:sz w:val="24"/>
                <w:szCs w:val="24"/>
                <w:highlight w:val="none"/>
                <w:lang w:eastAsia="zh-CN"/>
              </w:rPr>
              <w:t>时，按照含硫油气井作业规程执行。</w:t>
            </w:r>
          </w:p>
          <w:p w14:paraId="123A7E1E">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Cambria Math" w:hAnsi="Cambria Math" w:eastAsia="宋体" w:cs="Cambria Math"/>
                <w:color w:val="auto"/>
                <w:sz w:val="24"/>
                <w:szCs w:val="24"/>
                <w:highlight w:val="none"/>
                <w:lang w:eastAsia="zh-CN"/>
              </w:rPr>
              <w:t>②</w:t>
            </w:r>
            <w:r>
              <w:rPr>
                <w:rFonts w:ascii="Times New Roman" w:hAnsi="Times New Roman" w:eastAsia="宋体" w:cs="Times New Roman"/>
                <w:color w:val="auto"/>
                <w:sz w:val="24"/>
                <w:szCs w:val="24"/>
                <w:highlight w:val="none"/>
                <w:lang w:eastAsia="zh-CN"/>
              </w:rPr>
              <w:t>钻井期在作业现场显著位置设置5处风向标；试油期设置2处风向标，并在不同方向上划定2个紧急集合点，并规划撤离路线，发生紧急情况时向上风向撤离。</w:t>
            </w:r>
          </w:p>
          <w:p w14:paraId="6904F72C">
            <w:pPr>
              <w:pStyle w:val="26"/>
              <w:widowControl w:val="0"/>
              <w:kinsoku/>
              <w:ind w:firstLine="0" w:firstLineChars="0"/>
              <w:jc w:val="both"/>
              <w:rPr>
                <w:rFonts w:ascii="Times New Roman" w:hAnsi="Times New Roman" w:eastAsia="宋体" w:cs="Times New Roman"/>
                <w:b/>
                <w:bCs/>
                <w:color w:val="auto"/>
                <w:sz w:val="24"/>
                <w:szCs w:val="24"/>
                <w:highlight w:val="none"/>
                <w:lang w:eastAsia="zh-CN"/>
              </w:rPr>
            </w:pPr>
            <w:bookmarkStart w:id="41" w:name="OLE_LINK68"/>
            <w:r>
              <w:rPr>
                <w:rFonts w:ascii="Times New Roman" w:hAnsi="Times New Roman" w:eastAsia="宋体" w:cs="Times New Roman"/>
                <w:b/>
                <w:bCs/>
                <w:color w:val="auto"/>
                <w:sz w:val="24"/>
                <w:szCs w:val="24"/>
                <w:highlight w:val="none"/>
                <w:lang w:eastAsia="zh-CN"/>
              </w:rPr>
              <w:t>8.6物料运输环境风险防范措施</w:t>
            </w:r>
          </w:p>
          <w:bookmarkEnd w:id="38"/>
          <w:bookmarkEnd w:id="41"/>
          <w:p w14:paraId="7E8B4E9D">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加强各类储罐运输环节的管理，避免出现储罐泄漏风险事故发生。各类罐车装卸作业过程中，必须严格遵守操作规程，轻装、轻卸、严禁摔碰撞击、重压、倒置，防止钻井废水、柴油等污染物撒漏；使用的工具不得损伤罐体,不能粘有与所装货物相抵触的污染物。操作过程中，有关人员不能擅自离岗，机动车辆排气管安装有效的隔热和熄灭火星装置，电路系统应有切断总电源和隔离电火花装置，配备相应的消防器材和工具，防止柴油罐发生火灾爆炸事故。</w:t>
            </w:r>
          </w:p>
          <w:p w14:paraId="4153D200">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运输途中，司机时刻要谨慎行驶，注意适当限速，保持安全车距。危险废物在储存、转移、处理过程中应严格执行《危险废物转移管理办法》（部令第23号）并制定内部转移、转运制度。确保危险废物的运输安全可靠，减少或避免运输过程中的二次污染和可能造成的环境风险。</w:t>
            </w:r>
          </w:p>
          <w:p w14:paraId="47AC124E">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8.7环境风险应急预案</w:t>
            </w:r>
          </w:p>
          <w:p w14:paraId="2F471F0A">
            <w:pPr>
              <w:widowControl w:val="0"/>
              <w:kinsoku/>
              <w:spacing w:line="480" w:lineRule="exact"/>
              <w:ind w:firstLine="480" w:firstLineChars="200"/>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本项目归属中国石油天然气股份有限公司吐哈油田分公司准东采油管理区管辖，应将项目实施区域纳入《中国石油天然气股份有限公司吐哈油田分公司准东采油管理区突发环境事件应急预案》。</w:t>
            </w:r>
          </w:p>
          <w:p w14:paraId="567EA144">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9.结论</w:t>
            </w:r>
          </w:p>
          <w:p w14:paraId="52FD975A">
            <w:pPr>
              <w:widowControl w:val="0"/>
              <w:kinsoku/>
              <w:spacing w:line="480" w:lineRule="exact"/>
              <w:ind w:firstLine="480" w:firstLineChars="200"/>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sz w:val="24"/>
                <w:szCs w:val="24"/>
                <w:highlight w:val="none"/>
                <w:lang w:eastAsia="zh-CN"/>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14:paraId="195D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67B3DEF0">
            <w:pPr>
              <w:widowControl w:val="0"/>
              <w:kinsoku/>
              <w:spacing w:line="360" w:lineRule="auto"/>
              <w:jc w:val="center"/>
              <w:rPr>
                <w:rFonts w:ascii="Times New Roman" w:hAnsi="Times New Roman" w:eastAsia="宋体" w:cs="Times New Roman"/>
                <w:bCs/>
                <w:color w:val="auto"/>
                <w:highlight w:val="none"/>
                <w:lang w:eastAsia="zh-CN"/>
              </w:rPr>
            </w:pPr>
            <w:r>
              <w:rPr>
                <w:rFonts w:ascii="Times New Roman" w:hAnsi="Times New Roman" w:eastAsia="宋体" w:cs="Times New Roman"/>
                <w:bCs/>
                <w:color w:val="auto"/>
                <w:spacing w:val="10"/>
                <w:sz w:val="24"/>
                <w:szCs w:val="24"/>
                <w:highlight w:val="none"/>
                <w:lang w:eastAsia="zh-CN"/>
              </w:rPr>
              <w:t>运营期生态环境保护措施</w:t>
            </w:r>
          </w:p>
        </w:tc>
        <w:tc>
          <w:tcPr>
            <w:tcW w:w="4728" w:type="pct"/>
            <w:vAlign w:val="center"/>
          </w:tcPr>
          <w:p w14:paraId="7A7C9418">
            <w:pPr>
              <w:pStyle w:val="26"/>
              <w:widowControl w:val="0"/>
              <w:kinsoku/>
              <w:jc w:val="both"/>
              <w:rPr>
                <w:rFonts w:ascii="Times New Roman" w:hAnsi="Times New Roman" w:eastAsia="宋体" w:cs="Times New Roman"/>
                <w:color w:val="auto"/>
                <w:sz w:val="24"/>
                <w:szCs w:val="24"/>
                <w:highlight w:val="none"/>
                <w:lang w:eastAsia="zh-CN"/>
              </w:rPr>
            </w:pPr>
            <w:bookmarkStart w:id="42" w:name="_Hlk189409650"/>
            <w:bookmarkStart w:id="43" w:name="OLE_LINK30"/>
            <w:r>
              <w:rPr>
                <w:rFonts w:ascii="Times New Roman" w:hAnsi="Times New Roman" w:eastAsia="宋体" w:cs="Times New Roman"/>
                <w:color w:val="auto"/>
                <w:sz w:val="24"/>
                <w:szCs w:val="24"/>
                <w:highlight w:val="none"/>
                <w:lang w:eastAsia="zh-CN"/>
              </w:rPr>
              <w:t>根据试采结果决定新钻井是否转为生产井，若可转为生产井，则应当在产能开发建设前对其开展环境影响评价工作，编制环境影响评价文件；若不具备转产条件，则应根据《废弃井封井回填技术指南（试行）》</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《废弃井及长停井处置指南》（SY/T6646-2017）</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吐哈油田报废井封井实施细则（试行）》</w:t>
            </w:r>
            <w:r>
              <w:rPr>
                <w:rFonts w:ascii="Times New Roman" w:hAnsi="Times New Roman" w:eastAsia="宋体" w:cs="Times New Roman"/>
                <w:color w:val="auto"/>
                <w:sz w:val="24"/>
                <w:szCs w:val="24"/>
                <w:highlight w:val="none"/>
                <w:lang w:eastAsia="zh-CN"/>
              </w:rPr>
              <w:t>《陆上石油天然气生产环境保护推荐作法》（SY/T6628-2005）</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矿山生态环境保护与恢复治理技术规范（试行）》（HJ651-2013）和中国石油天然气股份有限公司吐哈油田分公司准东采油管理区的相关要求对新钻井进行封堵，并拆除相关设施，确保无土壤及地下水环境污染遗留问题、废弃物均得到妥善处置，制定生态恢复方案，并做好以下生态保护措施：</w:t>
            </w:r>
          </w:p>
          <w:bookmarkEnd w:id="42"/>
          <w:p w14:paraId="184A670A">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（1）封井材料应无污染，不得使用可能对地下水造成污染的材料。</w:t>
            </w:r>
          </w:p>
          <w:p w14:paraId="795FAA18">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（2）应开展井盖封堵或密闭填充，对废弃井进行封井回填并做好井口处置，确保地表污染物不进入井内，各层位地下水不连通。</w:t>
            </w:r>
          </w:p>
          <w:p w14:paraId="660D5526">
            <w:pPr>
              <w:pStyle w:val="26"/>
              <w:widowControl w:val="0"/>
              <w:kinsoku/>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（3）确保封井质量合格。</w:t>
            </w:r>
          </w:p>
          <w:p w14:paraId="28888B84">
            <w:pPr>
              <w:pStyle w:val="26"/>
              <w:widowControl w:val="0"/>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sz w:val="24"/>
                <w:szCs w:val="24"/>
                <w:highlight w:val="none"/>
                <w:lang w:eastAsia="zh-CN"/>
              </w:rPr>
              <w:t>（4）封井作业结束后及时清理作业现场，各个建构筑物和基础设施应全部拆除，做到“工完、料尽、场地清”，确保采取的封井措施有效可行。施工区域采用临时占地剥离表土对其进行覆盖，以便植被自然恢复。各个建构筑物和基础设施拆除过程中会产生一定扬尘，应避开大风天气施工。</w:t>
            </w:r>
            <w:bookmarkEnd w:id="43"/>
          </w:p>
        </w:tc>
      </w:tr>
      <w:tr w14:paraId="2DE4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271" w:type="pct"/>
            <w:vAlign w:val="center"/>
          </w:tcPr>
          <w:p w14:paraId="22951661">
            <w:pPr>
              <w:widowControl w:val="0"/>
              <w:kinsoku/>
              <w:spacing w:line="360" w:lineRule="auto"/>
              <w:jc w:val="center"/>
              <w:rPr>
                <w:rFonts w:ascii="Times New Roman" w:hAnsi="Times New Roman" w:eastAsia="宋体" w:cs="Times New Roman"/>
                <w:bCs/>
                <w:color w:val="auto"/>
                <w:spacing w:val="10"/>
                <w:highlight w:val="none"/>
              </w:rPr>
            </w:pPr>
            <w:r>
              <w:rPr>
                <w:rFonts w:ascii="Times New Roman" w:hAnsi="Times New Roman" w:eastAsia="宋体" w:cs="Times New Roman"/>
                <w:bCs/>
                <w:color w:val="auto"/>
                <w:sz w:val="24"/>
                <w:szCs w:val="24"/>
                <w:highlight w:val="none"/>
              </w:rPr>
              <w:t>其他</w:t>
            </w:r>
          </w:p>
        </w:tc>
        <w:tc>
          <w:tcPr>
            <w:tcW w:w="4728" w:type="pct"/>
            <w:vAlign w:val="center"/>
          </w:tcPr>
          <w:p w14:paraId="4C88565D">
            <w:pPr>
              <w:widowControl w:val="0"/>
              <w:kinsoku/>
              <w:spacing w:line="480" w:lineRule="exact"/>
              <w:jc w:val="both"/>
              <w:rPr>
                <w:rFonts w:ascii="Times New Roman" w:hAnsi="Times New Roman" w:eastAsia="宋体" w:cs="Times New Roman"/>
                <w:b/>
                <w:bCs/>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1.环境管理</w:t>
            </w:r>
          </w:p>
          <w:p w14:paraId="2566006F">
            <w:pPr>
              <w:widowControl w:val="0"/>
              <w:kinsoku/>
              <w:spacing w:line="480" w:lineRule="exact"/>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项目实施过程中，在环境管理上建立的健康、安全与环境管理体系（HSE管理体系），落实各项环保和安全措施，减少项目开发对周围环境的影响。本报告提出的环境管理主要内容见下表5-2。</w:t>
            </w:r>
          </w:p>
          <w:p w14:paraId="552B6336">
            <w:pPr>
              <w:pStyle w:val="6"/>
              <w:widowControl w:val="0"/>
              <w:kinsoku/>
              <w:spacing w:line="240" w:lineRule="auto"/>
              <w:ind w:firstLine="422" w:firstLineChars="200"/>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表5-2 施工期环境保护行动计划表</w:t>
            </w:r>
          </w:p>
          <w:tbl>
            <w:tblPr>
              <w:tblStyle w:val="15"/>
              <w:tblW w:w="497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076"/>
              <w:gridCol w:w="6456"/>
            </w:tblGrid>
            <w:tr w14:paraId="12D16D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90" w:hRule="atLeast"/>
                <w:jc w:val="center"/>
              </w:trPr>
              <w:tc>
                <w:tcPr>
                  <w:tcW w:w="372" w:type="pct"/>
                  <w:tcBorders>
                    <w:top w:val="single" w:color="auto" w:sz="4" w:space="0"/>
                    <w:left w:val="single" w:color="auto" w:sz="0" w:space="0"/>
                  </w:tcBorders>
                  <w:tcMar>
                    <w:left w:w="0" w:type="dxa"/>
                    <w:right w:w="0" w:type="dxa"/>
                  </w:tcMar>
                  <w:vAlign w:val="center"/>
                </w:tcPr>
                <w:p w14:paraId="7C89F3FE">
                  <w:pPr>
                    <w:pStyle w:val="31"/>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序号</w:t>
                  </w:r>
                </w:p>
              </w:tc>
              <w:tc>
                <w:tcPr>
                  <w:tcW w:w="661" w:type="pct"/>
                  <w:tcBorders>
                    <w:top w:val="single" w:color="auto" w:sz="4" w:space="0"/>
                  </w:tcBorders>
                  <w:tcMar>
                    <w:left w:w="0" w:type="dxa"/>
                    <w:right w:w="0" w:type="dxa"/>
                  </w:tcMar>
                  <w:vAlign w:val="center"/>
                </w:tcPr>
                <w:p w14:paraId="53624E42">
                  <w:pPr>
                    <w:pStyle w:val="31"/>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影响因素</w:t>
                  </w:r>
                </w:p>
              </w:tc>
              <w:tc>
                <w:tcPr>
                  <w:tcW w:w="3966" w:type="pct"/>
                  <w:tcBorders>
                    <w:top w:val="single" w:color="auto" w:sz="4" w:space="0"/>
                    <w:right w:val="single" w:color="auto" w:sz="4" w:space="0"/>
                  </w:tcBorders>
                  <w:tcMar>
                    <w:left w:w="0" w:type="dxa"/>
                    <w:right w:w="0" w:type="dxa"/>
                  </w:tcMar>
                  <w:vAlign w:val="center"/>
                </w:tcPr>
                <w:p w14:paraId="7D6124E5">
                  <w:pPr>
                    <w:pStyle w:val="31"/>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环保措施</w:t>
                  </w:r>
                </w:p>
              </w:tc>
            </w:tr>
            <w:tr w14:paraId="458300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tcBorders>
                    <w:left w:val="single" w:color="auto" w:sz="4" w:space="0"/>
                  </w:tcBorders>
                  <w:tcMar>
                    <w:left w:w="0" w:type="dxa"/>
                    <w:right w:w="0" w:type="dxa"/>
                  </w:tcMar>
                  <w:vAlign w:val="center"/>
                </w:tcPr>
                <w:p w14:paraId="0753B832">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661" w:type="pct"/>
                  <w:tcMar>
                    <w:left w:w="0" w:type="dxa"/>
                    <w:right w:w="0" w:type="dxa"/>
                  </w:tcMar>
                  <w:vAlign w:val="center"/>
                </w:tcPr>
                <w:p w14:paraId="31CE14A8">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大气环境</w:t>
                  </w:r>
                </w:p>
              </w:tc>
              <w:tc>
                <w:tcPr>
                  <w:tcW w:w="3966" w:type="pct"/>
                  <w:tcBorders>
                    <w:right w:val="single" w:color="auto" w:sz="4" w:space="0"/>
                  </w:tcBorders>
                  <w:tcMar>
                    <w:left w:w="0" w:type="dxa"/>
                    <w:right w:w="0" w:type="dxa"/>
                  </w:tcMar>
                  <w:vAlign w:val="center"/>
                </w:tcPr>
                <w:p w14:paraId="49FB373D">
                  <w:pPr>
                    <w:pStyle w:val="31"/>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施工单位在钻井时应使用符合国家标准的油品，并定期对设备进行保养维护，采出液采用密闭装载方式，柴油储罐采用固定顶罐。</w:t>
                  </w:r>
                </w:p>
              </w:tc>
            </w:tr>
            <w:tr w14:paraId="4FE58F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372" w:type="pct"/>
                  <w:tcBorders>
                    <w:left w:val="single" w:color="auto" w:sz="4" w:space="0"/>
                  </w:tcBorders>
                  <w:tcMar>
                    <w:left w:w="0" w:type="dxa"/>
                    <w:right w:w="0" w:type="dxa"/>
                  </w:tcMar>
                  <w:vAlign w:val="center"/>
                </w:tcPr>
                <w:p w14:paraId="4DB9999C">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661" w:type="pct"/>
                  <w:tcMar>
                    <w:left w:w="0" w:type="dxa"/>
                    <w:right w:w="0" w:type="dxa"/>
                  </w:tcMar>
                  <w:vAlign w:val="center"/>
                </w:tcPr>
                <w:p w14:paraId="6446D4D4">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声环境</w:t>
                  </w:r>
                </w:p>
              </w:tc>
              <w:tc>
                <w:tcPr>
                  <w:tcW w:w="3966" w:type="pct"/>
                  <w:tcBorders>
                    <w:right w:val="single" w:color="auto" w:sz="4" w:space="0"/>
                  </w:tcBorders>
                  <w:tcMar>
                    <w:left w:w="0" w:type="dxa"/>
                    <w:right w:w="0" w:type="dxa"/>
                  </w:tcMar>
                  <w:vAlign w:val="center"/>
                </w:tcPr>
                <w:p w14:paraId="0C5FBD15">
                  <w:pPr>
                    <w:pStyle w:val="31"/>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施工单位应使用低噪声的施工设备、机械，并定期进行检修和维护，使其处于运行良好的状态。</w:t>
                  </w:r>
                </w:p>
              </w:tc>
            </w:tr>
            <w:tr w14:paraId="552807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0" w:hRule="atLeast"/>
                <w:jc w:val="center"/>
              </w:trPr>
              <w:tc>
                <w:tcPr>
                  <w:tcW w:w="372" w:type="pct"/>
                  <w:tcBorders>
                    <w:left w:val="single" w:color="auto" w:sz="4" w:space="0"/>
                  </w:tcBorders>
                  <w:tcMar>
                    <w:left w:w="0" w:type="dxa"/>
                    <w:right w:w="0" w:type="dxa"/>
                  </w:tcMar>
                  <w:vAlign w:val="center"/>
                </w:tcPr>
                <w:p w14:paraId="34D0DF8E">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661" w:type="pct"/>
                  <w:tcMar>
                    <w:left w:w="0" w:type="dxa"/>
                    <w:right w:w="0" w:type="dxa"/>
                  </w:tcMar>
                  <w:vAlign w:val="center"/>
                </w:tcPr>
                <w:p w14:paraId="4C1D28D8">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水环境和土壤环境</w:t>
                  </w:r>
                </w:p>
              </w:tc>
              <w:tc>
                <w:tcPr>
                  <w:tcW w:w="3966" w:type="pct"/>
                  <w:tcBorders>
                    <w:right w:val="single" w:color="auto" w:sz="4" w:space="0"/>
                  </w:tcBorders>
                  <w:tcMar>
                    <w:left w:w="0" w:type="dxa"/>
                    <w:right w:w="0" w:type="dxa"/>
                  </w:tcMar>
                  <w:vAlign w:val="center"/>
                </w:tcPr>
                <w:p w14:paraId="15B4D3A4">
                  <w:pPr>
                    <w:pStyle w:val="31"/>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钻井液</w:t>
                  </w:r>
                  <w:r>
                    <w:rPr>
                      <w:rFonts w:hint="eastAsia" w:ascii="Times New Roman" w:hAnsi="Times New Roman" w:eastAsia="宋体" w:cs="Times New Roman"/>
                      <w:color w:val="auto"/>
                      <w:highlight w:val="none"/>
                      <w:lang w:val="en-US" w:eastAsia="zh-CN"/>
                    </w:rPr>
                    <w:t>外运处置</w:t>
                  </w:r>
                  <w:r>
                    <w:rPr>
                      <w:rFonts w:ascii="Times New Roman" w:hAnsi="Times New Roman" w:eastAsia="宋体" w:cs="Times New Roman"/>
                      <w:color w:val="auto"/>
                      <w:highlight w:val="none"/>
                      <w:lang w:eastAsia="zh-CN"/>
                    </w:rPr>
                    <w:t>不外排；试油期产生的废水收集至地面储罐后由罐车拉运至吉28脱水站处理；生活污水汇入移动厕所化粪池收集暂存，定期由吸污车抽出后委托拉运至市政污水处理厂处理。关键区域做好符合相关环保要求的防渗措施；提高施工效率，缩短施工时间；工程结束后，做好施工场地的恢复工作。</w:t>
                  </w:r>
                </w:p>
              </w:tc>
            </w:tr>
            <w:tr w14:paraId="6EB32F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4" w:hRule="atLeast"/>
                <w:jc w:val="center"/>
              </w:trPr>
              <w:tc>
                <w:tcPr>
                  <w:tcW w:w="372" w:type="pct"/>
                  <w:tcBorders>
                    <w:left w:val="single" w:color="auto" w:sz="4" w:space="0"/>
                  </w:tcBorders>
                  <w:tcMar>
                    <w:left w:w="0" w:type="dxa"/>
                    <w:right w:w="0" w:type="dxa"/>
                  </w:tcMar>
                  <w:vAlign w:val="center"/>
                </w:tcPr>
                <w:p w14:paraId="7BA195B0">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661" w:type="pct"/>
                  <w:tcMar>
                    <w:left w:w="0" w:type="dxa"/>
                    <w:right w:w="0" w:type="dxa"/>
                  </w:tcMar>
                  <w:vAlign w:val="center"/>
                </w:tcPr>
                <w:p w14:paraId="00F88976">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固体废物</w:t>
                  </w:r>
                </w:p>
              </w:tc>
              <w:tc>
                <w:tcPr>
                  <w:tcW w:w="3966" w:type="pct"/>
                  <w:tcBorders>
                    <w:right w:val="single" w:color="auto" w:sz="4" w:space="0"/>
                  </w:tcBorders>
                  <w:tcMar>
                    <w:left w:w="0" w:type="dxa"/>
                    <w:right w:w="0" w:type="dxa"/>
                  </w:tcMar>
                  <w:vAlign w:val="center"/>
                </w:tcPr>
                <w:p w14:paraId="59BE258B">
                  <w:pPr>
                    <w:pStyle w:val="31"/>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生活垃圾集中收集后委托第三方拉运至当地垃圾场处理。水基岩屑、泥浆在井口采用“振动筛+除砂器+除泥器+离心分离”工艺固液分离后，液相循环使用，分离出固相暂存于专用岩屑方罐中，由具备资质的单位及时转运处理。油基岩屑、粘油废防渗材料、落地油、机械设备废油与废润滑油桶委托有资质单位进行妥善处理。</w:t>
                  </w:r>
                </w:p>
              </w:tc>
            </w:tr>
            <w:tr w14:paraId="38B05E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372" w:type="pct"/>
                  <w:tcBorders>
                    <w:left w:val="single" w:color="auto" w:sz="4" w:space="0"/>
                  </w:tcBorders>
                  <w:tcMar>
                    <w:left w:w="0" w:type="dxa"/>
                    <w:right w:w="0" w:type="dxa"/>
                  </w:tcMar>
                  <w:vAlign w:val="center"/>
                </w:tcPr>
                <w:p w14:paraId="6B3B870E">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c>
                <w:tcPr>
                  <w:tcW w:w="661" w:type="pct"/>
                  <w:tcMar>
                    <w:left w:w="0" w:type="dxa"/>
                    <w:right w:w="0" w:type="dxa"/>
                  </w:tcMar>
                  <w:vAlign w:val="center"/>
                </w:tcPr>
                <w:p w14:paraId="65B907D0">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生态环境</w:t>
                  </w:r>
                </w:p>
              </w:tc>
              <w:tc>
                <w:tcPr>
                  <w:tcW w:w="3966" w:type="pct"/>
                  <w:tcBorders>
                    <w:right w:val="single" w:color="auto" w:sz="4" w:space="0"/>
                  </w:tcBorders>
                  <w:tcMar>
                    <w:left w:w="0" w:type="dxa"/>
                    <w:right w:w="0" w:type="dxa"/>
                  </w:tcMar>
                  <w:vAlign w:val="center"/>
                </w:tcPr>
                <w:p w14:paraId="066DADC7">
                  <w:pPr>
                    <w:pStyle w:val="31"/>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14:paraId="706EB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8" w:hRule="atLeast"/>
                <w:jc w:val="center"/>
              </w:trPr>
              <w:tc>
                <w:tcPr>
                  <w:tcW w:w="372" w:type="pct"/>
                  <w:tcBorders>
                    <w:left w:val="single" w:color="auto" w:sz="4" w:space="0"/>
                  </w:tcBorders>
                  <w:tcMar>
                    <w:left w:w="0" w:type="dxa"/>
                    <w:right w:w="0" w:type="dxa"/>
                  </w:tcMar>
                  <w:vAlign w:val="center"/>
                </w:tcPr>
                <w:p w14:paraId="61221DE2">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c>
                <w:tcPr>
                  <w:tcW w:w="661" w:type="pct"/>
                  <w:tcMar>
                    <w:left w:w="0" w:type="dxa"/>
                    <w:right w:w="0" w:type="dxa"/>
                  </w:tcMar>
                  <w:vAlign w:val="center"/>
                </w:tcPr>
                <w:p w14:paraId="74E15518">
                  <w:pPr>
                    <w:pStyle w:val="31"/>
                    <w:kinsoku/>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环境管理</w:t>
                  </w:r>
                </w:p>
              </w:tc>
              <w:tc>
                <w:tcPr>
                  <w:tcW w:w="3966" w:type="pct"/>
                  <w:tcBorders>
                    <w:right w:val="single" w:color="auto" w:sz="4" w:space="0"/>
                  </w:tcBorders>
                  <w:tcMar>
                    <w:left w:w="0" w:type="dxa"/>
                    <w:right w:w="0" w:type="dxa"/>
                  </w:tcMar>
                  <w:vAlign w:val="center"/>
                </w:tcPr>
                <w:p w14:paraId="038A6C70">
                  <w:pPr>
                    <w:pStyle w:val="31"/>
                    <w:kinsoku/>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14:paraId="6325EEB8">
            <w:pPr>
              <w:pStyle w:val="22"/>
              <w:widowControl w:val="0"/>
              <w:kinsoku/>
              <w:spacing w:before="5" w:line="358" w:lineRule="auto"/>
              <w:jc w:val="both"/>
              <w:rPr>
                <w:rFonts w:ascii="Times New Roman" w:hAnsi="Times New Roman" w:cs="Times New Roman"/>
                <w:b/>
                <w:bCs/>
                <w:color w:val="auto"/>
                <w:sz w:val="24"/>
                <w:szCs w:val="24"/>
                <w:highlight w:val="none"/>
                <w:lang w:eastAsia="zh-CN"/>
              </w:rPr>
            </w:pPr>
            <w:r>
              <w:rPr>
                <w:rFonts w:ascii="Times New Roman" w:hAnsi="Times New Roman" w:cs="Times New Roman"/>
                <w:b/>
                <w:bCs/>
                <w:color w:val="auto"/>
                <w:sz w:val="24"/>
                <w:szCs w:val="24"/>
                <w:highlight w:val="none"/>
                <w:lang w:eastAsia="zh-CN"/>
              </w:rPr>
              <w:t>2.环境监测计划</w:t>
            </w:r>
          </w:p>
          <w:p w14:paraId="414402C1">
            <w:pPr>
              <w:pStyle w:val="22"/>
              <w:widowControl w:val="0"/>
              <w:kinsoku/>
              <w:spacing w:before="5" w:line="358" w:lineRule="auto"/>
              <w:ind w:left="4" w:firstLine="477"/>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3"/>
                <w:sz w:val="24"/>
                <w:szCs w:val="24"/>
                <w:highlight w:val="none"/>
                <w:lang w:eastAsia="zh-CN"/>
              </w:rPr>
              <w:t>根据《</w:t>
            </w:r>
            <w:r>
              <w:rPr>
                <w:rFonts w:ascii="Times New Roman" w:hAnsi="Times New Roman" w:cs="Times New Roman"/>
                <w:color w:val="auto"/>
                <w:spacing w:val="-2"/>
                <w:sz w:val="24"/>
                <w:szCs w:val="24"/>
                <w:highlight w:val="none"/>
                <w:lang w:eastAsia="zh-CN"/>
              </w:rPr>
              <w:t>排污许可证申请与核发技术规范总则》（HJ942-2018）及《排污单位自行监测技术指南总则》（HJ819-2017</w:t>
            </w:r>
            <w:r>
              <w:rPr>
                <w:rFonts w:ascii="Times New Roman" w:hAnsi="Times New Roman" w:cs="Times New Roman"/>
                <w:color w:val="auto"/>
                <w:spacing w:val="-15"/>
                <w:sz w:val="24"/>
                <w:szCs w:val="24"/>
                <w:highlight w:val="none"/>
                <w:lang w:eastAsia="zh-CN"/>
              </w:rPr>
              <w:t>），</w:t>
            </w:r>
            <w:r>
              <w:rPr>
                <w:rFonts w:ascii="Times New Roman" w:hAnsi="Times New Roman" w:cs="Times New Roman"/>
                <w:color w:val="auto"/>
                <w:spacing w:val="-2"/>
                <w:sz w:val="24"/>
                <w:szCs w:val="24"/>
                <w:highlight w:val="none"/>
                <w:lang w:eastAsia="zh-CN"/>
              </w:rPr>
              <w:t>并参照《排污单位自行监测技术指南 陆上石油天</w:t>
            </w:r>
            <w:r>
              <w:rPr>
                <w:rFonts w:ascii="Times New Roman" w:hAnsi="Times New Roman" w:cs="Times New Roman"/>
                <w:color w:val="auto"/>
                <w:spacing w:val="-3"/>
                <w:sz w:val="24"/>
                <w:szCs w:val="24"/>
                <w:highlight w:val="none"/>
                <w:lang w:eastAsia="zh-CN"/>
              </w:rPr>
              <w:t>然气开采工业</w:t>
            </w:r>
            <w:r>
              <w:rPr>
                <w:rFonts w:ascii="Times New Roman" w:hAnsi="Times New Roman" w:cs="Times New Roman"/>
                <w:color w:val="auto"/>
                <w:spacing w:val="-2"/>
                <w:sz w:val="24"/>
                <w:szCs w:val="24"/>
                <w:highlight w:val="none"/>
                <w:lang w:eastAsia="zh-CN"/>
              </w:rPr>
              <w:t>》（HJ 1248—2022）制定自行监测方案并开展监测。</w:t>
            </w:r>
          </w:p>
          <w:p w14:paraId="692A6DE4">
            <w:pPr>
              <w:pStyle w:val="22"/>
              <w:widowControl w:val="0"/>
              <w:kinsoku/>
              <w:spacing w:line="357" w:lineRule="auto"/>
              <w:ind w:left="6" w:firstLine="430"/>
              <w:jc w:val="both"/>
              <w:rPr>
                <w:rFonts w:ascii="Times New Roman" w:hAnsi="Times New Roman" w:cs="Times New Roman"/>
                <w:color w:val="auto"/>
                <w:spacing w:val="-3"/>
                <w:sz w:val="24"/>
                <w:szCs w:val="24"/>
                <w:highlight w:val="none"/>
                <w:lang w:eastAsia="zh-CN"/>
              </w:rPr>
            </w:pPr>
            <w:r>
              <w:rPr>
                <w:rFonts w:ascii="Times New Roman" w:hAnsi="Times New Roman" w:cs="Times New Roman"/>
                <w:color w:val="auto"/>
                <w:spacing w:val="-5"/>
                <w:sz w:val="24"/>
                <w:szCs w:val="24"/>
                <w:highlight w:val="none"/>
                <w:lang w:eastAsia="zh-CN"/>
              </w:rPr>
              <w:t>每次监测都应有完整地记录。监测数据应及时整理、统计，</w:t>
            </w:r>
            <w:r>
              <w:rPr>
                <w:rFonts w:ascii="Times New Roman" w:hAnsi="Times New Roman" w:cs="Times New Roman"/>
                <w:color w:val="auto"/>
                <w:spacing w:val="-3"/>
                <w:sz w:val="24"/>
                <w:szCs w:val="24"/>
                <w:highlight w:val="none"/>
                <w:lang w:eastAsia="zh-CN"/>
              </w:rPr>
              <w:t>做好监测资料的归档工作。</w:t>
            </w:r>
          </w:p>
          <w:p w14:paraId="1BC6C47C">
            <w:pPr>
              <w:pStyle w:val="22"/>
              <w:widowControl w:val="0"/>
              <w:kinsoku/>
              <w:jc w:val="center"/>
              <w:rPr>
                <w:rFonts w:ascii="Times New Roman" w:hAnsi="Times New Roman" w:cs="Times New Roman"/>
                <w:color w:val="auto"/>
                <w:sz w:val="21"/>
                <w:szCs w:val="21"/>
                <w:highlight w:val="none"/>
              </w:rPr>
            </w:pPr>
            <w:r>
              <w:rPr>
                <w:rFonts w:ascii="Times New Roman" w:hAnsi="Times New Roman" w:cs="Times New Roman"/>
                <w:b/>
                <w:bCs/>
                <w:color w:val="auto"/>
                <w:spacing w:val="5"/>
                <w:sz w:val="21"/>
                <w:szCs w:val="21"/>
                <w:highlight w:val="none"/>
              </w:rPr>
              <w:t>表</w:t>
            </w:r>
            <w:r>
              <w:rPr>
                <w:rFonts w:ascii="Times New Roman" w:hAnsi="Times New Roman" w:cs="Times New Roman"/>
                <w:b/>
                <w:bCs/>
                <w:color w:val="auto"/>
                <w:spacing w:val="5"/>
                <w:sz w:val="21"/>
                <w:szCs w:val="21"/>
                <w:highlight w:val="none"/>
                <w:lang w:eastAsia="zh-CN"/>
              </w:rPr>
              <w:t>5-3</w:t>
            </w:r>
            <w:r>
              <w:rPr>
                <w:rFonts w:ascii="Times New Roman" w:hAnsi="Times New Roman" w:cs="Times New Roman"/>
                <w:b/>
                <w:bCs/>
                <w:color w:val="auto"/>
                <w:spacing w:val="5"/>
                <w:sz w:val="21"/>
                <w:szCs w:val="21"/>
                <w:highlight w:val="none"/>
              </w:rPr>
              <w:t>环境监测计划表</w:t>
            </w:r>
          </w:p>
          <w:tbl>
            <w:tblPr>
              <w:tblStyle w:val="21"/>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5"/>
              <w:gridCol w:w="1766"/>
              <w:gridCol w:w="1694"/>
              <w:gridCol w:w="2240"/>
              <w:gridCol w:w="1580"/>
            </w:tblGrid>
            <w:tr w14:paraId="7C27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 w:hRule="atLeast"/>
                <w:jc w:val="center"/>
              </w:trPr>
              <w:tc>
                <w:tcPr>
                  <w:tcW w:w="855" w:type="dxa"/>
                  <w:vAlign w:val="center"/>
                </w:tcPr>
                <w:p w14:paraId="336C77CE">
                  <w:pPr>
                    <w:pStyle w:val="22"/>
                    <w:kinsoku/>
                    <w:spacing w:before="167" w:line="228" w:lineRule="auto"/>
                    <w:ind w:left="135"/>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7"/>
                      <w:sz w:val="21"/>
                      <w:szCs w:val="21"/>
                      <w:highlight w:val="none"/>
                    </w:rPr>
                    <w:t>监测对象</w:t>
                  </w:r>
                </w:p>
              </w:tc>
              <w:tc>
                <w:tcPr>
                  <w:tcW w:w="1766" w:type="dxa"/>
                  <w:vAlign w:val="center"/>
                </w:tcPr>
                <w:p w14:paraId="633CDA7F">
                  <w:pPr>
                    <w:pStyle w:val="22"/>
                    <w:kinsoku/>
                    <w:spacing w:before="167" w:line="228"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7"/>
                      <w:sz w:val="21"/>
                      <w:szCs w:val="21"/>
                      <w:highlight w:val="none"/>
                    </w:rPr>
                    <w:t>监测频率</w:t>
                  </w:r>
                </w:p>
              </w:tc>
              <w:tc>
                <w:tcPr>
                  <w:tcW w:w="1694" w:type="dxa"/>
                  <w:vAlign w:val="center"/>
                </w:tcPr>
                <w:p w14:paraId="309730F9">
                  <w:pPr>
                    <w:pStyle w:val="22"/>
                    <w:kinsoku/>
                    <w:spacing w:before="168" w:line="228"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7"/>
                      <w:sz w:val="21"/>
                      <w:szCs w:val="21"/>
                      <w:highlight w:val="none"/>
                    </w:rPr>
                    <w:t>监测项目</w:t>
                  </w:r>
                </w:p>
              </w:tc>
              <w:tc>
                <w:tcPr>
                  <w:tcW w:w="2240" w:type="dxa"/>
                  <w:vAlign w:val="center"/>
                </w:tcPr>
                <w:p w14:paraId="333E9D72">
                  <w:pPr>
                    <w:pStyle w:val="22"/>
                    <w:kinsoku/>
                    <w:spacing w:before="167" w:line="229"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7"/>
                      <w:sz w:val="21"/>
                      <w:szCs w:val="21"/>
                      <w:highlight w:val="none"/>
                    </w:rPr>
                    <w:t>监测地点</w:t>
                  </w:r>
                </w:p>
              </w:tc>
              <w:tc>
                <w:tcPr>
                  <w:tcW w:w="1580" w:type="dxa"/>
                  <w:vAlign w:val="center"/>
                </w:tcPr>
                <w:p w14:paraId="042AE1DA">
                  <w:pPr>
                    <w:pStyle w:val="22"/>
                    <w:kinsoku/>
                    <w:spacing w:before="33" w:line="229" w:lineRule="auto"/>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4"/>
                      <w:sz w:val="21"/>
                      <w:szCs w:val="21"/>
                      <w:highlight w:val="none"/>
                      <w:lang w:eastAsia="zh-CN"/>
                    </w:rPr>
                    <w:t>监测时间</w:t>
                  </w:r>
                </w:p>
              </w:tc>
            </w:tr>
            <w:tr w14:paraId="5F85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855" w:type="dxa"/>
                  <w:vMerge w:val="restart"/>
                  <w:vAlign w:val="center"/>
                </w:tcPr>
                <w:p w14:paraId="061AC79B">
                  <w:pPr>
                    <w:pStyle w:val="22"/>
                    <w:kinsoku/>
                    <w:spacing w:before="65"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3"/>
                      <w:sz w:val="21"/>
                      <w:szCs w:val="21"/>
                      <w:highlight w:val="none"/>
                    </w:rPr>
                    <w:t>大气</w:t>
                  </w:r>
                </w:p>
              </w:tc>
              <w:tc>
                <w:tcPr>
                  <w:tcW w:w="1766" w:type="dxa"/>
                  <w:vAlign w:val="center"/>
                </w:tcPr>
                <w:p w14:paraId="4C683064">
                  <w:pPr>
                    <w:pStyle w:val="22"/>
                    <w:kinsoku/>
                    <w:spacing w:before="168"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lang w:eastAsia="zh-CN"/>
                    </w:rPr>
                    <w:t>1次/钻井周期内</w:t>
                  </w:r>
                </w:p>
              </w:tc>
              <w:tc>
                <w:tcPr>
                  <w:tcW w:w="1694" w:type="dxa"/>
                  <w:vAlign w:val="center"/>
                </w:tcPr>
                <w:p w14:paraId="5415572D">
                  <w:pPr>
                    <w:kinsoku/>
                    <w:spacing w:before="204" w:line="195"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pacing w:val="-1"/>
                      <w:highlight w:val="none"/>
                      <w:lang w:eastAsia="zh-CN"/>
                    </w:rPr>
                    <w:t>非</w:t>
                  </w:r>
                  <w:r>
                    <w:rPr>
                      <w:rFonts w:ascii="Times New Roman" w:hAnsi="Times New Roman" w:eastAsia="宋体" w:cs="Times New Roman"/>
                      <w:color w:val="auto"/>
                      <w:spacing w:val="-1"/>
                      <w:highlight w:val="none"/>
                    </w:rPr>
                    <w:t>甲烷总烃、H</w:t>
                  </w:r>
                  <w:r>
                    <w:rPr>
                      <w:rFonts w:ascii="Times New Roman" w:hAnsi="Times New Roman" w:eastAsia="宋体" w:cs="Times New Roman"/>
                      <w:color w:val="auto"/>
                      <w:spacing w:val="-1"/>
                      <w:highlight w:val="none"/>
                      <w:vertAlign w:val="subscript"/>
                    </w:rPr>
                    <w:t>2</w:t>
                  </w:r>
                  <w:r>
                    <w:rPr>
                      <w:rFonts w:ascii="Times New Roman" w:hAnsi="Times New Roman" w:eastAsia="宋体" w:cs="Times New Roman"/>
                      <w:color w:val="auto"/>
                      <w:spacing w:val="-1"/>
                      <w:highlight w:val="none"/>
                    </w:rPr>
                    <w:t>S</w:t>
                  </w:r>
                </w:p>
              </w:tc>
              <w:tc>
                <w:tcPr>
                  <w:tcW w:w="2240" w:type="dxa"/>
                  <w:vAlign w:val="center"/>
                </w:tcPr>
                <w:p w14:paraId="51BE33EF">
                  <w:pPr>
                    <w:pStyle w:val="22"/>
                    <w:kinsoku/>
                    <w:spacing w:before="169"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lang w:eastAsia="zh-CN"/>
                    </w:rPr>
                    <w:t>项目区</w:t>
                  </w:r>
                </w:p>
              </w:tc>
              <w:tc>
                <w:tcPr>
                  <w:tcW w:w="1580" w:type="dxa"/>
                  <w:vAlign w:val="center"/>
                </w:tcPr>
                <w:p w14:paraId="08DB48D2">
                  <w:pPr>
                    <w:pStyle w:val="22"/>
                    <w:kinsoku/>
                    <w:spacing w:before="35" w:line="228" w:lineRule="auto"/>
                    <w:jc w:val="center"/>
                    <w:rPr>
                      <w:rFonts w:ascii="Times New Roman" w:hAnsi="Times New Roman" w:cs="Times New Roman"/>
                      <w:color w:val="auto"/>
                      <w:spacing w:val="6"/>
                      <w:sz w:val="21"/>
                      <w:szCs w:val="21"/>
                      <w:highlight w:val="none"/>
                      <w:lang w:eastAsia="zh-CN"/>
                    </w:rPr>
                  </w:pPr>
                  <w:r>
                    <w:rPr>
                      <w:rFonts w:ascii="Times New Roman" w:hAnsi="Times New Roman" w:cs="Times New Roman"/>
                      <w:color w:val="auto"/>
                      <w:spacing w:val="6"/>
                      <w:sz w:val="21"/>
                      <w:szCs w:val="21"/>
                      <w:highlight w:val="none"/>
                      <w:lang w:eastAsia="zh-CN"/>
                    </w:rPr>
                    <w:t>整个钻井期间监测1次</w:t>
                  </w:r>
                </w:p>
              </w:tc>
            </w:tr>
            <w:tr w14:paraId="3DDC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855" w:type="dxa"/>
                  <w:vMerge w:val="continue"/>
                  <w:vAlign w:val="center"/>
                </w:tcPr>
                <w:p w14:paraId="3A0A9212">
                  <w:pPr>
                    <w:pStyle w:val="22"/>
                    <w:kinsoku/>
                    <w:spacing w:before="65" w:line="228" w:lineRule="auto"/>
                    <w:jc w:val="center"/>
                    <w:rPr>
                      <w:rFonts w:ascii="Times New Roman" w:hAnsi="Times New Roman" w:cs="Times New Roman"/>
                      <w:color w:val="auto"/>
                      <w:spacing w:val="3"/>
                      <w:sz w:val="21"/>
                      <w:szCs w:val="21"/>
                      <w:highlight w:val="none"/>
                    </w:rPr>
                  </w:pPr>
                </w:p>
              </w:tc>
              <w:tc>
                <w:tcPr>
                  <w:tcW w:w="1766" w:type="dxa"/>
                  <w:vAlign w:val="center"/>
                </w:tcPr>
                <w:p w14:paraId="3740C4FD">
                  <w:pPr>
                    <w:pStyle w:val="22"/>
                    <w:kinsoku/>
                    <w:spacing w:before="168" w:line="228" w:lineRule="auto"/>
                    <w:jc w:val="center"/>
                    <w:rPr>
                      <w:rFonts w:ascii="Times New Roman" w:hAnsi="Times New Roman" w:cs="Times New Roman"/>
                      <w:color w:val="auto"/>
                      <w:spacing w:val="8"/>
                      <w:sz w:val="21"/>
                      <w:szCs w:val="21"/>
                      <w:highlight w:val="none"/>
                      <w:lang w:eastAsia="zh-CN"/>
                    </w:rPr>
                  </w:pPr>
                  <w:r>
                    <w:rPr>
                      <w:rFonts w:ascii="Times New Roman" w:hAnsi="Times New Roman" w:cs="Times New Roman"/>
                      <w:color w:val="auto"/>
                      <w:spacing w:val="8"/>
                      <w:sz w:val="21"/>
                      <w:szCs w:val="21"/>
                      <w:highlight w:val="none"/>
                      <w:lang w:eastAsia="zh-CN"/>
                    </w:rPr>
                    <w:t>1次/钻井周期内</w:t>
                  </w:r>
                </w:p>
              </w:tc>
              <w:tc>
                <w:tcPr>
                  <w:tcW w:w="1694" w:type="dxa"/>
                  <w:vAlign w:val="center"/>
                </w:tcPr>
                <w:p w14:paraId="01B78DDC">
                  <w:pPr>
                    <w:kinsoku/>
                    <w:spacing w:before="204" w:line="195" w:lineRule="auto"/>
                    <w:jc w:val="center"/>
                    <w:rPr>
                      <w:rFonts w:hint="default" w:ascii="Times New Roman" w:hAnsi="Times New Roman" w:eastAsia="宋体" w:cs="Times New Roman"/>
                      <w:color w:val="auto"/>
                      <w:spacing w:val="-1"/>
                      <w:highlight w:val="none"/>
                      <w:lang w:val="en-US" w:eastAsia="zh-CN"/>
                    </w:rPr>
                  </w:pPr>
                  <w:r>
                    <w:rPr>
                      <w:rFonts w:ascii="Times New Roman" w:hAnsi="Times New Roman" w:eastAsia="宋体" w:cs="Times New Roman"/>
                      <w:color w:val="auto"/>
                      <w:spacing w:val="-1"/>
                      <w:highlight w:val="none"/>
                    </w:rPr>
                    <w:t>颗粒物、二氧化硫、氮氧化物</w:t>
                  </w:r>
                  <w:r>
                    <w:rPr>
                      <w:rFonts w:hint="eastAsia" w:ascii="Times New Roman" w:hAnsi="Times New Roman" w:eastAsia="宋体" w:cs="Times New Roman"/>
                      <w:color w:val="auto"/>
                      <w:spacing w:val="-1"/>
                      <w:highlight w:val="none"/>
                      <w:lang w:eastAsia="zh-CN"/>
                    </w:rPr>
                    <w:t>、</w:t>
                  </w:r>
                  <w:r>
                    <w:rPr>
                      <w:rFonts w:hint="eastAsia" w:ascii="Times New Roman" w:hAnsi="Times New Roman" w:eastAsia="宋体" w:cs="Times New Roman"/>
                      <w:color w:val="auto"/>
                      <w:spacing w:val="-1"/>
                      <w:highlight w:val="none"/>
                      <w:lang w:val="en-US" w:eastAsia="zh-CN"/>
                    </w:rPr>
                    <w:t>林格曼黑度</w:t>
                  </w:r>
                </w:p>
              </w:tc>
              <w:tc>
                <w:tcPr>
                  <w:tcW w:w="2240" w:type="dxa"/>
                  <w:vAlign w:val="center"/>
                </w:tcPr>
                <w:p w14:paraId="3169A29A">
                  <w:pPr>
                    <w:pStyle w:val="22"/>
                    <w:kinsoku/>
                    <w:spacing w:before="51" w:line="228" w:lineRule="auto"/>
                    <w:jc w:val="center"/>
                    <w:rPr>
                      <w:rFonts w:ascii="Times New Roman" w:hAnsi="Times New Roman" w:cs="Times New Roman"/>
                      <w:color w:val="auto"/>
                      <w:spacing w:val="8"/>
                      <w:sz w:val="21"/>
                      <w:szCs w:val="21"/>
                      <w:highlight w:val="none"/>
                      <w:lang w:eastAsia="zh-CN"/>
                    </w:rPr>
                  </w:pPr>
                  <w:r>
                    <w:rPr>
                      <w:rFonts w:ascii="Times New Roman" w:hAnsi="Times New Roman" w:eastAsia="宋体" w:cs="Times New Roman"/>
                      <w:color w:val="auto"/>
                      <w:spacing w:val="8"/>
                      <w:sz w:val="21"/>
                      <w:szCs w:val="21"/>
                      <w:highlight w:val="none"/>
                      <w:lang w:eastAsia="zh-CN"/>
                    </w:rPr>
                    <w:t>锅炉排气筒</w:t>
                  </w:r>
                </w:p>
              </w:tc>
              <w:tc>
                <w:tcPr>
                  <w:tcW w:w="1580" w:type="dxa"/>
                  <w:vAlign w:val="center"/>
                </w:tcPr>
                <w:p w14:paraId="0EC92B36">
                  <w:pPr>
                    <w:pStyle w:val="22"/>
                    <w:kinsoku/>
                    <w:spacing w:before="35" w:line="228" w:lineRule="auto"/>
                    <w:jc w:val="center"/>
                    <w:rPr>
                      <w:rFonts w:ascii="Times New Roman" w:hAnsi="Times New Roman" w:cs="Times New Roman"/>
                      <w:color w:val="auto"/>
                      <w:spacing w:val="6"/>
                      <w:sz w:val="21"/>
                      <w:szCs w:val="21"/>
                      <w:highlight w:val="none"/>
                      <w:lang w:eastAsia="zh-CN"/>
                    </w:rPr>
                  </w:pPr>
                  <w:r>
                    <w:rPr>
                      <w:rFonts w:ascii="Times New Roman" w:hAnsi="Times New Roman" w:eastAsia="宋体" w:cs="Times New Roman"/>
                      <w:color w:val="auto"/>
                      <w:spacing w:val="6"/>
                      <w:sz w:val="21"/>
                      <w:szCs w:val="21"/>
                      <w:highlight w:val="none"/>
                      <w:lang w:eastAsia="zh-CN"/>
                    </w:rPr>
                    <w:t>冬</w:t>
                  </w:r>
                  <w:r>
                    <w:rPr>
                      <w:rFonts w:hint="eastAsia" w:ascii="Times New Roman" w:hAnsi="Times New Roman" w:eastAsia="宋体" w:cs="Times New Roman"/>
                      <w:color w:val="auto"/>
                      <w:spacing w:val="6"/>
                      <w:sz w:val="21"/>
                      <w:szCs w:val="21"/>
                      <w:highlight w:val="none"/>
                      <w:lang w:val="en-US" w:eastAsia="zh-CN"/>
                    </w:rPr>
                    <w:t>季供暖期至少监测</w:t>
                  </w:r>
                  <w:r>
                    <w:rPr>
                      <w:rFonts w:hint="eastAsia" w:ascii="宋体" w:hAnsi="宋体" w:eastAsia="宋体" w:cs="宋体"/>
                      <w:snapToGrid w:val="0"/>
                      <w:color w:val="auto"/>
                      <w:spacing w:val="6"/>
                      <w:sz w:val="21"/>
                      <w:szCs w:val="21"/>
                      <w:highlight w:val="none"/>
                      <w:lang w:val="en-US" w:eastAsia="zh-CN" w:bidi="ar-SA"/>
                    </w:rPr>
                    <w:t>1次</w:t>
                  </w:r>
                </w:p>
              </w:tc>
            </w:tr>
            <w:tr w14:paraId="612A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855" w:type="dxa"/>
                  <w:vAlign w:val="center"/>
                </w:tcPr>
                <w:p w14:paraId="186CDD91">
                  <w:pPr>
                    <w:pStyle w:val="22"/>
                    <w:kinsoku/>
                    <w:spacing w:before="51"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1"/>
                      <w:sz w:val="21"/>
                      <w:szCs w:val="21"/>
                      <w:highlight w:val="none"/>
                    </w:rPr>
                    <w:t>噪声</w:t>
                  </w:r>
                </w:p>
              </w:tc>
              <w:tc>
                <w:tcPr>
                  <w:tcW w:w="1766" w:type="dxa"/>
                  <w:vAlign w:val="center"/>
                </w:tcPr>
                <w:p w14:paraId="237CD294">
                  <w:pPr>
                    <w:pStyle w:val="22"/>
                    <w:kinsoku/>
                    <w:spacing w:before="50"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lang w:eastAsia="zh-CN"/>
                    </w:rPr>
                    <w:t>1次/钻井周期内</w:t>
                  </w:r>
                </w:p>
              </w:tc>
              <w:tc>
                <w:tcPr>
                  <w:tcW w:w="1694" w:type="dxa"/>
                  <w:vAlign w:val="center"/>
                </w:tcPr>
                <w:p w14:paraId="06A73583">
                  <w:pPr>
                    <w:pStyle w:val="22"/>
                    <w:kinsoku/>
                    <w:spacing w:before="50"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7"/>
                      <w:sz w:val="21"/>
                      <w:szCs w:val="21"/>
                      <w:highlight w:val="none"/>
                    </w:rPr>
                    <w:t>等效连续A声级</w:t>
                  </w:r>
                </w:p>
              </w:tc>
              <w:tc>
                <w:tcPr>
                  <w:tcW w:w="2240" w:type="dxa"/>
                  <w:vAlign w:val="center"/>
                </w:tcPr>
                <w:p w14:paraId="57BC897A">
                  <w:pPr>
                    <w:pStyle w:val="22"/>
                    <w:kinsoku/>
                    <w:spacing w:before="51"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8"/>
                      <w:sz w:val="21"/>
                      <w:szCs w:val="21"/>
                      <w:highlight w:val="none"/>
                      <w:lang w:eastAsia="zh-CN"/>
                    </w:rPr>
                    <w:t>井场</w:t>
                  </w:r>
                  <w:r>
                    <w:rPr>
                      <w:rFonts w:ascii="Times New Roman" w:hAnsi="Times New Roman" w:cs="Times New Roman"/>
                      <w:color w:val="auto"/>
                      <w:spacing w:val="8"/>
                      <w:sz w:val="21"/>
                      <w:szCs w:val="21"/>
                      <w:highlight w:val="none"/>
                    </w:rPr>
                    <w:t>周围</w:t>
                  </w:r>
                </w:p>
              </w:tc>
              <w:tc>
                <w:tcPr>
                  <w:tcW w:w="1580" w:type="dxa"/>
                  <w:vAlign w:val="center"/>
                </w:tcPr>
                <w:p w14:paraId="76F2F192">
                  <w:pPr>
                    <w:kinsoku/>
                    <w:jc w:val="center"/>
                    <w:rPr>
                      <w:rFonts w:ascii="Times New Roman" w:hAnsi="Times New Roman" w:eastAsia="宋体" w:cs="Times New Roman"/>
                      <w:color w:val="auto"/>
                      <w:highlight w:val="none"/>
                    </w:rPr>
                  </w:pPr>
                  <w:r>
                    <w:rPr>
                      <w:rFonts w:hint="eastAsia" w:ascii="宋体" w:hAnsi="宋体" w:eastAsia="宋体" w:cs="宋体"/>
                      <w:color w:val="auto"/>
                      <w:spacing w:val="6"/>
                      <w:highlight w:val="none"/>
                      <w:lang w:eastAsia="zh-CN"/>
                    </w:rPr>
                    <w:t>整个钻井期间监测</w:t>
                  </w:r>
                  <w:r>
                    <w:rPr>
                      <w:rFonts w:ascii="Times New Roman" w:hAnsi="Times New Roman" w:cs="Times New Roman"/>
                      <w:color w:val="auto"/>
                      <w:spacing w:val="6"/>
                      <w:highlight w:val="none"/>
                      <w:lang w:eastAsia="zh-CN"/>
                    </w:rPr>
                    <w:t>1</w:t>
                  </w:r>
                  <w:r>
                    <w:rPr>
                      <w:rFonts w:hint="eastAsia" w:ascii="宋体" w:hAnsi="宋体" w:eastAsia="宋体" w:cs="宋体"/>
                      <w:color w:val="auto"/>
                      <w:spacing w:val="6"/>
                      <w:highlight w:val="none"/>
                      <w:lang w:eastAsia="zh-CN"/>
                    </w:rPr>
                    <w:t>次</w:t>
                  </w:r>
                </w:p>
              </w:tc>
            </w:tr>
            <w:tr w14:paraId="409B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855" w:type="dxa"/>
                  <w:vAlign w:val="center"/>
                </w:tcPr>
                <w:p w14:paraId="3407CFF2">
                  <w:pPr>
                    <w:pStyle w:val="22"/>
                    <w:kinsoku/>
                    <w:spacing w:before="168" w:line="229"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4"/>
                      <w:sz w:val="21"/>
                      <w:szCs w:val="21"/>
                      <w:highlight w:val="none"/>
                    </w:rPr>
                    <w:t>土壤</w:t>
                  </w:r>
                </w:p>
              </w:tc>
              <w:tc>
                <w:tcPr>
                  <w:tcW w:w="1766" w:type="dxa"/>
                  <w:vAlign w:val="center"/>
                </w:tcPr>
                <w:p w14:paraId="2AC13375">
                  <w:pPr>
                    <w:pStyle w:val="22"/>
                    <w:kinsoku/>
                    <w:spacing w:before="33"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1次/钻井周期</w:t>
                  </w:r>
                </w:p>
              </w:tc>
              <w:tc>
                <w:tcPr>
                  <w:tcW w:w="1694" w:type="dxa"/>
                  <w:vAlign w:val="center"/>
                </w:tcPr>
                <w:p w14:paraId="50DFE05A">
                  <w:pPr>
                    <w:pStyle w:val="22"/>
                    <w:kinsoku/>
                    <w:spacing w:before="169" w:line="228" w:lineRule="auto"/>
                    <w:jc w:val="center"/>
                    <w:rPr>
                      <w:rFonts w:ascii="Times New Roman" w:hAnsi="Times New Roman" w:cs="Times New Roman"/>
                      <w:color w:val="auto"/>
                      <w:sz w:val="21"/>
                      <w:szCs w:val="21"/>
                      <w:highlight w:val="none"/>
                    </w:rPr>
                  </w:pPr>
                  <w:r>
                    <w:rPr>
                      <w:rFonts w:ascii="Times New Roman" w:hAnsi="Times New Roman" w:cs="Times New Roman"/>
                      <w:color w:val="auto"/>
                      <w:spacing w:val="6"/>
                      <w:sz w:val="21"/>
                      <w:szCs w:val="21"/>
                      <w:highlight w:val="none"/>
                    </w:rPr>
                    <w:t>石油烃</w:t>
                  </w:r>
                </w:p>
              </w:tc>
              <w:tc>
                <w:tcPr>
                  <w:tcW w:w="2240" w:type="dxa"/>
                  <w:vAlign w:val="center"/>
                </w:tcPr>
                <w:p w14:paraId="37AEB629">
                  <w:pPr>
                    <w:pStyle w:val="22"/>
                    <w:kinsoku/>
                    <w:spacing w:before="169" w:line="228" w:lineRule="auto"/>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井场周边50m、100m各1个点</w:t>
                  </w:r>
                </w:p>
              </w:tc>
              <w:tc>
                <w:tcPr>
                  <w:tcW w:w="1580" w:type="dxa"/>
                  <w:vAlign w:val="center"/>
                </w:tcPr>
                <w:p w14:paraId="448F1817">
                  <w:pPr>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完井后</w:t>
                  </w:r>
                </w:p>
              </w:tc>
            </w:tr>
          </w:tbl>
          <w:p w14:paraId="399F4343">
            <w:pPr>
              <w:pStyle w:val="26"/>
              <w:widowControl w:val="0"/>
              <w:kinsoku/>
              <w:ind w:firstLine="0" w:firstLineChars="0"/>
              <w:jc w:val="both"/>
              <w:rPr>
                <w:rFonts w:ascii="Times New Roman" w:hAnsi="Times New Roman" w:eastAsia="宋体" w:cs="Times New Roman"/>
                <w:color w:val="auto"/>
                <w:highlight w:val="none"/>
                <w:lang w:eastAsia="zh-CN"/>
              </w:rPr>
            </w:pPr>
          </w:p>
        </w:tc>
      </w:tr>
      <w:tr w14:paraId="727E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3" w:hRule="atLeast"/>
          <w:jc w:val="center"/>
        </w:trPr>
        <w:tc>
          <w:tcPr>
            <w:tcW w:w="271" w:type="pct"/>
            <w:vAlign w:val="center"/>
          </w:tcPr>
          <w:p w14:paraId="28463F4E">
            <w:pPr>
              <w:widowControl w:val="0"/>
              <w:kinsoku/>
              <w:jc w:val="center"/>
              <w:rPr>
                <w:rFonts w:ascii="Times New Roman" w:hAnsi="Times New Roman" w:eastAsia="宋体" w:cs="Times New Roman"/>
                <w:color w:val="auto"/>
                <w:highlight w:val="none"/>
              </w:rPr>
            </w:pPr>
            <w:r>
              <w:rPr>
                <w:rFonts w:ascii="Times New Roman" w:hAnsi="Times New Roman" w:eastAsia="宋体" w:cs="Times New Roman"/>
                <w:bCs/>
                <w:color w:val="auto"/>
                <w:sz w:val="24"/>
                <w:szCs w:val="24"/>
                <w:highlight w:val="none"/>
              </w:rPr>
              <w:t>环保投资</w:t>
            </w:r>
          </w:p>
        </w:tc>
        <w:tc>
          <w:tcPr>
            <w:tcW w:w="4728" w:type="pct"/>
            <w:vAlign w:val="center"/>
          </w:tcPr>
          <w:p w14:paraId="29F76ADB">
            <w:pPr>
              <w:widowControl w:val="0"/>
              <w:kinsoku/>
              <w:spacing w:line="500" w:lineRule="exact"/>
              <w:ind w:firstLine="480" w:firstLineChars="200"/>
              <w:jc w:val="both"/>
              <w:rPr>
                <w:rFonts w:ascii="Times New Roman" w:hAnsi="Times New Roman" w:eastAsia="宋体" w:cs="Times New Roman"/>
                <w:color w:val="auto"/>
                <w:sz w:val="24"/>
                <w:szCs w:val="24"/>
                <w:highlight w:val="none"/>
                <w:lang w:eastAsia="zh-CN"/>
              </w:rPr>
            </w:pPr>
            <w:bookmarkStart w:id="44" w:name="_Hlk136795979"/>
            <w:r>
              <w:rPr>
                <w:rFonts w:ascii="Times New Roman" w:hAnsi="Times New Roman" w:eastAsia="宋体" w:cs="Times New Roman"/>
                <w:color w:val="auto"/>
                <w:sz w:val="24"/>
                <w:szCs w:val="24"/>
                <w:highlight w:val="none"/>
                <w:lang w:eastAsia="zh-CN"/>
              </w:rPr>
              <w:t>项目总投资3851.7万元，其中环保投资128万元，占工程总投资的3.32%。环保投资详见表5-4。</w:t>
            </w:r>
          </w:p>
          <w:p w14:paraId="13CB0D08">
            <w:pPr>
              <w:pStyle w:val="6"/>
              <w:widowControl w:val="0"/>
              <w:kinsoku/>
              <w:spacing w:line="240" w:lineRule="auto"/>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表5-4 环保投资一览表</w:t>
            </w:r>
          </w:p>
          <w:bookmarkEnd w:id="44"/>
          <w:tbl>
            <w:tblPr>
              <w:tblStyle w:val="15"/>
              <w:tblW w:w="83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626"/>
              <w:gridCol w:w="4718"/>
              <w:gridCol w:w="966"/>
              <w:gridCol w:w="558"/>
            </w:tblGrid>
            <w:tr w14:paraId="5DD36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273" w:type="pct"/>
                  <w:gridSpan w:val="2"/>
                  <w:tcBorders>
                    <w:top w:val="single" w:color="auto" w:sz="4" w:space="0"/>
                    <w:left w:val="single" w:color="auto" w:sz="0" w:space="0"/>
                  </w:tcBorders>
                  <w:tcMar>
                    <w:left w:w="0" w:type="dxa"/>
                    <w:right w:w="0" w:type="dxa"/>
                  </w:tcMar>
                  <w:vAlign w:val="center"/>
                </w:tcPr>
                <w:p w14:paraId="6FBFAB98">
                  <w:pPr>
                    <w:kinsoku/>
                    <w:spacing w:line="30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工程名称</w:t>
                  </w:r>
                </w:p>
              </w:tc>
              <w:tc>
                <w:tcPr>
                  <w:tcW w:w="2816" w:type="pct"/>
                  <w:tcBorders>
                    <w:top w:val="single" w:color="auto" w:sz="4" w:space="0"/>
                  </w:tcBorders>
                  <w:tcMar>
                    <w:left w:w="0" w:type="dxa"/>
                    <w:right w:w="0" w:type="dxa"/>
                  </w:tcMar>
                  <w:vAlign w:val="center"/>
                </w:tcPr>
                <w:p w14:paraId="2726CF32">
                  <w:pPr>
                    <w:kinsoku/>
                    <w:spacing w:line="300" w:lineRule="exact"/>
                    <w:jc w:val="center"/>
                    <w:rPr>
                      <w:rFonts w:ascii="Times New Roman" w:hAnsi="Times New Roman" w:eastAsia="宋体" w:cs="Times New Roman"/>
                      <w:b/>
                      <w:bCs/>
                      <w:color w:val="auto"/>
                      <w:highlight w:val="none"/>
                      <w:lang w:eastAsia="zh-CN"/>
                    </w:rPr>
                  </w:pPr>
                  <w:r>
                    <w:rPr>
                      <w:rFonts w:ascii="Times New Roman" w:hAnsi="Times New Roman" w:eastAsia="宋体" w:cs="Times New Roman"/>
                      <w:b/>
                      <w:bCs/>
                      <w:color w:val="auto"/>
                      <w:highlight w:val="none"/>
                      <w:lang w:eastAsia="zh-CN"/>
                    </w:rPr>
                    <w:t>拟采取的环保措施</w:t>
                  </w:r>
                </w:p>
              </w:tc>
              <w:tc>
                <w:tcPr>
                  <w:tcW w:w="577" w:type="pct"/>
                  <w:tcBorders>
                    <w:top w:val="single" w:color="auto" w:sz="4" w:space="0"/>
                  </w:tcBorders>
                  <w:tcMar>
                    <w:left w:w="0" w:type="dxa"/>
                    <w:right w:w="0" w:type="dxa"/>
                  </w:tcMar>
                  <w:vAlign w:val="center"/>
                </w:tcPr>
                <w:p w14:paraId="16E77713">
                  <w:pPr>
                    <w:kinsoku/>
                    <w:spacing w:line="30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环保投资</w:t>
                  </w:r>
                </w:p>
                <w:p w14:paraId="48CFD970">
                  <w:pPr>
                    <w:kinsoku/>
                    <w:spacing w:line="30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（万元）</w:t>
                  </w:r>
                </w:p>
              </w:tc>
              <w:tc>
                <w:tcPr>
                  <w:tcW w:w="333" w:type="pct"/>
                  <w:tcBorders>
                    <w:top w:val="single" w:color="auto" w:sz="4" w:space="0"/>
                    <w:right w:val="single" w:color="auto" w:sz="4" w:space="0"/>
                  </w:tcBorders>
                  <w:tcMar>
                    <w:left w:w="0" w:type="dxa"/>
                    <w:right w:w="0" w:type="dxa"/>
                  </w:tcMar>
                  <w:vAlign w:val="center"/>
                </w:tcPr>
                <w:p w14:paraId="68D566BE">
                  <w:pPr>
                    <w:kinsoku/>
                    <w:spacing w:line="30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实施时间</w:t>
                  </w:r>
                </w:p>
              </w:tc>
            </w:tr>
            <w:tr w14:paraId="081E5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02" w:type="pct"/>
                  <w:vMerge w:val="restart"/>
                  <w:tcBorders>
                    <w:left w:val="single" w:color="auto" w:sz="4" w:space="0"/>
                  </w:tcBorders>
                  <w:tcMar>
                    <w:left w:w="0" w:type="dxa"/>
                    <w:right w:w="0" w:type="dxa"/>
                  </w:tcMar>
                  <w:vAlign w:val="center"/>
                </w:tcPr>
                <w:p w14:paraId="11CA695D">
                  <w:pPr>
                    <w:kinsoku/>
                    <w:spacing w:line="300" w:lineRule="exact"/>
                    <w:jc w:val="center"/>
                    <w:rPr>
                      <w:rFonts w:ascii="Times New Roman" w:hAnsi="Times New Roman" w:eastAsia="宋体" w:cs="Times New Roman"/>
                      <w:color w:val="auto"/>
                      <w:highlight w:val="none"/>
                    </w:rPr>
                  </w:pPr>
                  <w:bookmarkStart w:id="45" w:name="_Hlk180059680"/>
                  <w:r>
                    <w:rPr>
                      <w:rFonts w:ascii="Times New Roman" w:hAnsi="Times New Roman" w:eastAsia="宋体" w:cs="Times New Roman"/>
                      <w:color w:val="auto"/>
                      <w:highlight w:val="none"/>
                    </w:rPr>
                    <w:t>废气</w:t>
                  </w:r>
                </w:p>
              </w:tc>
              <w:tc>
                <w:tcPr>
                  <w:tcW w:w="971" w:type="pct"/>
                  <w:vAlign w:val="center"/>
                </w:tcPr>
                <w:p w14:paraId="1D38DBD2">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试油伴生气</w:t>
                  </w:r>
                </w:p>
              </w:tc>
              <w:tc>
                <w:tcPr>
                  <w:tcW w:w="2816" w:type="pct"/>
                  <w:tcMar>
                    <w:left w:w="0" w:type="dxa"/>
                    <w:right w:w="0" w:type="dxa"/>
                  </w:tcMar>
                  <w:vAlign w:val="center"/>
                </w:tcPr>
                <w:p w14:paraId="2955C242">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经排气管线充分燃烧后排放。</w:t>
                  </w:r>
                </w:p>
              </w:tc>
              <w:tc>
                <w:tcPr>
                  <w:tcW w:w="577" w:type="pct"/>
                  <w:tcMar>
                    <w:left w:w="0" w:type="dxa"/>
                    <w:right w:w="0" w:type="dxa"/>
                  </w:tcMar>
                  <w:vAlign w:val="center"/>
                </w:tcPr>
                <w:p w14:paraId="5A0A35F1">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8</w:t>
                  </w:r>
                </w:p>
              </w:tc>
              <w:tc>
                <w:tcPr>
                  <w:tcW w:w="333" w:type="pct"/>
                  <w:vMerge w:val="restart"/>
                  <w:tcBorders>
                    <w:right w:val="single" w:color="auto" w:sz="4" w:space="0"/>
                  </w:tcBorders>
                  <w:tcMar>
                    <w:left w:w="0" w:type="dxa"/>
                    <w:right w:w="0" w:type="dxa"/>
                  </w:tcMar>
                  <w:vAlign w:val="center"/>
                </w:tcPr>
                <w:p w14:paraId="54C441D4">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与钻井、试油期同步</w:t>
                  </w:r>
                </w:p>
              </w:tc>
            </w:tr>
            <w:tr w14:paraId="0326C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2" w:type="pct"/>
                  <w:vMerge w:val="continue"/>
                  <w:tcBorders>
                    <w:left w:val="single" w:color="auto" w:sz="4" w:space="0"/>
                  </w:tcBorders>
                  <w:tcMar>
                    <w:left w:w="0" w:type="dxa"/>
                    <w:right w:w="0" w:type="dxa"/>
                  </w:tcMar>
                  <w:vAlign w:val="center"/>
                </w:tcPr>
                <w:p w14:paraId="0ECAC59E">
                  <w:pPr>
                    <w:kinsoku/>
                    <w:spacing w:line="300" w:lineRule="exact"/>
                    <w:jc w:val="center"/>
                    <w:rPr>
                      <w:rFonts w:ascii="Times New Roman" w:hAnsi="Times New Roman" w:eastAsia="宋体" w:cs="Times New Roman"/>
                      <w:color w:val="auto"/>
                      <w:highlight w:val="none"/>
                    </w:rPr>
                  </w:pPr>
                </w:p>
              </w:tc>
              <w:tc>
                <w:tcPr>
                  <w:tcW w:w="971" w:type="pct"/>
                  <w:vAlign w:val="center"/>
                </w:tcPr>
                <w:p w14:paraId="140BEF1B">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施工扬尘</w:t>
                  </w:r>
                </w:p>
              </w:tc>
              <w:tc>
                <w:tcPr>
                  <w:tcW w:w="2816" w:type="pct"/>
                  <w:tcMar>
                    <w:left w:w="0" w:type="dxa"/>
                    <w:right w:w="0" w:type="dxa"/>
                  </w:tcMar>
                  <w:vAlign w:val="center"/>
                </w:tcPr>
                <w:p w14:paraId="28E094D5">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采取易起尘物料进行遮盖、加强车辆管理等措施。</w:t>
                  </w:r>
                </w:p>
              </w:tc>
              <w:tc>
                <w:tcPr>
                  <w:tcW w:w="577" w:type="pct"/>
                  <w:tcMar>
                    <w:left w:w="0" w:type="dxa"/>
                    <w:right w:w="0" w:type="dxa"/>
                  </w:tcMar>
                  <w:vAlign w:val="center"/>
                </w:tcPr>
                <w:p w14:paraId="4ABA87CB">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8</w:t>
                  </w:r>
                </w:p>
              </w:tc>
              <w:tc>
                <w:tcPr>
                  <w:tcW w:w="333" w:type="pct"/>
                  <w:vMerge w:val="continue"/>
                  <w:tcBorders>
                    <w:right w:val="single" w:color="auto" w:sz="4" w:space="0"/>
                  </w:tcBorders>
                  <w:tcMar>
                    <w:left w:w="0" w:type="dxa"/>
                    <w:right w:w="0" w:type="dxa"/>
                  </w:tcMar>
                  <w:vAlign w:val="center"/>
                </w:tcPr>
                <w:p w14:paraId="70F85D78">
                  <w:pPr>
                    <w:kinsoku/>
                    <w:spacing w:line="300" w:lineRule="exact"/>
                    <w:jc w:val="center"/>
                    <w:rPr>
                      <w:rFonts w:ascii="Times New Roman" w:hAnsi="Times New Roman" w:eastAsia="宋体" w:cs="Times New Roman"/>
                      <w:color w:val="auto"/>
                      <w:highlight w:val="none"/>
                    </w:rPr>
                  </w:pPr>
                </w:p>
              </w:tc>
            </w:tr>
            <w:tr w14:paraId="67EB9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2" w:type="pct"/>
                  <w:vMerge w:val="restart"/>
                  <w:tcBorders>
                    <w:left w:val="single" w:color="auto" w:sz="4" w:space="0"/>
                  </w:tcBorders>
                  <w:tcMar>
                    <w:left w:w="0" w:type="dxa"/>
                    <w:right w:w="0" w:type="dxa"/>
                  </w:tcMar>
                  <w:vAlign w:val="center"/>
                </w:tcPr>
                <w:p w14:paraId="0183B5FF">
                  <w:pPr>
                    <w:kinsoku/>
                    <w:spacing w:line="300" w:lineRule="exact"/>
                    <w:jc w:val="center"/>
                    <w:rPr>
                      <w:rFonts w:ascii="Times New Roman" w:hAnsi="Times New Roman" w:eastAsia="宋体" w:cs="Times New Roman"/>
                      <w:color w:val="auto"/>
                      <w:highlight w:val="none"/>
                    </w:rPr>
                  </w:pPr>
                  <w:bookmarkStart w:id="46" w:name="_Hlk189405565"/>
                  <w:r>
                    <w:rPr>
                      <w:rFonts w:ascii="Times New Roman" w:hAnsi="Times New Roman" w:eastAsia="宋体" w:cs="Times New Roman"/>
                      <w:color w:val="auto"/>
                      <w:highlight w:val="none"/>
                    </w:rPr>
                    <w:t>废水处理</w:t>
                  </w:r>
                </w:p>
              </w:tc>
              <w:tc>
                <w:tcPr>
                  <w:tcW w:w="971" w:type="pct"/>
                  <w:tcMar>
                    <w:left w:w="0" w:type="dxa"/>
                    <w:right w:w="0" w:type="dxa"/>
                  </w:tcMar>
                  <w:vAlign w:val="center"/>
                </w:tcPr>
                <w:p w14:paraId="34E9A126">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洗井废水、压裂返排液</w:t>
                  </w:r>
                </w:p>
              </w:tc>
              <w:tc>
                <w:tcPr>
                  <w:tcW w:w="2816" w:type="pct"/>
                  <w:tcMar>
                    <w:left w:w="0" w:type="dxa"/>
                    <w:right w:w="0" w:type="dxa"/>
                  </w:tcMar>
                  <w:vAlign w:val="center"/>
                </w:tcPr>
                <w:p w14:paraId="01D81169">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由地面储罐收集后，依托吉28脱水站处理后回注。</w:t>
                  </w:r>
                </w:p>
              </w:tc>
              <w:tc>
                <w:tcPr>
                  <w:tcW w:w="577" w:type="pct"/>
                  <w:tcMar>
                    <w:left w:w="0" w:type="dxa"/>
                    <w:right w:w="0" w:type="dxa"/>
                  </w:tcMar>
                  <w:vAlign w:val="center"/>
                </w:tcPr>
                <w:p w14:paraId="59208AF9">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14</w:t>
                  </w:r>
                </w:p>
              </w:tc>
              <w:tc>
                <w:tcPr>
                  <w:tcW w:w="333" w:type="pct"/>
                  <w:vMerge w:val="continue"/>
                  <w:tcBorders>
                    <w:right w:val="single" w:color="auto" w:sz="4" w:space="0"/>
                  </w:tcBorders>
                  <w:tcMar>
                    <w:left w:w="0" w:type="dxa"/>
                    <w:right w:w="0" w:type="dxa"/>
                  </w:tcMar>
                  <w:vAlign w:val="center"/>
                </w:tcPr>
                <w:p w14:paraId="50805FE4">
                  <w:pPr>
                    <w:kinsoku/>
                    <w:spacing w:line="300" w:lineRule="exact"/>
                    <w:jc w:val="center"/>
                    <w:rPr>
                      <w:rFonts w:ascii="Times New Roman" w:hAnsi="Times New Roman" w:eastAsia="宋体" w:cs="Times New Roman"/>
                      <w:color w:val="auto"/>
                      <w:highlight w:val="none"/>
                    </w:rPr>
                  </w:pPr>
                </w:p>
              </w:tc>
            </w:tr>
            <w:bookmarkEnd w:id="46"/>
            <w:tr w14:paraId="26DD1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02" w:type="pct"/>
                  <w:vMerge w:val="continue"/>
                  <w:tcBorders>
                    <w:left w:val="single" w:color="auto" w:sz="4" w:space="0"/>
                  </w:tcBorders>
                  <w:tcMar>
                    <w:left w:w="0" w:type="dxa"/>
                    <w:right w:w="0" w:type="dxa"/>
                  </w:tcMar>
                  <w:vAlign w:val="center"/>
                </w:tcPr>
                <w:p w14:paraId="53F6C351">
                  <w:pPr>
                    <w:kinsoku/>
                    <w:spacing w:line="300" w:lineRule="exact"/>
                    <w:jc w:val="center"/>
                    <w:rPr>
                      <w:rFonts w:ascii="Times New Roman" w:hAnsi="Times New Roman" w:eastAsia="宋体" w:cs="Times New Roman"/>
                      <w:color w:val="auto"/>
                      <w:highlight w:val="none"/>
                    </w:rPr>
                  </w:pPr>
                </w:p>
              </w:tc>
              <w:tc>
                <w:tcPr>
                  <w:tcW w:w="971" w:type="pct"/>
                  <w:tcMar>
                    <w:left w:w="0" w:type="dxa"/>
                    <w:right w:w="0" w:type="dxa"/>
                  </w:tcMar>
                  <w:vAlign w:val="center"/>
                </w:tcPr>
                <w:p w14:paraId="3CAFCD99">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生活污水</w:t>
                  </w:r>
                </w:p>
              </w:tc>
              <w:tc>
                <w:tcPr>
                  <w:tcW w:w="2816" w:type="pct"/>
                  <w:tcMar>
                    <w:left w:w="0" w:type="dxa"/>
                    <w:right w:w="0" w:type="dxa"/>
                  </w:tcMar>
                  <w:vAlign w:val="center"/>
                </w:tcPr>
                <w:p w14:paraId="3F6F31E3">
                  <w:pPr>
                    <w:kinsoku/>
                    <w:spacing w:line="300" w:lineRule="exact"/>
                    <w:jc w:val="center"/>
                    <w:rPr>
                      <w:rFonts w:ascii="Times New Roman" w:hAnsi="Times New Roman" w:eastAsia="宋体" w:cs="Times New Roman"/>
                      <w:color w:val="auto"/>
                      <w:highlight w:val="none"/>
                      <w:lang w:eastAsia="zh-CN"/>
                    </w:rPr>
                  </w:pPr>
                  <w:bookmarkStart w:id="47" w:name="_Hlk189405579"/>
                  <w:r>
                    <w:rPr>
                      <w:rFonts w:ascii="Times New Roman" w:hAnsi="Times New Roman" w:eastAsia="宋体" w:cs="Times New Roman"/>
                      <w:color w:val="auto"/>
                      <w:highlight w:val="none"/>
                      <w:lang w:eastAsia="zh-CN"/>
                    </w:rPr>
                    <w:t>设临时防渗收集池收集暂存，定期由施工队采用吸污车抽出并拉运至吉木萨尔县城污水处理厂处理</w:t>
                  </w:r>
                  <w:bookmarkEnd w:id="47"/>
                  <w:r>
                    <w:rPr>
                      <w:rFonts w:ascii="Times New Roman" w:hAnsi="Times New Roman" w:eastAsia="宋体" w:cs="Times New Roman"/>
                      <w:color w:val="auto"/>
                      <w:highlight w:val="none"/>
                      <w:lang w:eastAsia="zh-CN"/>
                    </w:rPr>
                    <w:t>。</w:t>
                  </w:r>
                </w:p>
              </w:tc>
              <w:tc>
                <w:tcPr>
                  <w:tcW w:w="577" w:type="pct"/>
                  <w:tcMar>
                    <w:left w:w="0" w:type="dxa"/>
                    <w:right w:w="0" w:type="dxa"/>
                  </w:tcMar>
                  <w:vAlign w:val="center"/>
                </w:tcPr>
                <w:p w14:paraId="27D999FF">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10</w:t>
                  </w:r>
                </w:p>
              </w:tc>
              <w:tc>
                <w:tcPr>
                  <w:tcW w:w="333" w:type="pct"/>
                  <w:vMerge w:val="continue"/>
                  <w:tcBorders>
                    <w:right w:val="single" w:color="auto" w:sz="4" w:space="0"/>
                  </w:tcBorders>
                  <w:tcMar>
                    <w:left w:w="0" w:type="dxa"/>
                    <w:right w:w="0" w:type="dxa"/>
                  </w:tcMar>
                  <w:vAlign w:val="center"/>
                </w:tcPr>
                <w:p w14:paraId="61F59EE1">
                  <w:pPr>
                    <w:kinsoku/>
                    <w:spacing w:line="300" w:lineRule="exact"/>
                    <w:jc w:val="center"/>
                    <w:rPr>
                      <w:rFonts w:ascii="Times New Roman" w:hAnsi="Times New Roman" w:eastAsia="宋体" w:cs="Times New Roman"/>
                      <w:color w:val="auto"/>
                      <w:highlight w:val="none"/>
                    </w:rPr>
                  </w:pPr>
                </w:p>
              </w:tc>
            </w:tr>
            <w:tr w14:paraId="2AC3F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2" w:type="pct"/>
                  <w:vMerge w:val="restart"/>
                  <w:tcBorders>
                    <w:left w:val="single" w:color="auto" w:sz="4" w:space="0"/>
                  </w:tcBorders>
                  <w:tcMar>
                    <w:left w:w="0" w:type="dxa"/>
                    <w:right w:w="0" w:type="dxa"/>
                  </w:tcMar>
                  <w:vAlign w:val="center"/>
                </w:tcPr>
                <w:p w14:paraId="0AB0254A">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固废处置</w:t>
                  </w:r>
                </w:p>
              </w:tc>
              <w:tc>
                <w:tcPr>
                  <w:tcW w:w="971" w:type="pct"/>
                  <w:tcMar>
                    <w:left w:w="0" w:type="dxa"/>
                    <w:right w:w="0" w:type="dxa"/>
                  </w:tcMar>
                  <w:vAlign w:val="center"/>
                </w:tcPr>
                <w:p w14:paraId="22933524">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生活垃圾</w:t>
                  </w:r>
                </w:p>
              </w:tc>
              <w:tc>
                <w:tcPr>
                  <w:tcW w:w="2816" w:type="pct"/>
                  <w:tcMar>
                    <w:left w:w="0" w:type="dxa"/>
                    <w:right w:w="0" w:type="dxa"/>
                  </w:tcMar>
                  <w:vAlign w:val="center"/>
                </w:tcPr>
                <w:p w14:paraId="046A74D5">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设有垃圾箱集中收集，委托第三方拉运至当地垃圾场处理。</w:t>
                  </w:r>
                </w:p>
              </w:tc>
              <w:tc>
                <w:tcPr>
                  <w:tcW w:w="577" w:type="pct"/>
                  <w:tcMar>
                    <w:left w:w="0" w:type="dxa"/>
                    <w:right w:w="0" w:type="dxa"/>
                  </w:tcMar>
                  <w:vAlign w:val="center"/>
                </w:tcPr>
                <w:p w14:paraId="0310BF30">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8</w:t>
                  </w:r>
                </w:p>
              </w:tc>
              <w:tc>
                <w:tcPr>
                  <w:tcW w:w="333" w:type="pct"/>
                  <w:vMerge w:val="continue"/>
                  <w:tcBorders>
                    <w:right w:val="single" w:color="auto" w:sz="4" w:space="0"/>
                  </w:tcBorders>
                  <w:tcMar>
                    <w:left w:w="0" w:type="dxa"/>
                    <w:right w:w="0" w:type="dxa"/>
                  </w:tcMar>
                  <w:vAlign w:val="center"/>
                </w:tcPr>
                <w:p w14:paraId="34834392">
                  <w:pPr>
                    <w:kinsoku/>
                    <w:spacing w:line="300" w:lineRule="exact"/>
                    <w:jc w:val="center"/>
                    <w:rPr>
                      <w:rFonts w:ascii="Times New Roman" w:hAnsi="Times New Roman" w:eastAsia="宋体" w:cs="Times New Roman"/>
                      <w:color w:val="auto"/>
                      <w:highlight w:val="none"/>
                    </w:rPr>
                  </w:pPr>
                </w:p>
              </w:tc>
            </w:tr>
            <w:tr w14:paraId="6BFE3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02" w:type="pct"/>
                  <w:vMerge w:val="continue"/>
                  <w:tcBorders>
                    <w:left w:val="single" w:color="auto" w:sz="4" w:space="0"/>
                  </w:tcBorders>
                  <w:tcMar>
                    <w:left w:w="0" w:type="dxa"/>
                    <w:right w:w="0" w:type="dxa"/>
                  </w:tcMar>
                  <w:vAlign w:val="center"/>
                </w:tcPr>
                <w:p w14:paraId="3AA1DEF2">
                  <w:pPr>
                    <w:kinsoku/>
                    <w:spacing w:line="300" w:lineRule="exact"/>
                    <w:jc w:val="center"/>
                    <w:rPr>
                      <w:rFonts w:ascii="Times New Roman" w:hAnsi="Times New Roman" w:eastAsia="宋体" w:cs="Times New Roman"/>
                      <w:color w:val="auto"/>
                      <w:highlight w:val="none"/>
                    </w:rPr>
                  </w:pPr>
                </w:p>
              </w:tc>
              <w:tc>
                <w:tcPr>
                  <w:tcW w:w="971" w:type="pct"/>
                  <w:tcMar>
                    <w:left w:w="0" w:type="dxa"/>
                    <w:right w:w="0" w:type="dxa"/>
                  </w:tcMar>
                  <w:vAlign w:val="center"/>
                </w:tcPr>
                <w:p w14:paraId="6EF2BFB4">
                  <w:pPr>
                    <w:kinsoku/>
                    <w:spacing w:line="300" w:lineRule="exact"/>
                    <w:jc w:val="center"/>
                    <w:rPr>
                      <w:rFonts w:ascii="Times New Roman" w:hAnsi="Times New Roman" w:eastAsia="宋体" w:cs="Times New Roman"/>
                      <w:color w:val="auto"/>
                      <w:highlight w:val="none"/>
                    </w:rPr>
                  </w:pPr>
                  <w:r>
                    <w:rPr>
                      <w:rFonts w:ascii="Times New Roman" w:hAnsi="Times New Roman" w:cs="Times New Roman" w:eastAsiaTheme="minorEastAsia"/>
                      <w:color w:val="auto"/>
                      <w:highlight w:val="none"/>
                    </w:rPr>
                    <w:t>钻井岩屑</w:t>
                  </w:r>
                </w:p>
              </w:tc>
              <w:tc>
                <w:tcPr>
                  <w:tcW w:w="2816" w:type="pct"/>
                  <w:tcMar>
                    <w:left w:w="0" w:type="dxa"/>
                    <w:right w:w="0" w:type="dxa"/>
                  </w:tcMar>
                  <w:vAlign w:val="center"/>
                </w:tcPr>
                <w:p w14:paraId="71B15BC4">
                  <w:pPr>
                    <w:kinsoku/>
                    <w:spacing w:line="300" w:lineRule="exact"/>
                    <w:jc w:val="center"/>
                    <w:rPr>
                      <w:rFonts w:ascii="Times New Roman" w:hAnsi="Times New Roman" w:cs="Times New Roman" w:eastAsiaTheme="minorEastAsia"/>
                      <w:color w:val="auto"/>
                      <w:highlight w:val="none"/>
                      <w:lang w:eastAsia="zh-CN"/>
                    </w:rPr>
                  </w:pPr>
                  <w:r>
                    <w:rPr>
                      <w:rFonts w:ascii="Times New Roman" w:hAnsi="Times New Roman" w:cs="Times New Roman" w:eastAsiaTheme="minorEastAsia"/>
                      <w:color w:val="auto"/>
                      <w:highlight w:val="none"/>
                      <w:lang w:eastAsia="zh-CN"/>
                    </w:rPr>
                    <w:t>钻井岩屑暂存于岩屑储罐中，钻井岩屑委托具有相应处置资质的单位处置。</w:t>
                  </w:r>
                </w:p>
              </w:tc>
              <w:tc>
                <w:tcPr>
                  <w:tcW w:w="577" w:type="pct"/>
                  <w:tcMar>
                    <w:left w:w="0" w:type="dxa"/>
                    <w:right w:w="0" w:type="dxa"/>
                  </w:tcMar>
                  <w:vAlign w:val="center"/>
                </w:tcPr>
                <w:p w14:paraId="3C1A6650">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38</w:t>
                  </w:r>
                </w:p>
              </w:tc>
              <w:tc>
                <w:tcPr>
                  <w:tcW w:w="333" w:type="pct"/>
                  <w:vMerge w:val="continue"/>
                  <w:tcBorders>
                    <w:right w:val="single" w:color="auto" w:sz="4" w:space="0"/>
                  </w:tcBorders>
                  <w:tcMar>
                    <w:left w:w="0" w:type="dxa"/>
                    <w:right w:w="0" w:type="dxa"/>
                  </w:tcMar>
                  <w:vAlign w:val="center"/>
                </w:tcPr>
                <w:p w14:paraId="5BD3EB7E">
                  <w:pPr>
                    <w:kinsoku/>
                    <w:spacing w:line="300" w:lineRule="exact"/>
                    <w:jc w:val="center"/>
                    <w:rPr>
                      <w:rFonts w:ascii="Times New Roman" w:hAnsi="Times New Roman" w:eastAsia="宋体" w:cs="Times New Roman"/>
                      <w:color w:val="auto"/>
                      <w:highlight w:val="none"/>
                    </w:rPr>
                  </w:pPr>
                </w:p>
              </w:tc>
            </w:tr>
            <w:tr w14:paraId="0C798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02" w:type="pct"/>
                  <w:vMerge w:val="continue"/>
                  <w:tcBorders>
                    <w:left w:val="single" w:color="auto" w:sz="4" w:space="0"/>
                  </w:tcBorders>
                  <w:tcMar>
                    <w:left w:w="0" w:type="dxa"/>
                    <w:right w:w="0" w:type="dxa"/>
                  </w:tcMar>
                  <w:vAlign w:val="center"/>
                </w:tcPr>
                <w:p w14:paraId="12BF37A0">
                  <w:pPr>
                    <w:kinsoku/>
                    <w:spacing w:line="300" w:lineRule="exact"/>
                    <w:jc w:val="center"/>
                    <w:rPr>
                      <w:rFonts w:ascii="Times New Roman" w:hAnsi="Times New Roman" w:eastAsia="宋体" w:cs="Times New Roman"/>
                      <w:color w:val="auto"/>
                      <w:highlight w:val="none"/>
                    </w:rPr>
                  </w:pPr>
                </w:p>
              </w:tc>
              <w:tc>
                <w:tcPr>
                  <w:tcW w:w="971" w:type="pct"/>
                  <w:vMerge w:val="restart"/>
                  <w:tcMar>
                    <w:left w:w="0" w:type="dxa"/>
                    <w:right w:w="0" w:type="dxa"/>
                  </w:tcMar>
                  <w:vAlign w:val="center"/>
                </w:tcPr>
                <w:p w14:paraId="4CC5BE08">
                  <w:pPr>
                    <w:kinsoku/>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bidi="ar"/>
                    </w:rPr>
                    <w:t>落地油、</w:t>
                  </w:r>
                  <w:r>
                    <w:rPr>
                      <w:rFonts w:ascii="Times New Roman" w:hAnsi="Times New Roman" w:eastAsia="宋体" w:cs="Times New Roman"/>
                      <w:color w:val="auto"/>
                      <w:highlight w:val="none"/>
                      <w:lang w:eastAsia="zh-CN"/>
                    </w:rPr>
                    <w:t>机械设备废油、废润滑油、废润滑油桶、废防渗材料等</w:t>
                  </w:r>
                </w:p>
              </w:tc>
              <w:tc>
                <w:tcPr>
                  <w:tcW w:w="2816" w:type="pct"/>
                  <w:tcMar>
                    <w:left w:w="0" w:type="dxa"/>
                    <w:right w:w="0" w:type="dxa"/>
                  </w:tcMar>
                  <w:vAlign w:val="center"/>
                </w:tcPr>
                <w:p w14:paraId="591808A1">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各钻井井场设置1座危险废物贮存点</w:t>
                  </w:r>
                </w:p>
              </w:tc>
              <w:tc>
                <w:tcPr>
                  <w:tcW w:w="577" w:type="pct"/>
                  <w:tcMar>
                    <w:left w:w="0" w:type="dxa"/>
                    <w:right w:w="0" w:type="dxa"/>
                  </w:tcMar>
                  <w:vAlign w:val="center"/>
                </w:tcPr>
                <w:p w14:paraId="0A0FEC85">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5</w:t>
                  </w:r>
                </w:p>
              </w:tc>
              <w:tc>
                <w:tcPr>
                  <w:tcW w:w="333" w:type="pct"/>
                  <w:vMerge w:val="continue"/>
                  <w:tcBorders>
                    <w:right w:val="single" w:color="auto" w:sz="4" w:space="0"/>
                  </w:tcBorders>
                  <w:tcMar>
                    <w:left w:w="0" w:type="dxa"/>
                    <w:right w:w="0" w:type="dxa"/>
                  </w:tcMar>
                  <w:vAlign w:val="center"/>
                </w:tcPr>
                <w:p w14:paraId="1FF1709A">
                  <w:pPr>
                    <w:kinsoku/>
                    <w:spacing w:line="300" w:lineRule="exact"/>
                    <w:jc w:val="center"/>
                    <w:rPr>
                      <w:rFonts w:ascii="Times New Roman" w:hAnsi="Times New Roman" w:eastAsia="宋体" w:cs="Times New Roman"/>
                      <w:color w:val="auto"/>
                      <w:highlight w:val="none"/>
                    </w:rPr>
                  </w:pPr>
                </w:p>
              </w:tc>
            </w:tr>
            <w:tr w14:paraId="758FE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02" w:type="pct"/>
                  <w:vMerge w:val="continue"/>
                  <w:tcBorders>
                    <w:left w:val="single" w:color="auto" w:sz="4" w:space="0"/>
                  </w:tcBorders>
                  <w:tcMar>
                    <w:left w:w="0" w:type="dxa"/>
                    <w:right w:w="0" w:type="dxa"/>
                  </w:tcMar>
                  <w:vAlign w:val="center"/>
                </w:tcPr>
                <w:p w14:paraId="2D14E2D2">
                  <w:pPr>
                    <w:kinsoku/>
                    <w:spacing w:line="300" w:lineRule="exact"/>
                    <w:jc w:val="center"/>
                    <w:rPr>
                      <w:rFonts w:ascii="Times New Roman" w:hAnsi="Times New Roman" w:cs="Times New Roman"/>
                      <w:color w:val="auto"/>
                      <w:highlight w:val="none"/>
                    </w:rPr>
                  </w:pPr>
                </w:p>
              </w:tc>
              <w:tc>
                <w:tcPr>
                  <w:tcW w:w="971" w:type="pct"/>
                  <w:vMerge w:val="continue"/>
                  <w:tcMar>
                    <w:left w:w="0" w:type="dxa"/>
                    <w:right w:w="0" w:type="dxa"/>
                  </w:tcMar>
                  <w:vAlign w:val="center"/>
                </w:tcPr>
                <w:p w14:paraId="154E4B76">
                  <w:pPr>
                    <w:kinsoku/>
                    <w:spacing w:line="300" w:lineRule="exact"/>
                    <w:jc w:val="center"/>
                    <w:rPr>
                      <w:rFonts w:ascii="Times New Roman" w:hAnsi="Times New Roman" w:cs="Times New Roman"/>
                      <w:color w:val="auto"/>
                      <w:highlight w:val="none"/>
                    </w:rPr>
                  </w:pPr>
                </w:p>
              </w:tc>
              <w:tc>
                <w:tcPr>
                  <w:tcW w:w="2816" w:type="pct"/>
                  <w:tcMar>
                    <w:left w:w="0" w:type="dxa"/>
                    <w:right w:w="0" w:type="dxa"/>
                  </w:tcMar>
                  <w:vAlign w:val="center"/>
                </w:tcPr>
                <w:p w14:paraId="77B1B80B">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用于施工过程中产生的沾油废防渗材料、废润滑油及废润滑油桶的暂存，各类危险废物定期交由具有相应危险废物处置资质的单位进行接收、转运和处置。</w:t>
                  </w:r>
                </w:p>
              </w:tc>
              <w:tc>
                <w:tcPr>
                  <w:tcW w:w="577" w:type="pct"/>
                  <w:tcMar>
                    <w:left w:w="0" w:type="dxa"/>
                    <w:right w:w="0" w:type="dxa"/>
                  </w:tcMar>
                  <w:vAlign w:val="center"/>
                </w:tcPr>
                <w:p w14:paraId="77EE7774">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lang w:eastAsia="zh-CN"/>
                    </w:rPr>
                    <w:t>15</w:t>
                  </w:r>
                </w:p>
              </w:tc>
              <w:tc>
                <w:tcPr>
                  <w:tcW w:w="333" w:type="pct"/>
                  <w:vMerge w:val="continue"/>
                  <w:tcBorders>
                    <w:right w:val="single" w:color="auto" w:sz="4" w:space="0"/>
                  </w:tcBorders>
                  <w:tcMar>
                    <w:left w:w="0" w:type="dxa"/>
                    <w:right w:w="0" w:type="dxa"/>
                  </w:tcMar>
                  <w:vAlign w:val="center"/>
                </w:tcPr>
                <w:p w14:paraId="126987EB">
                  <w:pPr>
                    <w:kinsoku/>
                    <w:spacing w:line="300" w:lineRule="exact"/>
                    <w:jc w:val="center"/>
                    <w:rPr>
                      <w:rFonts w:ascii="Times New Roman" w:hAnsi="Times New Roman" w:eastAsia="宋体" w:cs="Times New Roman"/>
                      <w:color w:val="auto"/>
                      <w:highlight w:val="none"/>
                    </w:rPr>
                  </w:pPr>
                </w:p>
              </w:tc>
            </w:tr>
            <w:bookmarkEnd w:id="45"/>
            <w:tr w14:paraId="6DEA7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73" w:type="pct"/>
                  <w:gridSpan w:val="2"/>
                  <w:tcBorders>
                    <w:left w:val="single" w:color="auto" w:sz="4" w:space="0"/>
                  </w:tcBorders>
                  <w:tcMar>
                    <w:left w:w="0" w:type="dxa"/>
                    <w:right w:w="0" w:type="dxa"/>
                  </w:tcMar>
                  <w:vAlign w:val="center"/>
                </w:tcPr>
                <w:p w14:paraId="2DEBA21C">
                  <w:pPr>
                    <w:kinsoku/>
                    <w:spacing w:line="300" w:lineRule="exact"/>
                    <w:jc w:val="center"/>
                    <w:rPr>
                      <w:rFonts w:ascii="Times New Roman" w:hAnsi="Times New Roman" w:eastAsia="宋体" w:cs="Times New Roman"/>
                      <w:color w:val="auto"/>
                      <w:highlight w:val="none"/>
                      <w:lang w:eastAsia="zh-CN"/>
                    </w:rPr>
                  </w:pPr>
                  <w:bookmarkStart w:id="48" w:name="_Hlk180059585"/>
                  <w:r>
                    <w:rPr>
                      <w:rFonts w:ascii="Times New Roman" w:hAnsi="Times New Roman" w:eastAsia="宋体" w:cs="Times New Roman"/>
                      <w:color w:val="auto"/>
                      <w:highlight w:val="none"/>
                    </w:rPr>
                    <w:t>生态</w:t>
                  </w:r>
                  <w:r>
                    <w:rPr>
                      <w:rFonts w:ascii="Times New Roman" w:hAnsi="Times New Roman" w:eastAsia="宋体" w:cs="Times New Roman"/>
                      <w:color w:val="auto"/>
                      <w:highlight w:val="none"/>
                      <w:lang w:eastAsia="zh-CN"/>
                    </w:rPr>
                    <w:t>恢复</w:t>
                  </w:r>
                </w:p>
              </w:tc>
              <w:tc>
                <w:tcPr>
                  <w:tcW w:w="2816" w:type="pct"/>
                  <w:tcMar>
                    <w:left w:w="0" w:type="dxa"/>
                    <w:right w:w="0" w:type="dxa"/>
                  </w:tcMar>
                  <w:vAlign w:val="center"/>
                </w:tcPr>
                <w:p w14:paraId="43B6DE38">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对临时占地清理、平整</w:t>
                  </w:r>
                </w:p>
              </w:tc>
              <w:tc>
                <w:tcPr>
                  <w:tcW w:w="577" w:type="pct"/>
                  <w:tcMar>
                    <w:left w:w="0" w:type="dxa"/>
                    <w:right w:w="0" w:type="dxa"/>
                  </w:tcMar>
                  <w:vAlign w:val="center"/>
                </w:tcPr>
                <w:p w14:paraId="5977E036">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10</w:t>
                  </w:r>
                </w:p>
              </w:tc>
              <w:tc>
                <w:tcPr>
                  <w:tcW w:w="333" w:type="pct"/>
                  <w:vMerge w:val="continue"/>
                  <w:tcBorders>
                    <w:right w:val="single" w:color="auto" w:sz="4" w:space="0"/>
                  </w:tcBorders>
                  <w:tcMar>
                    <w:left w:w="0" w:type="dxa"/>
                    <w:right w:w="0" w:type="dxa"/>
                  </w:tcMar>
                  <w:vAlign w:val="center"/>
                </w:tcPr>
                <w:p w14:paraId="66E15799">
                  <w:pPr>
                    <w:kinsoku/>
                    <w:spacing w:line="300" w:lineRule="exact"/>
                    <w:jc w:val="center"/>
                    <w:rPr>
                      <w:rFonts w:ascii="Times New Roman" w:hAnsi="Times New Roman" w:eastAsia="宋体" w:cs="Times New Roman"/>
                      <w:color w:val="auto"/>
                      <w:highlight w:val="none"/>
                    </w:rPr>
                  </w:pPr>
                </w:p>
              </w:tc>
            </w:tr>
            <w:tr w14:paraId="5BB53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02" w:type="pct"/>
                  <w:vMerge w:val="restart"/>
                  <w:tcBorders>
                    <w:left w:val="single" w:color="auto" w:sz="4" w:space="0"/>
                  </w:tcBorders>
                  <w:tcMar>
                    <w:left w:w="0" w:type="dxa"/>
                    <w:right w:w="0" w:type="dxa"/>
                  </w:tcMar>
                  <w:vAlign w:val="center"/>
                </w:tcPr>
                <w:p w14:paraId="57B9CDC5">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独立费用</w:t>
                  </w:r>
                </w:p>
              </w:tc>
              <w:tc>
                <w:tcPr>
                  <w:tcW w:w="971" w:type="pct"/>
                  <w:vMerge w:val="restart"/>
                  <w:tcBorders>
                    <w:left w:val="single" w:color="auto" w:sz="4" w:space="0"/>
                  </w:tcBorders>
                  <w:tcMar>
                    <w:left w:w="0" w:type="dxa"/>
                    <w:right w:w="0" w:type="dxa"/>
                  </w:tcMar>
                  <w:vAlign w:val="center"/>
                </w:tcPr>
                <w:p w14:paraId="0E17EB97">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（根据《石油建设项目其他费用和相关费用计价方法与费用标准(2022版)》）</w:t>
                  </w:r>
                </w:p>
              </w:tc>
              <w:tc>
                <w:tcPr>
                  <w:tcW w:w="2816" w:type="pct"/>
                  <w:tcMar>
                    <w:left w:w="0" w:type="dxa"/>
                    <w:right w:w="0" w:type="dxa"/>
                  </w:tcMar>
                  <w:vAlign w:val="center"/>
                </w:tcPr>
                <w:p w14:paraId="46B5BE58">
                  <w:pPr>
                    <w:kinsoku/>
                    <w:spacing w:line="300" w:lineRule="exact"/>
                    <w:jc w:val="center"/>
                    <w:rPr>
                      <w:rFonts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环境</w:t>
                  </w:r>
                  <w:r>
                    <w:rPr>
                      <w:rFonts w:ascii="Times New Roman" w:hAnsi="Times New Roman" w:eastAsia="宋体" w:cs="Times New Roman"/>
                      <w:color w:val="auto"/>
                      <w:highlight w:val="none"/>
                      <w:lang w:eastAsia="zh-CN"/>
                    </w:rPr>
                    <w:t>影响评价</w:t>
                  </w:r>
                </w:p>
              </w:tc>
              <w:tc>
                <w:tcPr>
                  <w:tcW w:w="577" w:type="pct"/>
                  <w:tcMar>
                    <w:left w:w="0" w:type="dxa"/>
                    <w:right w:w="0" w:type="dxa"/>
                  </w:tcMar>
                  <w:vAlign w:val="center"/>
                </w:tcPr>
                <w:p w14:paraId="4554228A">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4</w:t>
                  </w:r>
                </w:p>
              </w:tc>
              <w:tc>
                <w:tcPr>
                  <w:tcW w:w="333" w:type="pct"/>
                  <w:vMerge w:val="continue"/>
                  <w:tcBorders>
                    <w:right w:val="single" w:color="auto" w:sz="4" w:space="0"/>
                  </w:tcBorders>
                  <w:tcMar>
                    <w:left w:w="0" w:type="dxa"/>
                    <w:right w:w="0" w:type="dxa"/>
                  </w:tcMar>
                  <w:vAlign w:val="center"/>
                </w:tcPr>
                <w:p w14:paraId="47BDE98A">
                  <w:pPr>
                    <w:kinsoku/>
                    <w:spacing w:line="300" w:lineRule="exact"/>
                    <w:jc w:val="center"/>
                    <w:rPr>
                      <w:rFonts w:ascii="Times New Roman" w:hAnsi="Times New Roman" w:eastAsia="宋体" w:cs="Times New Roman"/>
                      <w:color w:val="auto"/>
                      <w:highlight w:val="none"/>
                    </w:rPr>
                  </w:pPr>
                </w:p>
              </w:tc>
            </w:tr>
            <w:tr w14:paraId="4FEEC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02" w:type="pct"/>
                  <w:vMerge w:val="continue"/>
                  <w:tcBorders>
                    <w:left w:val="single" w:color="auto" w:sz="4" w:space="0"/>
                  </w:tcBorders>
                  <w:tcMar>
                    <w:left w:w="0" w:type="dxa"/>
                    <w:right w:w="0" w:type="dxa"/>
                  </w:tcMar>
                  <w:vAlign w:val="center"/>
                </w:tcPr>
                <w:p w14:paraId="514E9555">
                  <w:pPr>
                    <w:kinsoku/>
                    <w:spacing w:line="300" w:lineRule="exact"/>
                    <w:jc w:val="center"/>
                    <w:rPr>
                      <w:rFonts w:ascii="Times New Roman" w:hAnsi="Times New Roman" w:eastAsia="宋体" w:cs="Times New Roman"/>
                      <w:color w:val="auto"/>
                      <w:highlight w:val="none"/>
                      <w:lang w:eastAsia="zh-CN"/>
                    </w:rPr>
                  </w:pPr>
                </w:p>
              </w:tc>
              <w:tc>
                <w:tcPr>
                  <w:tcW w:w="971" w:type="pct"/>
                  <w:vMerge w:val="continue"/>
                  <w:tcBorders>
                    <w:left w:val="single" w:color="auto" w:sz="4" w:space="0"/>
                  </w:tcBorders>
                  <w:tcMar>
                    <w:left w:w="0" w:type="dxa"/>
                    <w:right w:w="0" w:type="dxa"/>
                  </w:tcMar>
                  <w:vAlign w:val="center"/>
                </w:tcPr>
                <w:p w14:paraId="4EC3D1F1">
                  <w:pPr>
                    <w:kinsoku/>
                    <w:spacing w:line="300" w:lineRule="exact"/>
                    <w:jc w:val="center"/>
                    <w:rPr>
                      <w:rFonts w:ascii="Times New Roman" w:hAnsi="Times New Roman" w:eastAsia="宋体" w:cs="Times New Roman"/>
                      <w:color w:val="auto"/>
                      <w:highlight w:val="none"/>
                      <w:lang w:eastAsia="zh-CN"/>
                    </w:rPr>
                  </w:pPr>
                </w:p>
              </w:tc>
              <w:tc>
                <w:tcPr>
                  <w:tcW w:w="2816" w:type="pct"/>
                  <w:tcMar>
                    <w:left w:w="0" w:type="dxa"/>
                    <w:right w:w="0" w:type="dxa"/>
                  </w:tcMar>
                  <w:vAlign w:val="center"/>
                </w:tcPr>
                <w:p w14:paraId="4959F240">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环境保护竣工</w:t>
                  </w:r>
                  <w:r>
                    <w:rPr>
                      <w:rFonts w:ascii="Times New Roman" w:hAnsi="Times New Roman" w:eastAsia="宋体" w:cs="Times New Roman"/>
                      <w:color w:val="auto"/>
                      <w:highlight w:val="none"/>
                    </w:rPr>
                    <w:t>验收</w:t>
                  </w:r>
                </w:p>
              </w:tc>
              <w:tc>
                <w:tcPr>
                  <w:tcW w:w="577" w:type="pct"/>
                  <w:tcMar>
                    <w:left w:w="0" w:type="dxa"/>
                    <w:right w:w="0" w:type="dxa"/>
                  </w:tcMar>
                  <w:vAlign w:val="center"/>
                </w:tcPr>
                <w:p w14:paraId="1AAF6A14">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4</w:t>
                  </w:r>
                </w:p>
              </w:tc>
              <w:tc>
                <w:tcPr>
                  <w:tcW w:w="333" w:type="pct"/>
                  <w:vMerge w:val="continue"/>
                  <w:tcBorders>
                    <w:right w:val="single" w:color="auto" w:sz="4" w:space="0"/>
                  </w:tcBorders>
                  <w:tcMar>
                    <w:left w:w="0" w:type="dxa"/>
                    <w:right w:w="0" w:type="dxa"/>
                  </w:tcMar>
                  <w:vAlign w:val="center"/>
                </w:tcPr>
                <w:p w14:paraId="56853929">
                  <w:pPr>
                    <w:kinsoku/>
                    <w:spacing w:line="300" w:lineRule="exact"/>
                    <w:jc w:val="center"/>
                    <w:rPr>
                      <w:rFonts w:ascii="Times New Roman" w:hAnsi="Times New Roman" w:eastAsia="宋体" w:cs="Times New Roman"/>
                      <w:color w:val="auto"/>
                      <w:highlight w:val="none"/>
                    </w:rPr>
                  </w:pPr>
                </w:p>
              </w:tc>
            </w:tr>
            <w:tr w14:paraId="27C0F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02" w:type="pct"/>
                  <w:vMerge w:val="continue"/>
                  <w:tcBorders>
                    <w:left w:val="single" w:color="auto" w:sz="4" w:space="0"/>
                  </w:tcBorders>
                  <w:tcMar>
                    <w:left w:w="0" w:type="dxa"/>
                    <w:right w:w="0" w:type="dxa"/>
                  </w:tcMar>
                  <w:vAlign w:val="center"/>
                </w:tcPr>
                <w:p w14:paraId="1657A39B">
                  <w:pPr>
                    <w:kinsoku/>
                    <w:spacing w:line="300" w:lineRule="exact"/>
                    <w:jc w:val="center"/>
                    <w:rPr>
                      <w:rFonts w:ascii="Times New Roman" w:hAnsi="Times New Roman" w:eastAsia="宋体" w:cs="Times New Roman"/>
                      <w:color w:val="auto"/>
                      <w:highlight w:val="none"/>
                      <w:lang w:eastAsia="zh-CN"/>
                    </w:rPr>
                  </w:pPr>
                </w:p>
              </w:tc>
              <w:tc>
                <w:tcPr>
                  <w:tcW w:w="971" w:type="pct"/>
                  <w:tcBorders>
                    <w:left w:val="single" w:color="auto" w:sz="4" w:space="0"/>
                  </w:tcBorders>
                  <w:tcMar>
                    <w:left w:w="0" w:type="dxa"/>
                    <w:right w:w="0" w:type="dxa"/>
                  </w:tcMar>
                  <w:vAlign w:val="center"/>
                </w:tcPr>
                <w:p w14:paraId="3B2C2F46">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c>
                <w:tcPr>
                  <w:tcW w:w="2816" w:type="pct"/>
                  <w:tcMar>
                    <w:left w:w="0" w:type="dxa"/>
                    <w:right w:w="0" w:type="dxa"/>
                  </w:tcMar>
                  <w:vAlign w:val="center"/>
                </w:tcPr>
                <w:p w14:paraId="291E7296">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环境监测</w:t>
                  </w:r>
                </w:p>
              </w:tc>
              <w:tc>
                <w:tcPr>
                  <w:tcW w:w="577" w:type="pct"/>
                  <w:tcMar>
                    <w:left w:w="0" w:type="dxa"/>
                    <w:right w:w="0" w:type="dxa"/>
                  </w:tcMar>
                  <w:vAlign w:val="center"/>
                </w:tcPr>
                <w:p w14:paraId="101EBC63">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4</w:t>
                  </w:r>
                </w:p>
              </w:tc>
              <w:tc>
                <w:tcPr>
                  <w:tcW w:w="333" w:type="pct"/>
                  <w:vMerge w:val="continue"/>
                  <w:tcBorders>
                    <w:right w:val="single" w:color="auto" w:sz="4" w:space="0"/>
                  </w:tcBorders>
                  <w:tcMar>
                    <w:left w:w="0" w:type="dxa"/>
                    <w:right w:w="0" w:type="dxa"/>
                  </w:tcMar>
                  <w:vAlign w:val="center"/>
                </w:tcPr>
                <w:p w14:paraId="062DD7EB">
                  <w:pPr>
                    <w:kinsoku/>
                    <w:spacing w:line="300" w:lineRule="exact"/>
                    <w:jc w:val="center"/>
                    <w:rPr>
                      <w:rFonts w:ascii="Times New Roman" w:hAnsi="Times New Roman" w:eastAsia="宋体" w:cs="Times New Roman"/>
                      <w:color w:val="auto"/>
                      <w:highlight w:val="none"/>
                    </w:rPr>
                  </w:pPr>
                </w:p>
              </w:tc>
            </w:tr>
            <w:bookmarkEnd w:id="48"/>
            <w:tr w14:paraId="57862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89" w:type="pct"/>
                  <w:gridSpan w:val="3"/>
                  <w:tcBorders>
                    <w:left w:val="single" w:color="auto" w:sz="4" w:space="0"/>
                    <w:bottom w:val="single" w:color="auto" w:sz="4" w:space="0"/>
                  </w:tcBorders>
                  <w:tcMar>
                    <w:left w:w="0" w:type="dxa"/>
                    <w:right w:w="0" w:type="dxa"/>
                  </w:tcMar>
                  <w:vAlign w:val="center"/>
                </w:tcPr>
                <w:p w14:paraId="31C835FD">
                  <w:pPr>
                    <w:kinsoku/>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合计</w:t>
                  </w:r>
                </w:p>
              </w:tc>
              <w:tc>
                <w:tcPr>
                  <w:tcW w:w="577" w:type="pct"/>
                  <w:tcBorders>
                    <w:bottom w:val="single" w:color="auto" w:sz="4" w:space="0"/>
                  </w:tcBorders>
                  <w:tcMar>
                    <w:left w:w="0" w:type="dxa"/>
                    <w:right w:w="0" w:type="dxa"/>
                  </w:tcMar>
                  <w:vAlign w:val="center"/>
                </w:tcPr>
                <w:p w14:paraId="68CC057F">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128</w:t>
                  </w:r>
                </w:p>
              </w:tc>
              <w:tc>
                <w:tcPr>
                  <w:tcW w:w="333" w:type="pct"/>
                  <w:tcBorders>
                    <w:bottom w:val="single" w:color="auto" w:sz="4" w:space="0"/>
                    <w:right w:val="single" w:color="auto" w:sz="4" w:space="0"/>
                  </w:tcBorders>
                  <w:tcMar>
                    <w:left w:w="0" w:type="dxa"/>
                    <w:right w:w="0" w:type="dxa"/>
                  </w:tcMar>
                  <w:vAlign w:val="center"/>
                </w:tcPr>
                <w:p w14:paraId="75FBCA20">
                  <w:pPr>
                    <w:kinsoku/>
                    <w:spacing w:line="30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w:t>
                  </w:r>
                </w:p>
              </w:tc>
            </w:tr>
          </w:tbl>
          <w:p w14:paraId="511A7574">
            <w:pPr>
              <w:pStyle w:val="8"/>
              <w:widowControl w:val="0"/>
              <w:kinsoku/>
              <w:jc w:val="both"/>
              <w:rPr>
                <w:rFonts w:ascii="Times New Roman" w:hAnsi="Times New Roman" w:eastAsia="宋体" w:cs="Times New Roman"/>
                <w:color w:val="auto"/>
                <w:highlight w:val="none"/>
              </w:rPr>
            </w:pPr>
          </w:p>
          <w:p w14:paraId="7F18B901">
            <w:pPr>
              <w:pStyle w:val="8"/>
              <w:widowControl w:val="0"/>
              <w:kinsoku/>
              <w:jc w:val="both"/>
              <w:rPr>
                <w:rFonts w:ascii="Times New Roman" w:hAnsi="Times New Roman" w:eastAsia="宋体" w:cs="Times New Roman"/>
                <w:color w:val="auto"/>
                <w:highlight w:val="none"/>
              </w:rPr>
            </w:pPr>
          </w:p>
        </w:tc>
      </w:tr>
    </w:tbl>
    <w:p w14:paraId="757750D1">
      <w:pPr>
        <w:pStyle w:val="3"/>
        <w:kinsoku/>
        <w:rPr>
          <w:rFonts w:ascii="Times New Roman" w:hAnsi="Times New Roman" w:cs="Times New Roman"/>
          <w:color w:val="auto"/>
          <w:highlight w:val="none"/>
        </w:rPr>
        <w:sectPr>
          <w:footerReference r:id="rId6" w:type="default"/>
          <w:pgSz w:w="11906" w:h="16838"/>
          <w:pgMar w:top="1440" w:right="1800" w:bottom="1440" w:left="1800" w:header="851" w:footer="992" w:gutter="0"/>
          <w:cols w:space="425" w:num="1"/>
          <w:docGrid w:type="lines" w:linePitch="312" w:charSpace="0"/>
        </w:sectPr>
      </w:pPr>
    </w:p>
    <w:p w14:paraId="7D6449B3">
      <w:pPr>
        <w:pStyle w:val="3"/>
        <w:kinsoku/>
        <w:rPr>
          <w:rFonts w:ascii="Times New Roman" w:hAnsi="Times New Roman" w:cs="Times New Roman" w:eastAsiaTheme="minorEastAsia"/>
          <w:color w:val="auto"/>
          <w:sz w:val="30"/>
          <w:szCs w:val="30"/>
          <w:highlight w:val="none"/>
          <w:lang w:eastAsia="zh-CN"/>
        </w:rPr>
      </w:pPr>
      <w:r>
        <w:rPr>
          <w:rFonts w:ascii="Times New Roman" w:hAnsi="Times New Roman" w:cs="Times New Roman" w:eastAsiaTheme="minorEastAsia"/>
          <w:color w:val="auto"/>
          <w:sz w:val="30"/>
          <w:szCs w:val="30"/>
          <w:highlight w:val="none"/>
          <w:lang w:eastAsia="zh-CN"/>
        </w:rPr>
        <w:t>六、生态环境保护措施监督检查清单</w:t>
      </w:r>
    </w:p>
    <w:tbl>
      <w:tblPr>
        <w:tblStyle w:val="15"/>
        <w:tblW w:w="51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1147"/>
        <w:gridCol w:w="3745"/>
        <w:gridCol w:w="1921"/>
        <w:gridCol w:w="1137"/>
        <w:gridCol w:w="726"/>
      </w:tblGrid>
      <w:tr w14:paraId="541A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Merge w:val="restart"/>
            <w:tcBorders>
              <w:tl2br w:val="single" w:color="auto" w:sz="4" w:space="0"/>
            </w:tcBorders>
          </w:tcPr>
          <w:p w14:paraId="0B6C47E6">
            <w:pPr>
              <w:pStyle w:val="14"/>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内容</w:t>
            </w:r>
          </w:p>
          <w:p w14:paraId="540EFD5F">
            <w:pPr>
              <w:pStyle w:val="14"/>
              <w:kinsoku/>
              <w:rPr>
                <w:rFonts w:ascii="Times New Roman" w:hAnsi="Times New Roman" w:eastAsia="宋体" w:cs="Times New Roman"/>
                <w:b/>
                <w:bCs/>
                <w:color w:val="auto"/>
                <w:highlight w:val="none"/>
                <w:lang w:eastAsia="zh-CN"/>
              </w:rPr>
            </w:pPr>
          </w:p>
          <w:p w14:paraId="5E1B15E7">
            <w:pPr>
              <w:pStyle w:val="14"/>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要素</w:t>
            </w:r>
          </w:p>
        </w:tc>
        <w:tc>
          <w:tcPr>
            <w:tcW w:w="3265" w:type="pct"/>
            <w:gridSpan w:val="2"/>
            <w:vAlign w:val="center"/>
          </w:tcPr>
          <w:p w14:paraId="50242A70">
            <w:pPr>
              <w:pStyle w:val="14"/>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施工期</w:t>
            </w:r>
          </w:p>
        </w:tc>
        <w:tc>
          <w:tcPr>
            <w:tcW w:w="1073" w:type="pct"/>
            <w:gridSpan w:val="2"/>
            <w:vAlign w:val="center"/>
          </w:tcPr>
          <w:p w14:paraId="167CFDA1">
            <w:pPr>
              <w:pStyle w:val="14"/>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运营期</w:t>
            </w:r>
          </w:p>
        </w:tc>
      </w:tr>
      <w:tr w14:paraId="58B7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Merge w:val="continue"/>
          </w:tcPr>
          <w:p w14:paraId="2479373E">
            <w:pPr>
              <w:pStyle w:val="14"/>
              <w:kinsoku/>
              <w:rPr>
                <w:rFonts w:ascii="Times New Roman" w:hAnsi="Times New Roman" w:eastAsia="宋体" w:cs="Times New Roman"/>
                <w:b/>
                <w:bCs/>
                <w:color w:val="auto"/>
                <w:highlight w:val="none"/>
              </w:rPr>
            </w:pPr>
          </w:p>
        </w:tc>
        <w:tc>
          <w:tcPr>
            <w:tcW w:w="2158" w:type="pct"/>
            <w:vAlign w:val="center"/>
          </w:tcPr>
          <w:p w14:paraId="59491E2A">
            <w:pPr>
              <w:pStyle w:val="14"/>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环境保护措施</w:t>
            </w:r>
          </w:p>
        </w:tc>
        <w:tc>
          <w:tcPr>
            <w:tcW w:w="1107" w:type="pct"/>
            <w:vAlign w:val="center"/>
          </w:tcPr>
          <w:p w14:paraId="65170686">
            <w:pPr>
              <w:pStyle w:val="14"/>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验收要求</w:t>
            </w:r>
          </w:p>
        </w:tc>
        <w:tc>
          <w:tcPr>
            <w:tcW w:w="655" w:type="pct"/>
            <w:vAlign w:val="center"/>
          </w:tcPr>
          <w:p w14:paraId="3F6237A5">
            <w:pPr>
              <w:pStyle w:val="14"/>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环境保护措施</w:t>
            </w:r>
          </w:p>
        </w:tc>
        <w:tc>
          <w:tcPr>
            <w:tcW w:w="418" w:type="pct"/>
            <w:vAlign w:val="center"/>
          </w:tcPr>
          <w:p w14:paraId="35FD7D2C">
            <w:pPr>
              <w:pStyle w:val="14"/>
              <w:kinsoku/>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验收要求</w:t>
            </w:r>
          </w:p>
        </w:tc>
      </w:tr>
      <w:tr w14:paraId="5141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20E81B9A">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陆生生态</w:t>
            </w:r>
          </w:p>
        </w:tc>
        <w:tc>
          <w:tcPr>
            <w:tcW w:w="2158" w:type="pct"/>
            <w:vAlign w:val="center"/>
          </w:tcPr>
          <w:p w14:paraId="0377A5DC">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lang w:eastAsia="zh-CN"/>
              </w:rPr>
              <w:instrText xml:space="preserve"> = 1 \* GB3 </w:instrText>
            </w:r>
            <w:r>
              <w:rPr>
                <w:rFonts w:ascii="Times New Roman" w:hAnsi="Times New Roman" w:eastAsia="宋体" w:cs="Times New Roman"/>
                <w:color w:val="auto"/>
                <w:highlight w:val="none"/>
              </w:rPr>
              <w:fldChar w:fldCharType="separate"/>
            </w:r>
            <w:r>
              <w:rPr>
                <w:rFonts w:ascii="Cambria Math" w:hAnsi="Cambria Math" w:eastAsia="宋体" w:cs="Cambria Math"/>
                <w:color w:val="auto"/>
                <w:highlight w:val="none"/>
                <w:lang w:eastAsia="zh-CN"/>
              </w:rPr>
              <w:t>①</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lang w:eastAsia="zh-CN"/>
              </w:rPr>
              <w:t>选址尽量避开植被密集区域；严格划定路线，禁止乱辗乱轧；确保各环保设施正常运行，避免各种污染物对环境影响较小；</w:t>
            </w:r>
            <w:r>
              <w:rPr>
                <w:rFonts w:ascii="Cambria Math" w:hAnsi="Cambria Math" w:eastAsia="宋体" w:cs="Cambria Math"/>
                <w:color w:val="auto"/>
                <w:highlight w:val="none"/>
                <w:lang w:eastAsia="zh-CN"/>
              </w:rPr>
              <w:t>②</w:t>
            </w:r>
            <w:r>
              <w:rPr>
                <w:rFonts w:ascii="Times New Roman" w:hAnsi="Times New Roman" w:eastAsia="宋体" w:cs="Times New Roman"/>
                <w:color w:val="auto"/>
                <w:highlight w:val="none"/>
                <w:lang w:eastAsia="zh-CN"/>
              </w:rPr>
              <w:t>严格控制占地，严格规定各类工作人员的活动范围；</w:t>
            </w:r>
            <w:r>
              <w:rPr>
                <w:rFonts w:ascii="Cambria Math" w:hAnsi="Cambria Math" w:eastAsia="宋体" w:cs="Cambria Math"/>
                <w:color w:val="auto"/>
                <w:highlight w:val="none"/>
                <w:lang w:eastAsia="zh-CN"/>
              </w:rPr>
              <w:t>③</w:t>
            </w:r>
            <w:r>
              <w:rPr>
                <w:rFonts w:ascii="Times New Roman" w:hAnsi="Times New Roman" w:eastAsia="宋体" w:cs="Times New Roman"/>
                <w:color w:val="auto"/>
                <w:highlight w:val="none"/>
                <w:lang w:eastAsia="zh-CN"/>
              </w:rPr>
              <w:t>完井后施工机械、设备及时撤离，废水和固体废物全部妥善处置，现场禁止遗留；</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lang w:eastAsia="zh-CN"/>
              </w:rPr>
              <w:instrText xml:space="preserve"> = 4 \* GB3 </w:instrText>
            </w:r>
            <w:r>
              <w:rPr>
                <w:rFonts w:ascii="Times New Roman" w:hAnsi="Times New Roman" w:eastAsia="宋体" w:cs="Times New Roman"/>
                <w:color w:val="auto"/>
                <w:highlight w:val="none"/>
              </w:rPr>
              <w:fldChar w:fldCharType="separate"/>
            </w:r>
            <w:r>
              <w:rPr>
                <w:rFonts w:ascii="Cambria Math" w:hAnsi="Cambria Math" w:eastAsia="宋体" w:cs="Cambria Math"/>
                <w:color w:val="auto"/>
                <w:highlight w:val="none"/>
                <w:lang w:eastAsia="zh-CN"/>
              </w:rPr>
              <w:t>④</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lang w:eastAsia="zh-CN"/>
              </w:rPr>
              <w:t>建设单位按照相关要求办理临时占地经济补偿协议；</w:t>
            </w:r>
            <w:r>
              <w:rPr>
                <w:rFonts w:ascii="Cambria Math" w:hAnsi="Cambria Math" w:eastAsia="宋体" w:cs="Cambria Math"/>
                <w:color w:val="auto"/>
                <w:highlight w:val="none"/>
                <w:lang w:eastAsia="zh-CN"/>
              </w:rPr>
              <w:t>⑤</w:t>
            </w:r>
            <w:r>
              <w:rPr>
                <w:rFonts w:ascii="Times New Roman" w:hAnsi="Times New Roman" w:eastAsia="宋体" w:cs="Times New Roman"/>
                <w:color w:val="auto"/>
                <w:highlight w:val="none"/>
                <w:lang w:eastAsia="zh-CN"/>
              </w:rPr>
              <w:t>施工结束后及时对场地进行清理、平整并压实；</w:t>
            </w:r>
            <w:r>
              <w:rPr>
                <w:rFonts w:ascii="Cambria Math" w:hAnsi="Cambria Math" w:eastAsia="宋体" w:cs="Cambria Math"/>
                <w:color w:val="auto"/>
                <w:highlight w:val="none"/>
                <w:lang w:eastAsia="zh-CN"/>
              </w:rPr>
              <w:t>⑥</w:t>
            </w:r>
            <w:r>
              <w:rPr>
                <w:rFonts w:ascii="Times New Roman" w:hAnsi="Times New Roman" w:eastAsia="宋体" w:cs="Times New Roman"/>
                <w:color w:val="auto"/>
                <w:highlight w:val="none"/>
                <w:lang w:eastAsia="zh-CN"/>
              </w:rPr>
              <w:t>合理安排施工时间，避免大风天气施工。项目在建设过程中，严格落实各项管理规定，不得对项目所在区域生态环境和环境质量造成影响。</w:t>
            </w:r>
          </w:p>
        </w:tc>
        <w:tc>
          <w:tcPr>
            <w:tcW w:w="1107" w:type="pct"/>
            <w:vAlign w:val="center"/>
          </w:tcPr>
          <w:p w14:paraId="2022A444">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b/>
                <w:bCs/>
                <w:color w:val="auto"/>
                <w:highlight w:val="none"/>
                <w:lang w:eastAsia="zh-CN"/>
              </w:rPr>
              <w:t>验收内容：</w:t>
            </w:r>
            <w:r>
              <w:rPr>
                <w:rFonts w:ascii="Times New Roman" w:hAnsi="Times New Roman" w:eastAsia="宋体" w:cs="Times New Roman"/>
                <w:color w:val="auto"/>
                <w:highlight w:val="none"/>
                <w:lang w:eastAsia="zh-CN"/>
              </w:rPr>
              <w:t>生态保护措施落实情况；现场无废水和固体废物遗留；井场及周边占地恢复情况；临时占地经济补偿协议办理情况。</w:t>
            </w:r>
          </w:p>
          <w:p w14:paraId="6C049925">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b/>
                <w:bCs/>
                <w:color w:val="auto"/>
                <w:highlight w:val="none"/>
                <w:lang w:eastAsia="zh-CN"/>
              </w:rPr>
              <w:t>验收效果：</w:t>
            </w:r>
            <w:r>
              <w:rPr>
                <w:rFonts w:ascii="Times New Roman" w:hAnsi="Times New Roman" w:eastAsia="宋体" w:cs="Times New Roman"/>
                <w:color w:val="auto"/>
                <w:highlight w:val="none"/>
                <w:lang w:eastAsia="zh-CN"/>
              </w:rPr>
              <w:t>施工结束后清理、平整并压实临时占地，以利于土壤、植被自然恢复。井场、生活营地和探临道路进行平整，井场无废水和固体废物遗留。</w:t>
            </w:r>
          </w:p>
        </w:tc>
        <w:tc>
          <w:tcPr>
            <w:tcW w:w="655" w:type="pct"/>
            <w:vMerge w:val="restart"/>
            <w:vAlign w:val="center"/>
          </w:tcPr>
          <w:p w14:paraId="0774157C">
            <w:pPr>
              <w:kinsoku/>
              <w:spacing w:line="34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根据试采结果决定新钻井是否转为生产井，若可转为生产井，则应当在产能开发建设前对其开展环境影响评价工作，编制环境影响评价文件。</w:t>
            </w:r>
          </w:p>
        </w:tc>
        <w:tc>
          <w:tcPr>
            <w:tcW w:w="418" w:type="pct"/>
            <w:vMerge w:val="restart"/>
            <w:vAlign w:val="center"/>
          </w:tcPr>
          <w:p w14:paraId="0B68DF09">
            <w:pPr>
              <w:kinsoku/>
              <w:spacing w:line="340" w:lineRule="exact"/>
              <w:jc w:val="center"/>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按照环评及批复等相关文件要求进行验收。</w:t>
            </w:r>
          </w:p>
        </w:tc>
      </w:tr>
      <w:tr w14:paraId="444F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1" w:type="pct"/>
            <w:vAlign w:val="center"/>
          </w:tcPr>
          <w:p w14:paraId="4A13EC64">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水生生态</w:t>
            </w:r>
          </w:p>
        </w:tc>
        <w:tc>
          <w:tcPr>
            <w:tcW w:w="2158" w:type="pct"/>
            <w:vAlign w:val="center"/>
          </w:tcPr>
          <w:p w14:paraId="79609ED4">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107" w:type="pct"/>
            <w:vAlign w:val="center"/>
          </w:tcPr>
          <w:p w14:paraId="0ABA1771">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655" w:type="pct"/>
            <w:vMerge w:val="continue"/>
            <w:vAlign w:val="center"/>
          </w:tcPr>
          <w:p w14:paraId="2021F73C">
            <w:pPr>
              <w:kinsoku/>
              <w:spacing w:line="340" w:lineRule="exact"/>
              <w:jc w:val="center"/>
              <w:rPr>
                <w:rFonts w:ascii="Times New Roman" w:hAnsi="Times New Roman" w:eastAsia="宋体" w:cs="Times New Roman"/>
                <w:color w:val="auto"/>
                <w:highlight w:val="none"/>
              </w:rPr>
            </w:pPr>
          </w:p>
        </w:tc>
        <w:tc>
          <w:tcPr>
            <w:tcW w:w="418" w:type="pct"/>
            <w:vMerge w:val="continue"/>
            <w:vAlign w:val="center"/>
          </w:tcPr>
          <w:p w14:paraId="52168094">
            <w:pPr>
              <w:kinsoku/>
              <w:spacing w:line="340" w:lineRule="exact"/>
              <w:jc w:val="center"/>
              <w:rPr>
                <w:rFonts w:ascii="Times New Roman" w:hAnsi="Times New Roman" w:eastAsia="宋体" w:cs="Times New Roman"/>
                <w:color w:val="auto"/>
                <w:highlight w:val="none"/>
              </w:rPr>
            </w:pPr>
          </w:p>
        </w:tc>
      </w:tr>
      <w:tr w14:paraId="2C55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3A235635">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地表水环境</w:t>
            </w:r>
          </w:p>
        </w:tc>
        <w:tc>
          <w:tcPr>
            <w:tcW w:w="2158" w:type="pct"/>
            <w:vAlign w:val="center"/>
          </w:tcPr>
          <w:p w14:paraId="78AEEFEA">
            <w:pPr>
              <w:kinsoku/>
              <w:spacing w:line="340" w:lineRule="exact"/>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生产废水不外排；</w:t>
            </w:r>
            <w:r>
              <w:rPr>
                <w:rFonts w:ascii="Times New Roman" w:hAnsi="Times New Roman" w:eastAsia="宋体" w:cs="Times New Roman"/>
                <w:color w:val="auto"/>
                <w:highlight w:val="none"/>
                <w:lang w:eastAsia="zh-CN"/>
              </w:rPr>
              <w:t>施工营地设置防渗移动厕所，严禁设置排污口。</w:t>
            </w:r>
          </w:p>
        </w:tc>
        <w:tc>
          <w:tcPr>
            <w:tcW w:w="1107" w:type="pct"/>
            <w:vAlign w:val="center"/>
          </w:tcPr>
          <w:p w14:paraId="6A36DAD8">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655" w:type="pct"/>
            <w:vMerge w:val="continue"/>
            <w:vAlign w:val="center"/>
          </w:tcPr>
          <w:p w14:paraId="55766D9B">
            <w:pPr>
              <w:kinsoku/>
              <w:spacing w:line="340" w:lineRule="exact"/>
              <w:jc w:val="center"/>
              <w:rPr>
                <w:rFonts w:ascii="Times New Roman" w:hAnsi="Times New Roman" w:eastAsia="宋体" w:cs="Times New Roman"/>
                <w:color w:val="auto"/>
                <w:highlight w:val="none"/>
              </w:rPr>
            </w:pPr>
          </w:p>
        </w:tc>
        <w:tc>
          <w:tcPr>
            <w:tcW w:w="418" w:type="pct"/>
            <w:vMerge w:val="continue"/>
            <w:vAlign w:val="center"/>
          </w:tcPr>
          <w:p w14:paraId="3B57A4AE">
            <w:pPr>
              <w:kinsoku/>
              <w:spacing w:line="340" w:lineRule="exact"/>
              <w:jc w:val="center"/>
              <w:rPr>
                <w:rFonts w:ascii="Times New Roman" w:hAnsi="Times New Roman" w:eastAsia="宋体" w:cs="Times New Roman"/>
                <w:color w:val="auto"/>
                <w:highlight w:val="none"/>
              </w:rPr>
            </w:pPr>
          </w:p>
        </w:tc>
      </w:tr>
      <w:tr w14:paraId="457B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68C5D010">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地下水及土壤环境</w:t>
            </w:r>
          </w:p>
        </w:tc>
        <w:tc>
          <w:tcPr>
            <w:tcW w:w="2158" w:type="pct"/>
            <w:vAlign w:val="center"/>
          </w:tcPr>
          <w:p w14:paraId="07CBE66F">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lang w:eastAsia="zh-CN"/>
              </w:rPr>
              <w:t>本项目施工期废水主要包括钻井废水（钻井液/泥浆体系废液）、洗井废水、压裂返排液及生活污水。钻井过程中产生的钻井废水按钻井液体系分阶段循环使用：井筒返出钻井液经“钻井液不落地”系统固液分离后，液相优先回用于相应体系钻井液的配制与循环利用，钻井期间不外排；钻井阶段结束后，无法继续回用的钻井液以废弃泥浆形式产生，与固相物料分类收集后统一外运处置。</w:t>
            </w:r>
            <w:r>
              <w:rPr>
                <w:rFonts w:ascii="Times New Roman" w:hAnsi="Times New Roman" w:eastAsia="宋体" w:cs="Times New Roman"/>
                <w:color w:val="auto"/>
                <w:highlight w:val="none"/>
                <w:lang w:eastAsia="zh-CN"/>
              </w:rPr>
              <w:t>洗井废水和压裂返排液分收集至专用储罐后由罐车拉运至吉28脱水站处理，达到《碎屑岩油藏注水水质指标技术要求及分析方法》（SY/T5329-2022）</w:t>
            </w:r>
            <w:r>
              <w:rPr>
                <w:rFonts w:hint="eastAsia" w:ascii="宋体" w:hAnsi="宋体" w:eastAsia="宋体" w:cs="宋体"/>
                <w:color w:val="auto"/>
                <w:highlight w:val="none"/>
                <w:lang w:eastAsia="zh-CN"/>
              </w:rPr>
              <w:t>Ⅲ</w:t>
            </w:r>
            <w:r>
              <w:rPr>
                <w:rFonts w:ascii="Times New Roman" w:hAnsi="Times New Roman" w:eastAsia="宋体" w:cs="Times New Roman"/>
                <w:color w:val="auto"/>
                <w:highlight w:val="none"/>
                <w:lang w:eastAsia="zh-CN"/>
              </w:rPr>
              <w:t>级标准后全部回注油藏，不外排；钻井采用下套管注水泥固井的完井方式进行水泥固井，水泥浆返至地面，封隔地层和水层，避免地下水环境污染；生活营地设移动厕所用于收集生活污水，定期由施工队采用吸污车清运至市政污水处理厂处理，不得外排。</w:t>
            </w:r>
          </w:p>
        </w:tc>
        <w:tc>
          <w:tcPr>
            <w:tcW w:w="1107" w:type="pct"/>
            <w:vAlign w:val="center"/>
          </w:tcPr>
          <w:p w14:paraId="3453E407">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b/>
                <w:bCs/>
                <w:color w:val="auto"/>
                <w:highlight w:val="none"/>
                <w:lang w:eastAsia="zh-CN"/>
              </w:rPr>
              <w:t>验收内容：</w:t>
            </w:r>
            <w:r>
              <w:rPr>
                <w:rFonts w:ascii="Cambria Math" w:hAnsi="Cambria Math" w:eastAsia="宋体" w:cs="Cambria Math"/>
                <w:color w:val="auto"/>
                <w:highlight w:val="none"/>
                <w:lang w:eastAsia="zh-CN"/>
              </w:rPr>
              <w:t>①</w:t>
            </w:r>
            <w:r>
              <w:rPr>
                <w:rFonts w:ascii="Times New Roman" w:hAnsi="Times New Roman" w:eastAsia="宋体" w:cs="Times New Roman"/>
                <w:color w:val="auto"/>
                <w:highlight w:val="none"/>
                <w:lang w:eastAsia="zh-CN"/>
              </w:rPr>
              <w:t>生活污水签订清运协议；</w:t>
            </w:r>
            <w:r>
              <w:rPr>
                <w:rFonts w:ascii="Cambria Math" w:hAnsi="Cambria Math" w:eastAsia="宋体" w:cs="Cambria Math"/>
                <w:color w:val="auto"/>
                <w:highlight w:val="none"/>
                <w:lang w:eastAsia="zh-CN"/>
              </w:rPr>
              <w:t>②</w:t>
            </w:r>
            <w:r>
              <w:rPr>
                <w:rFonts w:ascii="Times New Roman" w:hAnsi="Times New Roman" w:eastAsia="宋体" w:cs="Times New Roman"/>
                <w:color w:val="auto"/>
                <w:highlight w:val="none"/>
                <w:lang w:eastAsia="zh-CN"/>
              </w:rPr>
              <w:t>洗井废水和压裂返排液现场无遗留。</w:t>
            </w:r>
          </w:p>
          <w:p w14:paraId="115FA0C2">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b/>
                <w:bCs/>
                <w:color w:val="auto"/>
                <w:highlight w:val="none"/>
                <w:lang w:eastAsia="zh-CN"/>
              </w:rPr>
              <w:t>验收效果：</w:t>
            </w:r>
            <w:r>
              <w:rPr>
                <w:rFonts w:ascii="Times New Roman" w:hAnsi="Times New Roman" w:eastAsia="宋体" w:cs="Times New Roman"/>
                <w:color w:val="auto"/>
                <w:highlight w:val="none"/>
                <w:lang w:eastAsia="zh-CN"/>
              </w:rPr>
              <w:t>验收时现场无遗留问题。</w:t>
            </w:r>
          </w:p>
        </w:tc>
        <w:tc>
          <w:tcPr>
            <w:tcW w:w="655" w:type="pct"/>
            <w:vMerge w:val="continue"/>
            <w:vAlign w:val="center"/>
          </w:tcPr>
          <w:p w14:paraId="1CA6FF81">
            <w:pPr>
              <w:kinsoku/>
              <w:spacing w:line="340" w:lineRule="exact"/>
              <w:jc w:val="center"/>
              <w:rPr>
                <w:rFonts w:ascii="Times New Roman" w:hAnsi="Times New Roman" w:eastAsia="宋体" w:cs="Times New Roman"/>
                <w:color w:val="auto"/>
                <w:highlight w:val="none"/>
                <w:lang w:eastAsia="zh-CN"/>
              </w:rPr>
            </w:pPr>
          </w:p>
        </w:tc>
        <w:tc>
          <w:tcPr>
            <w:tcW w:w="418" w:type="pct"/>
            <w:vMerge w:val="continue"/>
            <w:vAlign w:val="center"/>
          </w:tcPr>
          <w:p w14:paraId="4DA4C736">
            <w:pPr>
              <w:kinsoku/>
              <w:spacing w:line="340" w:lineRule="exact"/>
              <w:jc w:val="center"/>
              <w:rPr>
                <w:rFonts w:ascii="Times New Roman" w:hAnsi="Times New Roman" w:eastAsia="宋体" w:cs="Times New Roman"/>
                <w:color w:val="auto"/>
                <w:highlight w:val="none"/>
                <w:lang w:eastAsia="zh-CN"/>
              </w:rPr>
            </w:pPr>
          </w:p>
        </w:tc>
      </w:tr>
      <w:tr w14:paraId="3699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25D92E83">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声环境</w:t>
            </w:r>
          </w:p>
        </w:tc>
        <w:tc>
          <w:tcPr>
            <w:tcW w:w="2158" w:type="pct"/>
            <w:vAlign w:val="center"/>
          </w:tcPr>
          <w:p w14:paraId="17DA17BB">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在设备选型上要求采用低噪声的设备，施工设备定期检查维修，对噪声较大的设备采取基础减震措施；加强施工场地管理，合理疏导进入施工区的车辆，禁止运输车辆随意高声鸣笛。</w:t>
            </w:r>
          </w:p>
        </w:tc>
        <w:tc>
          <w:tcPr>
            <w:tcW w:w="1107" w:type="pct"/>
            <w:vAlign w:val="center"/>
          </w:tcPr>
          <w:p w14:paraId="24CD26FE">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655" w:type="pct"/>
            <w:vMerge w:val="continue"/>
            <w:vAlign w:val="center"/>
          </w:tcPr>
          <w:p w14:paraId="6D5DB1BE">
            <w:pPr>
              <w:kinsoku/>
              <w:spacing w:line="340" w:lineRule="exact"/>
              <w:jc w:val="center"/>
              <w:rPr>
                <w:rFonts w:ascii="Times New Roman" w:hAnsi="Times New Roman" w:eastAsia="宋体" w:cs="Times New Roman"/>
                <w:color w:val="auto"/>
                <w:highlight w:val="none"/>
              </w:rPr>
            </w:pPr>
          </w:p>
        </w:tc>
        <w:tc>
          <w:tcPr>
            <w:tcW w:w="418" w:type="pct"/>
            <w:vMerge w:val="continue"/>
            <w:vAlign w:val="center"/>
          </w:tcPr>
          <w:p w14:paraId="3E78AD33">
            <w:pPr>
              <w:kinsoku/>
              <w:spacing w:line="340" w:lineRule="exact"/>
              <w:jc w:val="center"/>
              <w:rPr>
                <w:rFonts w:ascii="Times New Roman" w:hAnsi="Times New Roman" w:eastAsia="宋体" w:cs="Times New Roman"/>
                <w:color w:val="auto"/>
                <w:highlight w:val="none"/>
              </w:rPr>
            </w:pPr>
          </w:p>
        </w:tc>
      </w:tr>
      <w:tr w14:paraId="32A5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346BBACE">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振动</w:t>
            </w:r>
          </w:p>
        </w:tc>
        <w:tc>
          <w:tcPr>
            <w:tcW w:w="2158" w:type="pct"/>
            <w:vAlign w:val="center"/>
          </w:tcPr>
          <w:p w14:paraId="23EA30E7">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107" w:type="pct"/>
            <w:vAlign w:val="center"/>
          </w:tcPr>
          <w:p w14:paraId="6A62CD01">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655" w:type="pct"/>
            <w:vMerge w:val="continue"/>
            <w:vAlign w:val="center"/>
          </w:tcPr>
          <w:p w14:paraId="6B5F9D51">
            <w:pPr>
              <w:kinsoku/>
              <w:spacing w:line="340" w:lineRule="exact"/>
              <w:jc w:val="center"/>
              <w:rPr>
                <w:rFonts w:ascii="Times New Roman" w:hAnsi="Times New Roman" w:eastAsia="宋体" w:cs="Times New Roman"/>
                <w:color w:val="auto"/>
                <w:highlight w:val="none"/>
              </w:rPr>
            </w:pPr>
          </w:p>
        </w:tc>
        <w:tc>
          <w:tcPr>
            <w:tcW w:w="418" w:type="pct"/>
            <w:vMerge w:val="continue"/>
            <w:vAlign w:val="center"/>
          </w:tcPr>
          <w:p w14:paraId="4E23133A">
            <w:pPr>
              <w:kinsoku/>
              <w:spacing w:line="340" w:lineRule="exact"/>
              <w:jc w:val="center"/>
              <w:rPr>
                <w:rFonts w:ascii="Times New Roman" w:hAnsi="Times New Roman" w:eastAsia="宋体" w:cs="Times New Roman"/>
                <w:color w:val="auto"/>
                <w:highlight w:val="none"/>
              </w:rPr>
            </w:pPr>
          </w:p>
        </w:tc>
      </w:tr>
      <w:tr w14:paraId="5156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11463B5A">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大气环境</w:t>
            </w:r>
          </w:p>
        </w:tc>
        <w:tc>
          <w:tcPr>
            <w:tcW w:w="2158" w:type="pct"/>
            <w:vAlign w:val="center"/>
          </w:tcPr>
          <w:p w14:paraId="4E5FAE02">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施工现场运输车辆低速慢行，不得超载，易起尘物料在运输、存放时加盖遮盖物，最大限度防止扬尘扩散；锅炉废气：冬季施工期生物质锅炉配备</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湿法</w:t>
            </w:r>
            <w:r>
              <w:rPr>
                <w:rFonts w:ascii="Times New Roman" w:hAnsi="Times New Roman" w:eastAsia="宋体" w:cs="Times New Roman"/>
                <w:color w:val="auto"/>
                <w:highlight w:val="none"/>
                <w:lang w:eastAsia="zh-CN"/>
              </w:rPr>
              <w:t>除尘</w:t>
            </w:r>
            <w:r>
              <w:rPr>
                <w:rFonts w:hint="eastAsia" w:ascii="Times New Roman" w:hAnsi="Times New Roman" w:eastAsia="宋体" w:cs="Times New Roman"/>
                <w:color w:val="auto"/>
                <w:highlight w:val="none"/>
                <w:lang w:val="en-US" w:eastAsia="zh-CN"/>
              </w:rPr>
              <w:t>脱硫</w:t>
            </w:r>
            <w:r>
              <w:rPr>
                <w:rFonts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布袋除尘+</w:t>
            </w:r>
            <w:r>
              <w:rPr>
                <w:rFonts w:ascii="Times New Roman" w:hAnsi="Times New Roman" w:eastAsia="宋体" w:cs="Times New Roman"/>
                <w:color w:val="auto"/>
                <w:highlight w:val="none"/>
                <w:lang w:eastAsia="zh-CN"/>
              </w:rPr>
              <w:t>低氮燃烧</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lang w:eastAsia="zh-CN"/>
              </w:rPr>
              <w:t>设施，废气经30m高排气筒排放</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lang w:eastAsia="zh-CN"/>
              </w:rPr>
              <w:t>使用符合国家标准的柴油并加强机械、车辆的维护，施工期井场边界柴油机、发电机烟气排放的污染物须满足《大气污染物综合排放标准》(GB16297-1996)中的最高允许排放浓度标准要求；试油期伴生气经排气管线充分燃烧后排放，试油期井场边界非甲烷总烃参照执行《陆上石油天然气开采工业大气污染物排放标准》（GB39728-2020）中边界浓度限值要求。</w:t>
            </w:r>
          </w:p>
        </w:tc>
        <w:tc>
          <w:tcPr>
            <w:tcW w:w="1107" w:type="pct"/>
            <w:vAlign w:val="center"/>
          </w:tcPr>
          <w:p w14:paraId="47A3530D">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b/>
                <w:bCs/>
                <w:color w:val="auto"/>
                <w:highlight w:val="none"/>
                <w:lang w:eastAsia="zh-CN"/>
              </w:rPr>
              <w:t>验收效果：</w:t>
            </w:r>
            <w:r>
              <w:rPr>
                <w:rFonts w:ascii="Times New Roman" w:hAnsi="Times New Roman" w:eastAsia="宋体" w:cs="Times New Roman"/>
                <w:color w:val="auto"/>
                <w:highlight w:val="none"/>
                <w:lang w:eastAsia="zh-CN"/>
              </w:rPr>
              <w:t>验收时现场无施工遗留问题。</w:t>
            </w:r>
          </w:p>
        </w:tc>
        <w:tc>
          <w:tcPr>
            <w:tcW w:w="655" w:type="pct"/>
            <w:vMerge w:val="continue"/>
            <w:vAlign w:val="center"/>
          </w:tcPr>
          <w:p w14:paraId="5FB5E8C5">
            <w:pPr>
              <w:kinsoku/>
              <w:spacing w:line="340" w:lineRule="exact"/>
              <w:jc w:val="center"/>
              <w:rPr>
                <w:rFonts w:ascii="Times New Roman" w:hAnsi="Times New Roman" w:eastAsia="宋体" w:cs="Times New Roman"/>
                <w:color w:val="auto"/>
                <w:highlight w:val="none"/>
                <w:lang w:eastAsia="zh-CN"/>
              </w:rPr>
            </w:pPr>
          </w:p>
        </w:tc>
        <w:tc>
          <w:tcPr>
            <w:tcW w:w="418" w:type="pct"/>
            <w:vMerge w:val="continue"/>
            <w:vAlign w:val="center"/>
          </w:tcPr>
          <w:p w14:paraId="60AFBF9B">
            <w:pPr>
              <w:kinsoku/>
              <w:spacing w:line="340" w:lineRule="exact"/>
              <w:jc w:val="center"/>
              <w:rPr>
                <w:rFonts w:ascii="Times New Roman" w:hAnsi="Times New Roman" w:eastAsia="宋体" w:cs="Times New Roman"/>
                <w:color w:val="auto"/>
                <w:highlight w:val="none"/>
                <w:lang w:eastAsia="zh-CN"/>
              </w:rPr>
            </w:pPr>
          </w:p>
        </w:tc>
      </w:tr>
      <w:tr w14:paraId="7254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38" w:hRule="atLeast"/>
          <w:jc w:val="center"/>
        </w:trPr>
        <w:tc>
          <w:tcPr>
            <w:tcW w:w="661" w:type="pct"/>
            <w:vAlign w:val="center"/>
          </w:tcPr>
          <w:p w14:paraId="7FC66036">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固体废物</w:t>
            </w:r>
          </w:p>
        </w:tc>
        <w:tc>
          <w:tcPr>
            <w:tcW w:w="2158" w:type="pct"/>
            <w:vAlign w:val="center"/>
          </w:tcPr>
          <w:p w14:paraId="7865F21F">
            <w:pPr>
              <w:kinsoku/>
              <w:spacing w:line="340" w:lineRule="exact"/>
              <w:jc w:val="both"/>
              <w:rPr>
                <w:rFonts w:ascii="Times New Roman" w:hAnsi="Times New Roman" w:eastAsia="宋体" w:cs="Times New Roman"/>
                <w:color w:val="auto"/>
                <w:highlight w:val="none"/>
                <w:lang w:eastAsia="zh-CN"/>
              </w:rPr>
            </w:pPr>
            <w:r>
              <w:rPr>
                <w:rFonts w:ascii="Cambria Math" w:hAnsi="Cambria Math" w:eastAsia="宋体" w:cs="Cambria Math"/>
                <w:color w:val="auto"/>
                <w:highlight w:val="none"/>
                <w:lang w:eastAsia="zh-CN"/>
              </w:rPr>
              <w:t>①</w:t>
            </w:r>
            <w:r>
              <w:rPr>
                <w:rFonts w:ascii="Times New Roman" w:hAnsi="Times New Roman" w:eastAsia="宋体" w:cs="Times New Roman"/>
                <w:color w:val="auto"/>
                <w:highlight w:val="none"/>
                <w:lang w:eastAsia="zh-CN"/>
              </w:rPr>
              <w:t>水基钻井泥浆岩屑：采用不落地系统进行处理，实现固液分离，固相为一般工业固废，检测达到《油气田钻井固体废物综合利用污染控制要求》（DB65/T3997-2017）相关标准限值后用于铺路、铺垫钻试场综合利用，无法综合利用的委托有资质的单位进行处置</w:t>
            </w:r>
            <w:r>
              <w:rPr>
                <w:rFonts w:hint="eastAsia" w:ascii="Times New Roman" w:hAnsi="Times New Roman" w:eastAsia="宋体" w:cs="Times New Roman"/>
                <w:color w:val="auto"/>
                <w:highlight w:val="none"/>
                <w:lang w:eastAsia="zh-CN"/>
              </w:rPr>
              <w:t>；</w:t>
            </w:r>
            <w:r>
              <w:rPr>
                <w:rFonts w:ascii="Cambria Math" w:hAnsi="Cambria Math" w:eastAsia="宋体" w:cs="Cambria Math"/>
                <w:color w:val="auto"/>
                <w:highlight w:val="none"/>
                <w:lang w:eastAsia="zh-CN"/>
              </w:rPr>
              <w:t>②</w:t>
            </w:r>
            <w:r>
              <w:rPr>
                <w:rFonts w:ascii="Times New Roman" w:hAnsi="Times New Roman" w:eastAsia="宋体" w:cs="Times New Roman"/>
                <w:color w:val="auto"/>
                <w:highlight w:val="none"/>
                <w:lang w:eastAsia="zh-CN"/>
              </w:rPr>
              <w:t>油基岩屑（HW08）：即产即清，装入专用方罐由资质单位每日转运，不长期暂存</w:t>
            </w:r>
            <w:r>
              <w:rPr>
                <w:rFonts w:hint="eastAsia" w:ascii="Times New Roman" w:hAnsi="Times New Roman" w:eastAsia="宋体" w:cs="Times New Roman"/>
                <w:color w:val="auto"/>
                <w:highlight w:val="none"/>
                <w:lang w:eastAsia="zh-CN"/>
              </w:rPr>
              <w:t>；</w:t>
            </w:r>
            <w:r>
              <w:rPr>
                <w:rFonts w:ascii="Cambria Math" w:hAnsi="Cambria Math" w:eastAsia="宋体" w:cs="Cambria Math"/>
                <w:color w:val="auto"/>
                <w:highlight w:val="none"/>
                <w:lang w:eastAsia="zh-CN"/>
              </w:rPr>
              <w:t>③</w:t>
            </w:r>
            <w:r>
              <w:rPr>
                <w:rFonts w:ascii="Times New Roman" w:hAnsi="Times New Roman" w:eastAsia="宋体" w:cs="Times New Roman"/>
                <w:color w:val="auto"/>
                <w:highlight w:val="none"/>
                <w:lang w:eastAsia="zh-CN"/>
              </w:rPr>
              <w:t>废防渗材料：未破损、未沾油的防渗材料由建设单位集中回收利用，沾油的废防渗材料委托具有相应危险废物处置资质的单位进行处置；</w:t>
            </w:r>
            <w:r>
              <w:rPr>
                <w:rFonts w:ascii="Cambria Math" w:hAnsi="Cambria Math" w:eastAsia="宋体" w:cs="Cambria Math"/>
                <w:color w:val="auto"/>
                <w:highlight w:val="none"/>
                <w:lang w:eastAsia="zh-CN"/>
              </w:rPr>
              <w:t>④</w:t>
            </w:r>
            <w:r>
              <w:rPr>
                <w:rFonts w:ascii="Times New Roman" w:hAnsi="Times New Roman" w:eastAsia="宋体" w:cs="Times New Roman"/>
                <w:color w:val="auto"/>
                <w:highlight w:val="none"/>
                <w:lang w:eastAsia="zh-CN"/>
              </w:rPr>
              <w:t>落地油100%回收，集中收集后委托有危险废物处理资质单位进行处置。</w:t>
            </w:r>
            <w:r>
              <w:rPr>
                <w:rFonts w:ascii="Cambria Math" w:hAnsi="Cambria Math" w:eastAsia="宋体" w:cs="Cambria Math"/>
                <w:color w:val="auto"/>
                <w:highlight w:val="none"/>
                <w:lang w:eastAsia="zh-CN"/>
              </w:rPr>
              <w:t>⑤</w:t>
            </w:r>
            <w:r>
              <w:rPr>
                <w:rFonts w:ascii="Times New Roman" w:hAnsi="Times New Roman" w:eastAsia="宋体" w:cs="Times New Roman"/>
                <w:color w:val="auto"/>
                <w:highlight w:val="none"/>
                <w:lang w:eastAsia="zh-CN"/>
              </w:rPr>
              <w:t>机械设备废油、废润滑油、废润滑油桶暂存至危险废物贮存罐区，委托有危险废物处理资质单位进行处置</w:t>
            </w:r>
            <w:r>
              <w:rPr>
                <w:rFonts w:hint="eastAsia" w:ascii="Times New Roman" w:hAnsi="Times New Roman" w:eastAsia="宋体" w:cs="Times New Roman"/>
                <w:color w:val="auto"/>
                <w:highlight w:val="none"/>
                <w:lang w:eastAsia="zh-CN"/>
              </w:rPr>
              <w:t>；</w:t>
            </w:r>
            <w:r>
              <w:rPr>
                <w:rFonts w:ascii="Cambria Math" w:hAnsi="Cambria Math" w:eastAsia="宋体" w:cs="Cambria Math"/>
                <w:color w:val="auto"/>
                <w:highlight w:val="none"/>
                <w:lang w:eastAsia="zh-CN"/>
              </w:rPr>
              <w:t>⑥</w:t>
            </w:r>
            <w:r>
              <w:rPr>
                <w:rFonts w:ascii="Times New Roman" w:hAnsi="Times New Roman" w:eastAsia="宋体" w:cs="Times New Roman"/>
                <w:color w:val="auto"/>
                <w:highlight w:val="none"/>
                <w:lang w:eastAsia="zh-CN"/>
              </w:rPr>
              <w:t>生活垃圾集中收集后委托第三方拉运至当地垃圾场处理。</w:t>
            </w:r>
          </w:p>
        </w:tc>
        <w:tc>
          <w:tcPr>
            <w:tcW w:w="1107" w:type="pct"/>
            <w:vAlign w:val="center"/>
          </w:tcPr>
          <w:p w14:paraId="7A068EDD">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b/>
                <w:bCs/>
                <w:color w:val="auto"/>
                <w:highlight w:val="none"/>
                <w:lang w:eastAsia="zh-CN"/>
              </w:rPr>
              <w:t>验收内容：</w:t>
            </w:r>
            <w:r>
              <w:rPr>
                <w:rFonts w:ascii="Cambria Math" w:hAnsi="Cambria Math" w:eastAsia="宋体" w:cs="Cambria Math"/>
                <w:color w:val="auto"/>
                <w:highlight w:val="none"/>
                <w:lang w:eastAsia="zh-CN"/>
              </w:rPr>
              <w:t>①</w:t>
            </w:r>
            <w:r>
              <w:rPr>
                <w:rFonts w:ascii="Times New Roman" w:hAnsi="Times New Roman" w:eastAsia="宋体" w:cs="Times New Roman"/>
                <w:color w:val="auto"/>
                <w:highlight w:val="none"/>
                <w:lang w:eastAsia="zh-CN"/>
              </w:rPr>
              <w:t>水基钻井岩屑综合利用情况或委托处置情况；</w:t>
            </w:r>
            <w:r>
              <w:rPr>
                <w:rFonts w:ascii="Cambria Math" w:hAnsi="Cambria Math" w:eastAsia="宋体" w:cs="Cambria Math"/>
                <w:color w:val="auto"/>
                <w:highlight w:val="none"/>
                <w:lang w:eastAsia="zh-CN"/>
              </w:rPr>
              <w:t>②</w:t>
            </w:r>
            <w:r>
              <w:rPr>
                <w:rFonts w:ascii="Times New Roman" w:hAnsi="Times New Roman" w:eastAsia="宋体" w:cs="Times New Roman"/>
                <w:color w:val="auto"/>
                <w:highlight w:val="none"/>
                <w:lang w:eastAsia="zh-CN"/>
              </w:rPr>
              <w:t>废防渗材料、落地油和沾油废防渗材料、机械设备废油与废润滑油桶贮存于危废贮存点后定期委托有危险废物处理资质单位进行处置并签订处置协议，查阅危险废物台账，检查现场是否有遗留；</w:t>
            </w:r>
            <w:r>
              <w:rPr>
                <w:rFonts w:ascii="Cambria Math" w:hAnsi="Cambria Math" w:eastAsia="宋体" w:cs="Cambria Math"/>
                <w:color w:val="auto"/>
                <w:highlight w:val="none"/>
                <w:lang w:eastAsia="zh-CN"/>
              </w:rPr>
              <w:t>③</w:t>
            </w:r>
            <w:r>
              <w:rPr>
                <w:rFonts w:ascii="Times New Roman" w:hAnsi="Times New Roman" w:eastAsia="宋体" w:cs="Times New Roman"/>
                <w:color w:val="auto"/>
                <w:highlight w:val="none"/>
                <w:lang w:eastAsia="zh-CN"/>
              </w:rPr>
              <w:t>生活垃圾签订接收协议。</w:t>
            </w:r>
          </w:p>
          <w:p w14:paraId="68A39B02">
            <w:pPr>
              <w:kinsoku/>
              <w:spacing w:line="340" w:lineRule="exact"/>
              <w:jc w:val="both"/>
              <w:rPr>
                <w:rFonts w:ascii="Times New Roman" w:hAnsi="Times New Roman" w:eastAsia="宋体" w:cs="Times New Roman"/>
                <w:color w:val="auto"/>
                <w:highlight w:val="none"/>
                <w:lang w:eastAsia="zh-CN"/>
              </w:rPr>
            </w:pPr>
            <w:r>
              <w:rPr>
                <w:rFonts w:hint="eastAsia" w:ascii="宋体" w:hAnsi="宋体" w:eastAsia="宋体" w:cs="宋体"/>
                <w:b/>
                <w:bCs/>
                <w:color w:val="auto"/>
                <w:highlight w:val="none"/>
                <w:lang w:eastAsia="zh-CN"/>
              </w:rPr>
              <w:t>验收效果：</w:t>
            </w:r>
            <w:r>
              <w:rPr>
                <w:rFonts w:hint="eastAsia" w:ascii="宋体" w:hAnsi="宋体" w:eastAsia="宋体" w:cs="宋体"/>
                <w:color w:val="auto"/>
                <w:highlight w:val="none"/>
                <w:lang w:eastAsia="zh-CN"/>
              </w:rPr>
              <w:t>现场无固废遗留。</w:t>
            </w:r>
          </w:p>
        </w:tc>
        <w:tc>
          <w:tcPr>
            <w:tcW w:w="655" w:type="pct"/>
            <w:vMerge w:val="continue"/>
            <w:vAlign w:val="center"/>
          </w:tcPr>
          <w:p w14:paraId="677E9D20">
            <w:pPr>
              <w:kinsoku/>
              <w:spacing w:line="340" w:lineRule="exact"/>
              <w:jc w:val="center"/>
              <w:rPr>
                <w:rFonts w:ascii="Times New Roman" w:hAnsi="Times New Roman" w:eastAsia="宋体" w:cs="Times New Roman"/>
                <w:color w:val="auto"/>
                <w:highlight w:val="none"/>
                <w:lang w:eastAsia="zh-CN"/>
              </w:rPr>
            </w:pPr>
          </w:p>
        </w:tc>
        <w:tc>
          <w:tcPr>
            <w:tcW w:w="418" w:type="pct"/>
            <w:vMerge w:val="continue"/>
            <w:vAlign w:val="center"/>
          </w:tcPr>
          <w:p w14:paraId="7F5EC90F">
            <w:pPr>
              <w:kinsoku/>
              <w:spacing w:line="340" w:lineRule="exact"/>
              <w:jc w:val="center"/>
              <w:rPr>
                <w:rFonts w:ascii="Times New Roman" w:hAnsi="Times New Roman" w:eastAsia="宋体" w:cs="Times New Roman"/>
                <w:color w:val="auto"/>
                <w:highlight w:val="none"/>
                <w:lang w:eastAsia="zh-CN"/>
              </w:rPr>
            </w:pPr>
          </w:p>
        </w:tc>
      </w:tr>
      <w:tr w14:paraId="34CF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1" w:type="pct"/>
            <w:vAlign w:val="center"/>
          </w:tcPr>
          <w:p w14:paraId="27673A92">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电磁环境</w:t>
            </w:r>
          </w:p>
        </w:tc>
        <w:tc>
          <w:tcPr>
            <w:tcW w:w="2158" w:type="pct"/>
            <w:vAlign w:val="center"/>
          </w:tcPr>
          <w:p w14:paraId="3E3EB3DA">
            <w:pPr>
              <w:kinsoku/>
              <w:spacing w:line="340" w:lineRule="exact"/>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1107" w:type="pct"/>
            <w:vAlign w:val="center"/>
          </w:tcPr>
          <w:p w14:paraId="0686909C">
            <w:pPr>
              <w:kinsoku/>
              <w:spacing w:line="340" w:lineRule="exact"/>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655" w:type="pct"/>
            <w:vMerge w:val="continue"/>
            <w:vAlign w:val="center"/>
          </w:tcPr>
          <w:p w14:paraId="73665F0D">
            <w:pPr>
              <w:kinsoku/>
              <w:spacing w:line="340" w:lineRule="exact"/>
              <w:jc w:val="center"/>
              <w:rPr>
                <w:rFonts w:ascii="Times New Roman" w:hAnsi="Times New Roman" w:eastAsia="宋体" w:cs="Times New Roman"/>
                <w:color w:val="auto"/>
                <w:highlight w:val="none"/>
              </w:rPr>
            </w:pPr>
          </w:p>
        </w:tc>
        <w:tc>
          <w:tcPr>
            <w:tcW w:w="418" w:type="pct"/>
            <w:vMerge w:val="continue"/>
            <w:vAlign w:val="center"/>
          </w:tcPr>
          <w:p w14:paraId="39596045">
            <w:pPr>
              <w:kinsoku/>
              <w:spacing w:line="340" w:lineRule="exact"/>
              <w:jc w:val="center"/>
              <w:rPr>
                <w:rFonts w:ascii="Times New Roman" w:hAnsi="Times New Roman" w:eastAsia="宋体" w:cs="Times New Roman"/>
                <w:color w:val="auto"/>
                <w:highlight w:val="none"/>
              </w:rPr>
            </w:pPr>
          </w:p>
        </w:tc>
      </w:tr>
      <w:tr w14:paraId="4EA2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350" w:hRule="atLeast"/>
          <w:jc w:val="center"/>
        </w:trPr>
        <w:tc>
          <w:tcPr>
            <w:tcW w:w="661" w:type="pct"/>
            <w:vAlign w:val="center"/>
          </w:tcPr>
          <w:p w14:paraId="087D524D">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环境风险</w:t>
            </w:r>
          </w:p>
        </w:tc>
        <w:tc>
          <w:tcPr>
            <w:tcW w:w="2158" w:type="pct"/>
            <w:vAlign w:val="center"/>
          </w:tcPr>
          <w:p w14:paraId="4ACAFA69">
            <w:pPr>
              <w:kinsoku/>
              <w:spacing w:line="340" w:lineRule="exact"/>
              <w:jc w:val="both"/>
              <w:rPr>
                <w:rFonts w:ascii="Times New Roman" w:hAnsi="Times New Roman" w:eastAsia="宋体" w:cs="Times New Roman"/>
                <w:color w:val="auto"/>
                <w:highlight w:val="none"/>
                <w:lang w:eastAsia="zh-CN"/>
              </w:rPr>
            </w:pPr>
            <w:r>
              <w:rPr>
                <w:rFonts w:ascii="Cambria Math" w:hAnsi="Cambria Math" w:eastAsia="宋体" w:cs="Cambria Math"/>
                <w:color w:val="auto"/>
                <w:highlight w:val="none"/>
                <w:lang w:eastAsia="zh-CN"/>
              </w:rPr>
              <w:t>①</w:t>
            </w:r>
            <w:r>
              <w:rPr>
                <w:rFonts w:ascii="Times New Roman" w:hAnsi="Times New Roman" w:eastAsia="宋体" w:cs="Times New Roman"/>
                <w:color w:val="auto"/>
                <w:highlight w:val="none"/>
                <w:lang w:eastAsia="zh-CN"/>
              </w:rPr>
              <w:t>施工时应严格执行相关风险防范措施和规章制度，严禁违规操作加强设备维修与巡检，避免储罐泄漏事故的发生；</w:t>
            </w:r>
            <w:r>
              <w:rPr>
                <w:rFonts w:ascii="Cambria Math" w:hAnsi="Cambria Math" w:eastAsia="宋体" w:cs="Cambria Math"/>
                <w:color w:val="auto"/>
                <w:highlight w:val="none"/>
                <w:lang w:eastAsia="zh-CN"/>
              </w:rPr>
              <w:t>②</w:t>
            </w:r>
            <w:r>
              <w:rPr>
                <w:rFonts w:ascii="Times New Roman" w:hAnsi="Times New Roman" w:eastAsia="宋体" w:cs="Times New Roman"/>
                <w:color w:val="auto"/>
                <w:highlight w:val="none"/>
                <w:lang w:eastAsia="zh-CN"/>
              </w:rPr>
              <w:t>在井口安装井控装置，杜绝井喷的发生；防止污染地下水和土壤；</w:t>
            </w:r>
            <w:r>
              <w:rPr>
                <w:rFonts w:ascii="Cambria Math" w:hAnsi="Cambria Math" w:eastAsia="宋体" w:cs="Cambria Math"/>
                <w:color w:val="auto"/>
                <w:highlight w:val="none"/>
                <w:lang w:eastAsia="zh-CN"/>
              </w:rPr>
              <w:t>③</w:t>
            </w:r>
            <w:r>
              <w:rPr>
                <w:rFonts w:ascii="Times New Roman" w:hAnsi="Times New Roman" w:eastAsia="宋体" w:cs="Times New Roman"/>
                <w:color w:val="auto"/>
                <w:highlight w:val="none"/>
                <w:lang w:eastAsia="zh-CN"/>
              </w:rPr>
              <w:t>定期检查固井质量，发现固井质量不合格应及时采取措施，保证固井质量合格；</w:t>
            </w:r>
            <w:r>
              <w:rPr>
                <w:rFonts w:ascii="Cambria Math" w:hAnsi="Cambria Math" w:eastAsia="宋体" w:cs="Cambria Math"/>
                <w:color w:val="auto"/>
                <w:highlight w:val="none"/>
                <w:lang w:eastAsia="zh-CN"/>
              </w:rPr>
              <w:t>④</w:t>
            </w:r>
            <w:r>
              <w:rPr>
                <w:rFonts w:ascii="Times New Roman" w:hAnsi="Times New Roman" w:eastAsia="宋体" w:cs="Times New Roman"/>
                <w:color w:val="auto"/>
                <w:highlight w:val="none"/>
                <w:lang w:eastAsia="zh-CN"/>
              </w:rPr>
              <w:t>柴油罐、原油罐等储罐底部铺设防渗材料或设置围堰，加强各类储罐及放喷管线的日常管理及安全检查；</w:t>
            </w:r>
            <w:r>
              <w:rPr>
                <w:rFonts w:ascii="Cambria Math" w:hAnsi="Cambria Math" w:eastAsia="宋体" w:cs="Cambria Math"/>
                <w:color w:val="auto"/>
                <w:highlight w:val="none"/>
                <w:lang w:eastAsia="zh-CN"/>
              </w:rPr>
              <w:t>⑤</w:t>
            </w:r>
            <w:r>
              <w:rPr>
                <w:rFonts w:ascii="Times New Roman" w:hAnsi="Times New Roman" w:eastAsia="宋体" w:cs="Times New Roman"/>
                <w:color w:val="auto"/>
                <w:highlight w:val="none"/>
                <w:lang w:eastAsia="zh-CN"/>
              </w:rPr>
              <w:t>应编制突发环境事件应急预案。</w:t>
            </w:r>
          </w:p>
        </w:tc>
        <w:tc>
          <w:tcPr>
            <w:tcW w:w="1107" w:type="pct"/>
            <w:vAlign w:val="center"/>
          </w:tcPr>
          <w:p w14:paraId="67F56EF3">
            <w:pPr>
              <w:kinsoku/>
              <w:spacing w:line="340" w:lineRule="exact"/>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655" w:type="pct"/>
            <w:vMerge w:val="continue"/>
            <w:vAlign w:val="center"/>
          </w:tcPr>
          <w:p w14:paraId="4DAE5431">
            <w:pPr>
              <w:kinsoku/>
              <w:spacing w:line="340" w:lineRule="exact"/>
              <w:jc w:val="center"/>
              <w:rPr>
                <w:rFonts w:ascii="Times New Roman" w:hAnsi="Times New Roman" w:eastAsia="宋体" w:cs="Times New Roman"/>
                <w:color w:val="auto"/>
                <w:highlight w:val="none"/>
              </w:rPr>
            </w:pPr>
          </w:p>
        </w:tc>
        <w:tc>
          <w:tcPr>
            <w:tcW w:w="418" w:type="pct"/>
            <w:vMerge w:val="continue"/>
            <w:vAlign w:val="center"/>
          </w:tcPr>
          <w:p w14:paraId="33E0B591">
            <w:pPr>
              <w:kinsoku/>
              <w:spacing w:line="340" w:lineRule="exact"/>
              <w:jc w:val="center"/>
              <w:rPr>
                <w:rFonts w:ascii="Times New Roman" w:hAnsi="Times New Roman" w:eastAsia="宋体" w:cs="Times New Roman"/>
                <w:color w:val="auto"/>
                <w:highlight w:val="none"/>
              </w:rPr>
            </w:pPr>
          </w:p>
        </w:tc>
      </w:tr>
      <w:tr w14:paraId="3E5D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4272D4C0">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环境监测</w:t>
            </w:r>
          </w:p>
        </w:tc>
        <w:tc>
          <w:tcPr>
            <w:tcW w:w="2158" w:type="pct"/>
            <w:vAlign w:val="center"/>
          </w:tcPr>
          <w:p w14:paraId="4A58979A">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本工程在施工和试油期间，施工机械和生产设备均投入使用，故在各个阶段需对生产过程</w:t>
            </w:r>
            <w:r>
              <w:rPr>
                <w:rFonts w:hint="eastAsia" w:ascii="Times New Roman" w:hAnsi="Times New Roman" w:eastAsia="宋体" w:cs="Times New Roman"/>
                <w:color w:val="auto"/>
                <w:highlight w:val="none"/>
                <w:lang w:val="en-US" w:eastAsia="zh-CN"/>
              </w:rPr>
              <w:t>中</w:t>
            </w:r>
            <w:r>
              <w:rPr>
                <w:rFonts w:ascii="Times New Roman" w:hAnsi="Times New Roman" w:eastAsia="宋体" w:cs="Times New Roman"/>
                <w:color w:val="auto"/>
                <w:highlight w:val="none"/>
                <w:lang w:eastAsia="zh-CN"/>
              </w:rPr>
              <w:t>产生的三废和生态影响进行严格监管，定期对各个阶段产生的三废和生态影响进行监测，减少对周围环境影响。本工程在试油期的排污主要集中在井场、单井站和脱水站，其在试油期的监测应根据项目开发运行实际情况确定监测项目、频率，并委托具有计量认证资质和环境监测资质的监测单位监测。</w:t>
            </w:r>
          </w:p>
        </w:tc>
        <w:tc>
          <w:tcPr>
            <w:tcW w:w="1107" w:type="pct"/>
            <w:vAlign w:val="center"/>
          </w:tcPr>
          <w:p w14:paraId="43BCBE38">
            <w:pPr>
              <w:kinsoku/>
              <w:spacing w:line="340" w:lineRule="exact"/>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655" w:type="pct"/>
            <w:vMerge w:val="continue"/>
            <w:vAlign w:val="center"/>
          </w:tcPr>
          <w:p w14:paraId="3ADA4AED">
            <w:pPr>
              <w:kinsoku/>
              <w:spacing w:line="340" w:lineRule="exact"/>
              <w:jc w:val="center"/>
              <w:rPr>
                <w:rFonts w:ascii="Times New Roman" w:hAnsi="Times New Roman" w:eastAsia="宋体" w:cs="Times New Roman"/>
                <w:color w:val="auto"/>
                <w:highlight w:val="none"/>
              </w:rPr>
            </w:pPr>
          </w:p>
        </w:tc>
        <w:tc>
          <w:tcPr>
            <w:tcW w:w="418" w:type="pct"/>
            <w:vMerge w:val="continue"/>
            <w:vAlign w:val="center"/>
          </w:tcPr>
          <w:p w14:paraId="6379451B">
            <w:pPr>
              <w:kinsoku/>
              <w:spacing w:line="340" w:lineRule="exact"/>
              <w:jc w:val="center"/>
              <w:rPr>
                <w:rFonts w:ascii="Times New Roman" w:hAnsi="Times New Roman" w:eastAsia="宋体" w:cs="Times New Roman"/>
                <w:color w:val="auto"/>
                <w:highlight w:val="none"/>
              </w:rPr>
            </w:pPr>
          </w:p>
        </w:tc>
      </w:tr>
      <w:tr w14:paraId="10D7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90" w:hRule="atLeast"/>
          <w:jc w:val="center"/>
        </w:trPr>
        <w:tc>
          <w:tcPr>
            <w:tcW w:w="661" w:type="pct"/>
            <w:vAlign w:val="center"/>
          </w:tcPr>
          <w:p w14:paraId="11467AC5">
            <w:pPr>
              <w:kinsoku/>
              <w:spacing w:line="3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其他</w:t>
            </w:r>
          </w:p>
        </w:tc>
        <w:tc>
          <w:tcPr>
            <w:tcW w:w="2158" w:type="pct"/>
            <w:vAlign w:val="center"/>
          </w:tcPr>
          <w:p w14:paraId="57E09947">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p>
        </w:tc>
        <w:tc>
          <w:tcPr>
            <w:tcW w:w="1107" w:type="pct"/>
            <w:vAlign w:val="center"/>
          </w:tcPr>
          <w:p w14:paraId="5E651E18">
            <w:pPr>
              <w:kinsoku/>
              <w:spacing w:line="340" w:lineRule="exact"/>
              <w:jc w:val="both"/>
              <w:rPr>
                <w:rFonts w:ascii="Times New Roman" w:hAnsi="Times New Roman" w:eastAsia="宋体" w:cs="Times New Roman"/>
                <w:color w:val="auto"/>
                <w:highlight w:val="none"/>
                <w:lang w:eastAsia="zh-CN"/>
              </w:rPr>
            </w:pPr>
            <w:r>
              <w:rPr>
                <w:rFonts w:ascii="Times New Roman" w:hAnsi="Times New Roman" w:eastAsia="宋体" w:cs="Times New Roman"/>
                <w:color w:val="auto"/>
                <w:highlight w:val="none"/>
                <w:lang w:eastAsia="zh-CN"/>
              </w:rPr>
              <w:t>环境管理制度是否建立并完善，环保机构及人员是否设置到位；是否保留必要的影像资料。</w:t>
            </w:r>
          </w:p>
        </w:tc>
        <w:tc>
          <w:tcPr>
            <w:tcW w:w="655" w:type="pct"/>
            <w:vMerge w:val="continue"/>
            <w:vAlign w:val="center"/>
          </w:tcPr>
          <w:p w14:paraId="68406EBC">
            <w:pPr>
              <w:kinsoku/>
              <w:spacing w:line="340" w:lineRule="exact"/>
              <w:jc w:val="center"/>
              <w:rPr>
                <w:rFonts w:ascii="Times New Roman" w:hAnsi="Times New Roman" w:eastAsia="宋体" w:cs="Times New Roman"/>
                <w:color w:val="auto"/>
                <w:highlight w:val="none"/>
                <w:lang w:eastAsia="zh-CN"/>
              </w:rPr>
            </w:pPr>
          </w:p>
        </w:tc>
        <w:tc>
          <w:tcPr>
            <w:tcW w:w="418" w:type="pct"/>
            <w:vMerge w:val="continue"/>
            <w:vAlign w:val="center"/>
          </w:tcPr>
          <w:p w14:paraId="0AE51158">
            <w:pPr>
              <w:kinsoku/>
              <w:spacing w:line="340" w:lineRule="exact"/>
              <w:jc w:val="center"/>
              <w:rPr>
                <w:rFonts w:ascii="Times New Roman" w:hAnsi="Times New Roman" w:eastAsia="宋体" w:cs="Times New Roman"/>
                <w:color w:val="auto"/>
                <w:highlight w:val="none"/>
                <w:lang w:eastAsia="zh-CN"/>
              </w:rPr>
            </w:pPr>
          </w:p>
        </w:tc>
      </w:tr>
    </w:tbl>
    <w:p w14:paraId="26B86A6A">
      <w:pPr>
        <w:pStyle w:val="8"/>
        <w:kinsoku/>
        <w:rPr>
          <w:rFonts w:ascii="Times New Roman" w:hAnsi="Times New Roman" w:cs="Times New Roman"/>
          <w:color w:val="auto"/>
          <w:highlight w:val="none"/>
          <w:lang w:eastAsia="zh-CN"/>
        </w:rPr>
        <w:sectPr>
          <w:pgSz w:w="11906" w:h="16838"/>
          <w:pgMar w:top="1440" w:right="1800" w:bottom="1440" w:left="1800" w:header="851" w:footer="992" w:gutter="0"/>
          <w:cols w:space="425" w:num="1"/>
          <w:docGrid w:type="lines" w:linePitch="312" w:charSpace="0"/>
        </w:sectPr>
      </w:pPr>
    </w:p>
    <w:p w14:paraId="0BD729AC">
      <w:pPr>
        <w:kinsoku/>
        <w:spacing w:line="360" w:lineRule="auto"/>
        <w:jc w:val="center"/>
        <w:outlineLvl w:val="0"/>
        <w:rPr>
          <w:rFonts w:ascii="Times New Roman" w:hAnsi="Times New Roman" w:cs="Times New Roman"/>
          <w:color w:val="auto"/>
          <w:highlight w:val="none"/>
        </w:rPr>
      </w:pPr>
      <w:r>
        <w:rPr>
          <w:rFonts w:ascii="Times New Roman" w:hAnsi="Times New Roman" w:cs="Times New Roman" w:eastAsiaTheme="minorEastAsia"/>
          <w:b/>
          <w:color w:val="auto"/>
          <w:kern w:val="44"/>
          <w:sz w:val="30"/>
          <w:szCs w:val="30"/>
          <w:highlight w:val="none"/>
        </w:rPr>
        <w:t>七、结论</w:t>
      </w:r>
    </w:p>
    <w:tbl>
      <w:tblPr>
        <w:tblStyle w:val="21"/>
        <w:tblW w:w="8635"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35"/>
      </w:tblGrid>
      <w:tr w14:paraId="68590BE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307" w:hRule="atLeast"/>
          <w:jc w:val="center"/>
        </w:trPr>
        <w:tc>
          <w:tcPr>
            <w:tcW w:w="8635" w:type="dxa"/>
          </w:tcPr>
          <w:p w14:paraId="586651B2">
            <w:pPr>
              <w:pStyle w:val="22"/>
              <w:kinsoku/>
              <w:spacing w:before="117" w:line="361" w:lineRule="auto"/>
              <w:ind w:left="117" w:right="106" w:firstLine="480"/>
              <w:jc w:val="both"/>
              <w:rPr>
                <w:rFonts w:ascii="Times New Roman" w:hAnsi="Times New Roman" w:cs="Times New Roman"/>
                <w:color w:val="auto"/>
                <w:sz w:val="24"/>
                <w:szCs w:val="24"/>
                <w:highlight w:val="none"/>
                <w:lang w:eastAsia="zh-CN"/>
              </w:rPr>
            </w:pPr>
            <w:r>
              <w:rPr>
                <w:rFonts w:ascii="Times New Roman" w:hAnsi="Times New Roman" w:cs="Times New Roman"/>
                <w:color w:val="auto"/>
                <w:spacing w:val="-3"/>
                <w:sz w:val="24"/>
                <w:szCs w:val="24"/>
                <w:highlight w:val="none"/>
                <w:lang w:eastAsia="zh-CN"/>
              </w:rPr>
              <w:t>本工程符合国家产业政策，选址较为合理，项目建设符合达标排放、总量控制及维持环境质量原则；符合风险防范措施要求。通过加强管理，污染物无害处理，及时恢复原貌等措施，在各项污染治理措施实施且确保全部污染物达标排放的前提下，本次项目的建设从环境影响角度而言，项目实施是可行的。</w:t>
            </w:r>
          </w:p>
        </w:tc>
      </w:tr>
    </w:tbl>
    <w:p w14:paraId="3B2B8360">
      <w:pPr>
        <w:pStyle w:val="8"/>
        <w:kinsoku/>
        <w:rPr>
          <w:rFonts w:ascii="Times New Roman" w:hAnsi="Times New Roman" w:cs="Times New Roman"/>
          <w:color w:val="auto"/>
          <w:sz w:val="21"/>
          <w:highlight w:val="none"/>
          <w:lang w:eastAsia="zh-CN"/>
        </w:rPr>
      </w:pPr>
    </w:p>
    <w:sectPr>
      <w:footerReference r:id="rId7" w:type="default"/>
      <w:pgSz w:w="11900" w:h="16840"/>
      <w:pgMar w:top="1440" w:right="1803" w:bottom="1440" w:left="1803" w:header="850"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59D26">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FE6E5">
    <w:pPr>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posOffset>2617470</wp:posOffset>
              </wp:positionH>
              <wp:positionV relativeFrom="paragraph">
                <wp:posOffset>-228600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B08D6">
                          <w:pPr>
                            <w:pStyle w:val="12"/>
                            <w:rPr>
                              <w:rFonts w:ascii="Times New Roman" w:hAnsi="Times New Roman" w:eastAsia="宋体" w:cs="Times New Roman"/>
                              <w:sz w:val="21"/>
                            </w:rPr>
                          </w:pPr>
                          <w:r>
                            <w:rPr>
                              <w:rFonts w:ascii="Times New Roman" w:hAnsi="Times New Roman" w:eastAsia="宋体" w:cs="Times New Roman"/>
                              <w:sz w:val="21"/>
                            </w:rPr>
                            <w:fldChar w:fldCharType="begin"/>
                          </w:r>
                          <w:r>
                            <w:rPr>
                              <w:rFonts w:ascii="Times New Roman" w:hAnsi="Times New Roman" w:eastAsia="宋体" w:cs="Times New Roman"/>
                              <w:sz w:val="21"/>
                            </w:rPr>
                            <w:instrText xml:space="preserve"> PAGE  \* MERGEFORMAT </w:instrText>
                          </w:r>
                          <w:r>
                            <w:rPr>
                              <w:rFonts w:ascii="Times New Roman" w:hAnsi="Times New Roman" w:eastAsia="宋体" w:cs="Times New Roman"/>
                              <w:sz w:val="21"/>
                            </w:rPr>
                            <w:fldChar w:fldCharType="separate"/>
                          </w:r>
                          <w:r>
                            <w:rPr>
                              <w:rFonts w:ascii="Times New Roman" w:hAnsi="Times New Roman" w:eastAsia="宋体" w:cs="Times New Roman"/>
                              <w:sz w:val="21"/>
                            </w:rPr>
                            <w:t>2</w:t>
                          </w:r>
                          <w:r>
                            <w:rPr>
                              <w:rFonts w:ascii="Times New Roman" w:hAnsi="Times New Roman" w:eastAsia="宋体" w:cs="Times New Roman"/>
                              <w:sz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6.1pt;margin-top:-18pt;height:144pt;width:144pt;mso-position-horizontal-relative:margin;mso-wrap-style:none;z-index:251659264;mso-width-relative:page;mso-height-relative:page;" filled="f" stroked="f" coordsize="21600,21600" o:gfxdata="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eqe32AAAAAsBAAAPAAAAAAAAAAEAIAAAACIAAABkcnMvZG93bnJldi54bWxQSwECFAAU&#10;AAAACACHTuJAjNcOfCoCAABVBAAADgAAAAAAAAABACAAAAAnAQAAZHJzL2Uyb0RvYy54bWxQSwUG&#10;AAAAAAYABgBZAQAAwwUAAAAA&#10;">
              <v:fill on="f" focussize="0,0"/>
              <v:stroke on="f" weight="0.5pt"/>
              <v:imagedata o:title=""/>
              <o:lock v:ext="edit" aspectratio="f"/>
              <v:textbox inset="0mm,0mm,0mm,0mm" style="mso-fit-shape-to-text:t;">
                <w:txbxContent>
                  <w:p w14:paraId="717B08D6">
                    <w:pPr>
                      <w:pStyle w:val="12"/>
                      <w:rPr>
                        <w:rFonts w:ascii="Times New Roman" w:hAnsi="Times New Roman" w:eastAsia="宋体" w:cs="Times New Roman"/>
                        <w:sz w:val="21"/>
                      </w:rPr>
                    </w:pPr>
                    <w:r>
                      <w:rPr>
                        <w:rFonts w:ascii="Times New Roman" w:hAnsi="Times New Roman" w:eastAsia="宋体" w:cs="Times New Roman"/>
                        <w:sz w:val="21"/>
                      </w:rPr>
                      <w:fldChar w:fldCharType="begin"/>
                    </w:r>
                    <w:r>
                      <w:rPr>
                        <w:rFonts w:ascii="Times New Roman" w:hAnsi="Times New Roman" w:eastAsia="宋体" w:cs="Times New Roman"/>
                        <w:sz w:val="21"/>
                      </w:rPr>
                      <w:instrText xml:space="preserve"> PAGE  \* MERGEFORMAT </w:instrText>
                    </w:r>
                    <w:r>
                      <w:rPr>
                        <w:rFonts w:ascii="Times New Roman" w:hAnsi="Times New Roman" w:eastAsia="宋体" w:cs="Times New Roman"/>
                        <w:sz w:val="21"/>
                      </w:rPr>
                      <w:fldChar w:fldCharType="separate"/>
                    </w:r>
                    <w:r>
                      <w:rPr>
                        <w:rFonts w:ascii="Times New Roman" w:hAnsi="Times New Roman" w:eastAsia="宋体" w:cs="Times New Roman"/>
                        <w:sz w:val="21"/>
                      </w:rPr>
                      <w:t>2</w:t>
                    </w:r>
                    <w:r>
                      <w:rPr>
                        <w:rFonts w:ascii="Times New Roman" w:hAnsi="Times New Roman" w:eastAsia="宋体" w:cs="Times New Roman"/>
                        <w:sz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A653">
    <w:pPr>
      <w:spacing w:line="176" w:lineRule="auto"/>
      <w:ind w:left="45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9166E">
                          <w:pPr>
                            <w:pStyle w:val="1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DC9166E">
                    <w:pPr>
                      <w:pStyle w:val="1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B299">
    <w:pPr>
      <w:jc w:val="right"/>
      <w:rPr>
        <w:rFonts w:hint="eastAsia" w:ascii="宋体" w:hAnsi="宋体" w:eastAsia="宋体" w:cs="宋体"/>
        <w:sz w:val="26"/>
        <w:szCs w:val="26"/>
      </w:rPr>
    </w:pPr>
    <w:r>
      <w:rPr>
        <w:sz w:val="2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4F896">
                          <w:pPr>
                            <w:pStyle w:val="12"/>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E24F896">
                    <w:pPr>
                      <w:pStyle w:val="12"/>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688B">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F469D9"/>
    <w:multiLevelType w:val="singleLevel"/>
    <w:tmpl w:val="A3F469D9"/>
    <w:lvl w:ilvl="0" w:tentative="0">
      <w:start w:val="1"/>
      <w:numFmt w:val="decimal"/>
      <w:lvlText w:val="%1."/>
      <w:lvlJc w:val="left"/>
      <w:pPr>
        <w:tabs>
          <w:tab w:val="left" w:pos="312"/>
        </w:tabs>
      </w:pPr>
    </w:lvl>
  </w:abstractNum>
  <w:abstractNum w:abstractNumId="1">
    <w:nsid w:val="B6D59053"/>
    <w:multiLevelType w:val="singleLevel"/>
    <w:tmpl w:val="B6D59053"/>
    <w:lvl w:ilvl="0" w:tentative="0">
      <w:start w:val="3"/>
      <w:numFmt w:val="decimal"/>
      <w:suff w:val="nothing"/>
      <w:lvlText w:val="（%1）"/>
      <w:lvlJc w:val="left"/>
    </w:lvl>
  </w:abstractNum>
  <w:abstractNum w:abstractNumId="2">
    <w:nsid w:val="BC0AF283"/>
    <w:multiLevelType w:val="singleLevel"/>
    <w:tmpl w:val="BC0AF283"/>
    <w:lvl w:ilvl="0" w:tentative="0">
      <w:start w:val="4"/>
      <w:numFmt w:val="decimal"/>
      <w:lvlText w:val="%1."/>
      <w:lvlJc w:val="left"/>
      <w:pPr>
        <w:tabs>
          <w:tab w:val="left" w:pos="312"/>
        </w:tabs>
      </w:pPr>
    </w:lvl>
  </w:abstractNum>
  <w:abstractNum w:abstractNumId="3">
    <w:nsid w:val="C52127BF"/>
    <w:multiLevelType w:val="singleLevel"/>
    <w:tmpl w:val="C52127BF"/>
    <w:lvl w:ilvl="0" w:tentative="0">
      <w:start w:val="2"/>
      <w:numFmt w:val="decimal"/>
      <w:suff w:val="nothing"/>
      <w:lvlText w:val="（%1）"/>
      <w:lvlJc w:val="left"/>
    </w:lvl>
  </w:abstractNum>
  <w:abstractNum w:abstractNumId="4">
    <w:nsid w:val="EF497A97"/>
    <w:multiLevelType w:val="singleLevel"/>
    <w:tmpl w:val="EF497A97"/>
    <w:lvl w:ilvl="0" w:tentative="0">
      <w:start w:val="14"/>
      <w:numFmt w:val="decimal"/>
      <w:lvlText w:val="%1."/>
      <w:lvlJc w:val="left"/>
      <w:pPr>
        <w:tabs>
          <w:tab w:val="left" w:pos="312"/>
        </w:tabs>
      </w:pPr>
    </w:lvl>
  </w:abstractNum>
  <w:abstractNum w:abstractNumId="5">
    <w:nsid w:val="160EB033"/>
    <w:multiLevelType w:val="singleLevel"/>
    <w:tmpl w:val="160EB033"/>
    <w:lvl w:ilvl="0" w:tentative="0">
      <w:start w:val="9"/>
      <w:numFmt w:val="decimal"/>
      <w:lvlText w:val="%1."/>
      <w:lvlJc w:val="left"/>
      <w:pPr>
        <w:tabs>
          <w:tab w:val="left" w:pos="312"/>
        </w:tabs>
      </w:pPr>
    </w:lvl>
  </w:abstractNum>
  <w:abstractNum w:abstractNumId="6">
    <w:nsid w:val="1D6817A2"/>
    <w:multiLevelType w:val="singleLevel"/>
    <w:tmpl w:val="1D6817A2"/>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7">
    <w:nsid w:val="259BB888"/>
    <w:multiLevelType w:val="singleLevel"/>
    <w:tmpl w:val="259BB888"/>
    <w:lvl w:ilvl="0" w:tentative="0">
      <w:start w:val="1"/>
      <w:numFmt w:val="chineseCounting"/>
      <w:suff w:val="nothing"/>
      <w:lvlText w:val="%1、"/>
      <w:lvlJc w:val="left"/>
      <w:rPr>
        <w:rFonts w:hint="eastAsia"/>
      </w:rPr>
    </w:lvl>
  </w:abstractNum>
  <w:abstractNum w:abstractNumId="8">
    <w:nsid w:val="37C54A46"/>
    <w:multiLevelType w:val="singleLevel"/>
    <w:tmpl w:val="37C54A46"/>
    <w:lvl w:ilvl="0" w:tentative="0">
      <w:start w:val="1"/>
      <w:numFmt w:val="decimal"/>
      <w:lvlText w:val="%1."/>
      <w:lvlJc w:val="left"/>
      <w:pPr>
        <w:tabs>
          <w:tab w:val="left" w:pos="312"/>
        </w:tabs>
      </w:pPr>
    </w:lvl>
  </w:abstractNum>
  <w:abstractNum w:abstractNumId="9">
    <w:nsid w:val="4D7761CD"/>
    <w:multiLevelType w:val="singleLevel"/>
    <w:tmpl w:val="4D7761CD"/>
    <w:lvl w:ilvl="0" w:tentative="0">
      <w:start w:val="3"/>
      <w:numFmt w:val="decimal"/>
      <w:lvlText w:val="%1."/>
      <w:lvlJc w:val="left"/>
      <w:pPr>
        <w:tabs>
          <w:tab w:val="left" w:pos="312"/>
        </w:tabs>
      </w:pPr>
    </w:lvl>
  </w:abstractNum>
  <w:num w:numId="1">
    <w:abstractNumId w:val="6"/>
  </w:num>
  <w:num w:numId="2">
    <w:abstractNumId w:val="7"/>
  </w:num>
  <w:num w:numId="3">
    <w:abstractNumId w:val="9"/>
  </w:num>
  <w:num w:numId="4">
    <w:abstractNumId w:val="4"/>
  </w:num>
  <w:num w:numId="5">
    <w:abstractNumId w:val="3"/>
  </w:num>
  <w:num w:numId="6">
    <w:abstractNumId w:val="8"/>
  </w:num>
  <w:num w:numId="7">
    <w:abstractNumId w:val="1"/>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ZDJkZTY5YTRhOTQ1OTRkYTc3MGJiMzgzZjQxZjI4MzEifQ=="/>
  </w:docVars>
  <w:rsids>
    <w:rsidRoot w:val="00172A27"/>
    <w:rsid w:val="000504BE"/>
    <w:rsid w:val="00075A58"/>
    <w:rsid w:val="000921CE"/>
    <w:rsid w:val="00092E67"/>
    <w:rsid w:val="000B7725"/>
    <w:rsid w:val="0015634E"/>
    <w:rsid w:val="0016362C"/>
    <w:rsid w:val="00172A27"/>
    <w:rsid w:val="001E57F7"/>
    <w:rsid w:val="001E6476"/>
    <w:rsid w:val="001F076F"/>
    <w:rsid w:val="00203E00"/>
    <w:rsid w:val="00237B13"/>
    <w:rsid w:val="0029664E"/>
    <w:rsid w:val="00296707"/>
    <w:rsid w:val="002D1EDF"/>
    <w:rsid w:val="002E6CDB"/>
    <w:rsid w:val="002F75C1"/>
    <w:rsid w:val="0034431D"/>
    <w:rsid w:val="003938E4"/>
    <w:rsid w:val="003C1BFA"/>
    <w:rsid w:val="003C1CA4"/>
    <w:rsid w:val="003C3014"/>
    <w:rsid w:val="004663DD"/>
    <w:rsid w:val="004E460D"/>
    <w:rsid w:val="00546770"/>
    <w:rsid w:val="005716CC"/>
    <w:rsid w:val="005758C7"/>
    <w:rsid w:val="005856C3"/>
    <w:rsid w:val="005B134C"/>
    <w:rsid w:val="006645B8"/>
    <w:rsid w:val="00682605"/>
    <w:rsid w:val="006A4FB4"/>
    <w:rsid w:val="006A6197"/>
    <w:rsid w:val="006B31C3"/>
    <w:rsid w:val="007346A6"/>
    <w:rsid w:val="00762ECA"/>
    <w:rsid w:val="007B3914"/>
    <w:rsid w:val="007B3ED8"/>
    <w:rsid w:val="007E03D3"/>
    <w:rsid w:val="007E4A55"/>
    <w:rsid w:val="008015FA"/>
    <w:rsid w:val="00882EC4"/>
    <w:rsid w:val="008C51C1"/>
    <w:rsid w:val="009374B2"/>
    <w:rsid w:val="00960BD2"/>
    <w:rsid w:val="009B2E95"/>
    <w:rsid w:val="009D3EDB"/>
    <w:rsid w:val="00A44342"/>
    <w:rsid w:val="00A758F7"/>
    <w:rsid w:val="00A96CA4"/>
    <w:rsid w:val="00AC2FA9"/>
    <w:rsid w:val="00AD6EA2"/>
    <w:rsid w:val="00B57DB9"/>
    <w:rsid w:val="00B67208"/>
    <w:rsid w:val="00C301D0"/>
    <w:rsid w:val="00C705F8"/>
    <w:rsid w:val="00C86A7E"/>
    <w:rsid w:val="00C950CA"/>
    <w:rsid w:val="00CA5DC7"/>
    <w:rsid w:val="00CF038F"/>
    <w:rsid w:val="00CF6DC1"/>
    <w:rsid w:val="00D074CA"/>
    <w:rsid w:val="00D264E6"/>
    <w:rsid w:val="00D4295E"/>
    <w:rsid w:val="00D52DF3"/>
    <w:rsid w:val="00D70BF4"/>
    <w:rsid w:val="00DD70D0"/>
    <w:rsid w:val="00DF78EB"/>
    <w:rsid w:val="00E05428"/>
    <w:rsid w:val="00E21DF1"/>
    <w:rsid w:val="00F036EF"/>
    <w:rsid w:val="00FE39D7"/>
    <w:rsid w:val="00FE5CAC"/>
    <w:rsid w:val="01044493"/>
    <w:rsid w:val="010D7DD7"/>
    <w:rsid w:val="01201F55"/>
    <w:rsid w:val="01395BF5"/>
    <w:rsid w:val="019A3EBD"/>
    <w:rsid w:val="01FA184C"/>
    <w:rsid w:val="02564BEC"/>
    <w:rsid w:val="02DC2156"/>
    <w:rsid w:val="02EB406C"/>
    <w:rsid w:val="03157E45"/>
    <w:rsid w:val="032A4C70"/>
    <w:rsid w:val="033E4BBF"/>
    <w:rsid w:val="03A25B62"/>
    <w:rsid w:val="045521C0"/>
    <w:rsid w:val="04A171B4"/>
    <w:rsid w:val="04AF1EC4"/>
    <w:rsid w:val="04D23811"/>
    <w:rsid w:val="04D74AE9"/>
    <w:rsid w:val="05265EEB"/>
    <w:rsid w:val="05A14728"/>
    <w:rsid w:val="05B0119F"/>
    <w:rsid w:val="06344057"/>
    <w:rsid w:val="06497B03"/>
    <w:rsid w:val="0699220F"/>
    <w:rsid w:val="06AE392B"/>
    <w:rsid w:val="06B93618"/>
    <w:rsid w:val="06E94E42"/>
    <w:rsid w:val="071043F5"/>
    <w:rsid w:val="071C5217"/>
    <w:rsid w:val="07260BAC"/>
    <w:rsid w:val="078A03D3"/>
    <w:rsid w:val="07996868"/>
    <w:rsid w:val="079979A2"/>
    <w:rsid w:val="07AF7E3A"/>
    <w:rsid w:val="07D66425"/>
    <w:rsid w:val="07DD4B51"/>
    <w:rsid w:val="07EF2DEB"/>
    <w:rsid w:val="083131ED"/>
    <w:rsid w:val="08400A1F"/>
    <w:rsid w:val="088F5575"/>
    <w:rsid w:val="088F72E1"/>
    <w:rsid w:val="0900542F"/>
    <w:rsid w:val="092F76BF"/>
    <w:rsid w:val="093079A7"/>
    <w:rsid w:val="095D6A21"/>
    <w:rsid w:val="098C700B"/>
    <w:rsid w:val="09BC683E"/>
    <w:rsid w:val="09ED189F"/>
    <w:rsid w:val="0A1977EC"/>
    <w:rsid w:val="0A3705E1"/>
    <w:rsid w:val="0A6A0048"/>
    <w:rsid w:val="0A8729A8"/>
    <w:rsid w:val="0A8B5E02"/>
    <w:rsid w:val="0A9450C5"/>
    <w:rsid w:val="0A984BB5"/>
    <w:rsid w:val="0AA764FC"/>
    <w:rsid w:val="0ADA51CD"/>
    <w:rsid w:val="0B4A371F"/>
    <w:rsid w:val="0B5C1166"/>
    <w:rsid w:val="0B640F3B"/>
    <w:rsid w:val="0B955598"/>
    <w:rsid w:val="0BC31187"/>
    <w:rsid w:val="0BF220E7"/>
    <w:rsid w:val="0C1049B5"/>
    <w:rsid w:val="0C2D757F"/>
    <w:rsid w:val="0C4E4A99"/>
    <w:rsid w:val="0C831895"/>
    <w:rsid w:val="0CDD0FA5"/>
    <w:rsid w:val="0D3122B2"/>
    <w:rsid w:val="0D4A1CA3"/>
    <w:rsid w:val="0D906017"/>
    <w:rsid w:val="0DE85E53"/>
    <w:rsid w:val="0E2350DD"/>
    <w:rsid w:val="0E280A8B"/>
    <w:rsid w:val="0EA97F9C"/>
    <w:rsid w:val="0F2014D7"/>
    <w:rsid w:val="0FAE09D7"/>
    <w:rsid w:val="0FCC70AF"/>
    <w:rsid w:val="0FF705D0"/>
    <w:rsid w:val="0FF87EA4"/>
    <w:rsid w:val="100B407B"/>
    <w:rsid w:val="10120F66"/>
    <w:rsid w:val="101E2E6A"/>
    <w:rsid w:val="102C283E"/>
    <w:rsid w:val="103213D7"/>
    <w:rsid w:val="103425BC"/>
    <w:rsid w:val="10433815"/>
    <w:rsid w:val="105842F0"/>
    <w:rsid w:val="10675755"/>
    <w:rsid w:val="106D0892"/>
    <w:rsid w:val="109E5824"/>
    <w:rsid w:val="10A5781E"/>
    <w:rsid w:val="10FC5772"/>
    <w:rsid w:val="1178761E"/>
    <w:rsid w:val="11906F6E"/>
    <w:rsid w:val="11A958FA"/>
    <w:rsid w:val="11F3162F"/>
    <w:rsid w:val="12A91C97"/>
    <w:rsid w:val="13491142"/>
    <w:rsid w:val="13AA5959"/>
    <w:rsid w:val="13BA0C00"/>
    <w:rsid w:val="13D824C6"/>
    <w:rsid w:val="147072F3"/>
    <w:rsid w:val="150A2963"/>
    <w:rsid w:val="152A4FA3"/>
    <w:rsid w:val="157F329D"/>
    <w:rsid w:val="15EA64E1"/>
    <w:rsid w:val="15F01D49"/>
    <w:rsid w:val="15F508CB"/>
    <w:rsid w:val="162714E3"/>
    <w:rsid w:val="163063CC"/>
    <w:rsid w:val="163C6D3C"/>
    <w:rsid w:val="169F72CB"/>
    <w:rsid w:val="16A448E1"/>
    <w:rsid w:val="16A95739"/>
    <w:rsid w:val="16DF3B6C"/>
    <w:rsid w:val="1730295E"/>
    <w:rsid w:val="18351A03"/>
    <w:rsid w:val="185D172B"/>
    <w:rsid w:val="18636D79"/>
    <w:rsid w:val="18E84F59"/>
    <w:rsid w:val="19255746"/>
    <w:rsid w:val="195066E0"/>
    <w:rsid w:val="19D43730"/>
    <w:rsid w:val="19DC576F"/>
    <w:rsid w:val="1A187AC0"/>
    <w:rsid w:val="1A1D1D3F"/>
    <w:rsid w:val="1A3775FF"/>
    <w:rsid w:val="1A57262E"/>
    <w:rsid w:val="1AC148E7"/>
    <w:rsid w:val="1B4D5264"/>
    <w:rsid w:val="1BC670A8"/>
    <w:rsid w:val="1BDF01FB"/>
    <w:rsid w:val="1BFB1448"/>
    <w:rsid w:val="1C077DEC"/>
    <w:rsid w:val="1C47643B"/>
    <w:rsid w:val="1CA130B4"/>
    <w:rsid w:val="1CBF2475"/>
    <w:rsid w:val="1CD777BF"/>
    <w:rsid w:val="1D6416CF"/>
    <w:rsid w:val="1D7A1413"/>
    <w:rsid w:val="1D951428"/>
    <w:rsid w:val="1DAB29F9"/>
    <w:rsid w:val="1DAC0C4B"/>
    <w:rsid w:val="1DB72B3A"/>
    <w:rsid w:val="1E0B7995"/>
    <w:rsid w:val="1E7E1EBC"/>
    <w:rsid w:val="1E893A4C"/>
    <w:rsid w:val="1EA47B74"/>
    <w:rsid w:val="1EE066D3"/>
    <w:rsid w:val="1F327ABD"/>
    <w:rsid w:val="1F417171"/>
    <w:rsid w:val="1F443106"/>
    <w:rsid w:val="1F494278"/>
    <w:rsid w:val="1FF71804"/>
    <w:rsid w:val="2093163A"/>
    <w:rsid w:val="20B17216"/>
    <w:rsid w:val="20F87D04"/>
    <w:rsid w:val="20FF72E4"/>
    <w:rsid w:val="213D7E0C"/>
    <w:rsid w:val="214473ED"/>
    <w:rsid w:val="217C03FE"/>
    <w:rsid w:val="2191122E"/>
    <w:rsid w:val="21C67E02"/>
    <w:rsid w:val="21E41F66"/>
    <w:rsid w:val="22031056"/>
    <w:rsid w:val="22B755C4"/>
    <w:rsid w:val="22E76282"/>
    <w:rsid w:val="22EE0645"/>
    <w:rsid w:val="235B72E4"/>
    <w:rsid w:val="23C26914"/>
    <w:rsid w:val="23CD5478"/>
    <w:rsid w:val="23D5432C"/>
    <w:rsid w:val="23DF233A"/>
    <w:rsid w:val="23F01166"/>
    <w:rsid w:val="23F52231"/>
    <w:rsid w:val="245E4EEC"/>
    <w:rsid w:val="249C309C"/>
    <w:rsid w:val="24A3267C"/>
    <w:rsid w:val="24AD7352"/>
    <w:rsid w:val="25304740"/>
    <w:rsid w:val="25432B6D"/>
    <w:rsid w:val="25A8248F"/>
    <w:rsid w:val="25B52240"/>
    <w:rsid w:val="25E940BF"/>
    <w:rsid w:val="25E96933"/>
    <w:rsid w:val="26066AD3"/>
    <w:rsid w:val="26067703"/>
    <w:rsid w:val="261D1FBA"/>
    <w:rsid w:val="264A7253"/>
    <w:rsid w:val="26597496"/>
    <w:rsid w:val="26920BFA"/>
    <w:rsid w:val="26AD333E"/>
    <w:rsid w:val="26AF355A"/>
    <w:rsid w:val="26D055EC"/>
    <w:rsid w:val="26D7660D"/>
    <w:rsid w:val="26D905D7"/>
    <w:rsid w:val="26DD4EC1"/>
    <w:rsid w:val="27181100"/>
    <w:rsid w:val="27351CB2"/>
    <w:rsid w:val="27572868"/>
    <w:rsid w:val="27865B39"/>
    <w:rsid w:val="27897907"/>
    <w:rsid w:val="27940A85"/>
    <w:rsid w:val="27FD1D81"/>
    <w:rsid w:val="28CB21A2"/>
    <w:rsid w:val="28DC615D"/>
    <w:rsid w:val="29207CF7"/>
    <w:rsid w:val="29D60DFE"/>
    <w:rsid w:val="29EF0897"/>
    <w:rsid w:val="2A30050E"/>
    <w:rsid w:val="2A587A65"/>
    <w:rsid w:val="2A5C5F6F"/>
    <w:rsid w:val="2A614B6C"/>
    <w:rsid w:val="2AB82BD0"/>
    <w:rsid w:val="2ACB0237"/>
    <w:rsid w:val="2B0F45C8"/>
    <w:rsid w:val="2B17347C"/>
    <w:rsid w:val="2B275DB5"/>
    <w:rsid w:val="2B482BD6"/>
    <w:rsid w:val="2B4A5938"/>
    <w:rsid w:val="2B93322F"/>
    <w:rsid w:val="2BA03472"/>
    <w:rsid w:val="2BC25ADE"/>
    <w:rsid w:val="2BEE0B7E"/>
    <w:rsid w:val="2C0C1B4C"/>
    <w:rsid w:val="2C1361B6"/>
    <w:rsid w:val="2C29790B"/>
    <w:rsid w:val="2C791CD0"/>
    <w:rsid w:val="2CA376BD"/>
    <w:rsid w:val="2CCB09C2"/>
    <w:rsid w:val="2CD63C1A"/>
    <w:rsid w:val="2CEF2903"/>
    <w:rsid w:val="2CFB18D4"/>
    <w:rsid w:val="2D12039F"/>
    <w:rsid w:val="2D26488F"/>
    <w:rsid w:val="2D2D6F87"/>
    <w:rsid w:val="2D2F2EE4"/>
    <w:rsid w:val="2D4B565F"/>
    <w:rsid w:val="2D5C5ABE"/>
    <w:rsid w:val="2D662499"/>
    <w:rsid w:val="2D803D0D"/>
    <w:rsid w:val="2D8950BC"/>
    <w:rsid w:val="2D99461C"/>
    <w:rsid w:val="2DC31699"/>
    <w:rsid w:val="2E3D144C"/>
    <w:rsid w:val="2E684FF5"/>
    <w:rsid w:val="2E903C71"/>
    <w:rsid w:val="2EC11C97"/>
    <w:rsid w:val="2ED22555"/>
    <w:rsid w:val="2EE6563F"/>
    <w:rsid w:val="2F2B5748"/>
    <w:rsid w:val="2F697D76"/>
    <w:rsid w:val="2F6A6270"/>
    <w:rsid w:val="2FA0417A"/>
    <w:rsid w:val="2FA8323D"/>
    <w:rsid w:val="2FE0009C"/>
    <w:rsid w:val="30063D65"/>
    <w:rsid w:val="30731155"/>
    <w:rsid w:val="307B625B"/>
    <w:rsid w:val="312243DD"/>
    <w:rsid w:val="313905F0"/>
    <w:rsid w:val="313F54DB"/>
    <w:rsid w:val="317938E9"/>
    <w:rsid w:val="3180559A"/>
    <w:rsid w:val="31E16592"/>
    <w:rsid w:val="3227225E"/>
    <w:rsid w:val="324B3593"/>
    <w:rsid w:val="32A64F38"/>
    <w:rsid w:val="32B141B6"/>
    <w:rsid w:val="32D44EC9"/>
    <w:rsid w:val="32D85BE7"/>
    <w:rsid w:val="32DC04D1"/>
    <w:rsid w:val="32FD6730"/>
    <w:rsid w:val="333252F7"/>
    <w:rsid w:val="339C4E66"/>
    <w:rsid w:val="343E7CCC"/>
    <w:rsid w:val="34727975"/>
    <w:rsid w:val="34790D04"/>
    <w:rsid w:val="353B237C"/>
    <w:rsid w:val="355359F9"/>
    <w:rsid w:val="357C1A51"/>
    <w:rsid w:val="35BB3BDF"/>
    <w:rsid w:val="36111DCE"/>
    <w:rsid w:val="3647730B"/>
    <w:rsid w:val="368D6CE8"/>
    <w:rsid w:val="369F2A69"/>
    <w:rsid w:val="36B6623F"/>
    <w:rsid w:val="36DF7544"/>
    <w:rsid w:val="37160A8C"/>
    <w:rsid w:val="378B147A"/>
    <w:rsid w:val="37B1205E"/>
    <w:rsid w:val="37C30C14"/>
    <w:rsid w:val="37CE1367"/>
    <w:rsid w:val="37FF59C4"/>
    <w:rsid w:val="38212EAA"/>
    <w:rsid w:val="38561A88"/>
    <w:rsid w:val="39475874"/>
    <w:rsid w:val="3981130E"/>
    <w:rsid w:val="398E2D3B"/>
    <w:rsid w:val="399C7446"/>
    <w:rsid w:val="39A15A80"/>
    <w:rsid w:val="39D202DA"/>
    <w:rsid w:val="39E13DEF"/>
    <w:rsid w:val="3A1219DE"/>
    <w:rsid w:val="3A3758E9"/>
    <w:rsid w:val="3A376690"/>
    <w:rsid w:val="3A376E6F"/>
    <w:rsid w:val="3A881CA1"/>
    <w:rsid w:val="3A893407"/>
    <w:rsid w:val="3AA27206"/>
    <w:rsid w:val="3AA928FB"/>
    <w:rsid w:val="3B066997"/>
    <w:rsid w:val="3B593282"/>
    <w:rsid w:val="3B672905"/>
    <w:rsid w:val="3B6C15C2"/>
    <w:rsid w:val="3B7A69BA"/>
    <w:rsid w:val="3B7D37CF"/>
    <w:rsid w:val="3B893F22"/>
    <w:rsid w:val="3B9A612F"/>
    <w:rsid w:val="3BAE5737"/>
    <w:rsid w:val="3C017F5D"/>
    <w:rsid w:val="3C137C90"/>
    <w:rsid w:val="3C634773"/>
    <w:rsid w:val="3C8F5568"/>
    <w:rsid w:val="3CA8487C"/>
    <w:rsid w:val="3D0E5C24"/>
    <w:rsid w:val="3D7824A0"/>
    <w:rsid w:val="3D9C2ADA"/>
    <w:rsid w:val="3DA05553"/>
    <w:rsid w:val="3DC00792"/>
    <w:rsid w:val="3DC627CD"/>
    <w:rsid w:val="3DD1395F"/>
    <w:rsid w:val="3E235CFC"/>
    <w:rsid w:val="3E23723A"/>
    <w:rsid w:val="3E497999"/>
    <w:rsid w:val="3E7E5894"/>
    <w:rsid w:val="3EAD1133"/>
    <w:rsid w:val="3ED8395B"/>
    <w:rsid w:val="3FEC74D2"/>
    <w:rsid w:val="3FED77F5"/>
    <w:rsid w:val="405100E3"/>
    <w:rsid w:val="40A55471"/>
    <w:rsid w:val="41006A35"/>
    <w:rsid w:val="41371D0B"/>
    <w:rsid w:val="414546A9"/>
    <w:rsid w:val="41732F67"/>
    <w:rsid w:val="41CE6B33"/>
    <w:rsid w:val="41F30A12"/>
    <w:rsid w:val="422D2A24"/>
    <w:rsid w:val="42927B60"/>
    <w:rsid w:val="42C10446"/>
    <w:rsid w:val="42EF6939"/>
    <w:rsid w:val="42FF1A11"/>
    <w:rsid w:val="43044172"/>
    <w:rsid w:val="430D5439"/>
    <w:rsid w:val="433B01F8"/>
    <w:rsid w:val="4383394D"/>
    <w:rsid w:val="43857FF6"/>
    <w:rsid w:val="438D1543"/>
    <w:rsid w:val="43A63197"/>
    <w:rsid w:val="43EF2D90"/>
    <w:rsid w:val="44293C1E"/>
    <w:rsid w:val="44B97745"/>
    <w:rsid w:val="44D07B86"/>
    <w:rsid w:val="44E93C84"/>
    <w:rsid w:val="44EF3FD1"/>
    <w:rsid w:val="44FA7C3F"/>
    <w:rsid w:val="45091972"/>
    <w:rsid w:val="451172DF"/>
    <w:rsid w:val="45184A87"/>
    <w:rsid w:val="45202030"/>
    <w:rsid w:val="45444DD9"/>
    <w:rsid w:val="456652D4"/>
    <w:rsid w:val="45832866"/>
    <w:rsid w:val="45A04A0E"/>
    <w:rsid w:val="45D73785"/>
    <w:rsid w:val="460743C1"/>
    <w:rsid w:val="461B60BF"/>
    <w:rsid w:val="46205483"/>
    <w:rsid w:val="46710529"/>
    <w:rsid w:val="467147E6"/>
    <w:rsid w:val="46844BE7"/>
    <w:rsid w:val="47535603"/>
    <w:rsid w:val="47680EBB"/>
    <w:rsid w:val="478D08F6"/>
    <w:rsid w:val="4799729B"/>
    <w:rsid w:val="48027536"/>
    <w:rsid w:val="480768FB"/>
    <w:rsid w:val="48280889"/>
    <w:rsid w:val="48480CC1"/>
    <w:rsid w:val="48515DC8"/>
    <w:rsid w:val="487A5757"/>
    <w:rsid w:val="489B1DE1"/>
    <w:rsid w:val="48A4239B"/>
    <w:rsid w:val="49670780"/>
    <w:rsid w:val="497D499A"/>
    <w:rsid w:val="49DF091C"/>
    <w:rsid w:val="49F44C5D"/>
    <w:rsid w:val="4A474C35"/>
    <w:rsid w:val="4A49144C"/>
    <w:rsid w:val="4A586ABE"/>
    <w:rsid w:val="4A627E06"/>
    <w:rsid w:val="4A6A35E0"/>
    <w:rsid w:val="4A7E6C1C"/>
    <w:rsid w:val="4AB740F4"/>
    <w:rsid w:val="4ACF6B37"/>
    <w:rsid w:val="4B0B4954"/>
    <w:rsid w:val="4B736055"/>
    <w:rsid w:val="4BAC42C6"/>
    <w:rsid w:val="4BBA0128"/>
    <w:rsid w:val="4BCB5E91"/>
    <w:rsid w:val="4BF03B4A"/>
    <w:rsid w:val="4C4507B6"/>
    <w:rsid w:val="4C511572"/>
    <w:rsid w:val="4C51283A"/>
    <w:rsid w:val="4C5F34F9"/>
    <w:rsid w:val="4C8326E8"/>
    <w:rsid w:val="4D0D7BAE"/>
    <w:rsid w:val="4D1D096E"/>
    <w:rsid w:val="4D2A2D10"/>
    <w:rsid w:val="4D4923C3"/>
    <w:rsid w:val="4D8456DD"/>
    <w:rsid w:val="4D9660BF"/>
    <w:rsid w:val="4E077B07"/>
    <w:rsid w:val="4E995D0F"/>
    <w:rsid w:val="4ECF7A46"/>
    <w:rsid w:val="4F1B712F"/>
    <w:rsid w:val="4F4E12B3"/>
    <w:rsid w:val="4F746032"/>
    <w:rsid w:val="4F895E47"/>
    <w:rsid w:val="4F9D768D"/>
    <w:rsid w:val="4FE05C03"/>
    <w:rsid w:val="500F0A42"/>
    <w:rsid w:val="50151DD1"/>
    <w:rsid w:val="501E6ED7"/>
    <w:rsid w:val="50496B61"/>
    <w:rsid w:val="50855C6C"/>
    <w:rsid w:val="50C23D07"/>
    <w:rsid w:val="50E0418D"/>
    <w:rsid w:val="5119321E"/>
    <w:rsid w:val="517D19DC"/>
    <w:rsid w:val="5198577B"/>
    <w:rsid w:val="51B00003"/>
    <w:rsid w:val="51FD2B1C"/>
    <w:rsid w:val="525207C6"/>
    <w:rsid w:val="52860D64"/>
    <w:rsid w:val="52AB2578"/>
    <w:rsid w:val="52F97788"/>
    <w:rsid w:val="531620E8"/>
    <w:rsid w:val="53430A03"/>
    <w:rsid w:val="53461CD2"/>
    <w:rsid w:val="53BC5A15"/>
    <w:rsid w:val="53F341D7"/>
    <w:rsid w:val="53F44044"/>
    <w:rsid w:val="5422686A"/>
    <w:rsid w:val="543E6C31"/>
    <w:rsid w:val="545F2D48"/>
    <w:rsid w:val="547C34DE"/>
    <w:rsid w:val="55004DFD"/>
    <w:rsid w:val="5507618C"/>
    <w:rsid w:val="550F69EE"/>
    <w:rsid w:val="5511700B"/>
    <w:rsid w:val="55342CF9"/>
    <w:rsid w:val="558E2409"/>
    <w:rsid w:val="559D43FA"/>
    <w:rsid w:val="56114DE8"/>
    <w:rsid w:val="563049D1"/>
    <w:rsid w:val="568B06F7"/>
    <w:rsid w:val="56900687"/>
    <w:rsid w:val="56C1680E"/>
    <w:rsid w:val="56F05B65"/>
    <w:rsid w:val="56F178E3"/>
    <w:rsid w:val="57347641"/>
    <w:rsid w:val="574A6804"/>
    <w:rsid w:val="577642E5"/>
    <w:rsid w:val="579A1556"/>
    <w:rsid w:val="57C122E3"/>
    <w:rsid w:val="57E427B4"/>
    <w:rsid w:val="57E71897"/>
    <w:rsid w:val="57F64F51"/>
    <w:rsid w:val="5829466B"/>
    <w:rsid w:val="596A31DF"/>
    <w:rsid w:val="59CA59DA"/>
    <w:rsid w:val="5A026F22"/>
    <w:rsid w:val="5A054C64"/>
    <w:rsid w:val="5A2D687B"/>
    <w:rsid w:val="5A366BCB"/>
    <w:rsid w:val="5A7E3EBC"/>
    <w:rsid w:val="5ABA15AB"/>
    <w:rsid w:val="5AC95C92"/>
    <w:rsid w:val="5ADB41DE"/>
    <w:rsid w:val="5AF977F4"/>
    <w:rsid w:val="5AFA3119"/>
    <w:rsid w:val="5B044F1C"/>
    <w:rsid w:val="5B0F6A1C"/>
    <w:rsid w:val="5B5973D3"/>
    <w:rsid w:val="5B752BA3"/>
    <w:rsid w:val="5B955B74"/>
    <w:rsid w:val="5C4E28F2"/>
    <w:rsid w:val="5C5E240A"/>
    <w:rsid w:val="5C621EFA"/>
    <w:rsid w:val="5C9B61CC"/>
    <w:rsid w:val="5CFB309E"/>
    <w:rsid w:val="5D227715"/>
    <w:rsid w:val="5D284EF1"/>
    <w:rsid w:val="5D340046"/>
    <w:rsid w:val="5D4D552D"/>
    <w:rsid w:val="5D552D03"/>
    <w:rsid w:val="5DAD3649"/>
    <w:rsid w:val="5DAD53F7"/>
    <w:rsid w:val="5E0A6C17"/>
    <w:rsid w:val="5E224037"/>
    <w:rsid w:val="5E4E5AD0"/>
    <w:rsid w:val="5EBD5B0D"/>
    <w:rsid w:val="5EE74938"/>
    <w:rsid w:val="5EEF62A0"/>
    <w:rsid w:val="5EF72140"/>
    <w:rsid w:val="5F0279C4"/>
    <w:rsid w:val="5F0C439F"/>
    <w:rsid w:val="5F65716A"/>
    <w:rsid w:val="5FB00D41"/>
    <w:rsid w:val="5FDB0725"/>
    <w:rsid w:val="5FEA2EB1"/>
    <w:rsid w:val="5FF31A0F"/>
    <w:rsid w:val="5FFC08B7"/>
    <w:rsid w:val="60193217"/>
    <w:rsid w:val="6071095D"/>
    <w:rsid w:val="607E36A7"/>
    <w:rsid w:val="60E2116F"/>
    <w:rsid w:val="60F5158E"/>
    <w:rsid w:val="60FD7796"/>
    <w:rsid w:val="60FF4D92"/>
    <w:rsid w:val="610339F0"/>
    <w:rsid w:val="61113EEE"/>
    <w:rsid w:val="611539DF"/>
    <w:rsid w:val="611B187D"/>
    <w:rsid w:val="61206DDD"/>
    <w:rsid w:val="613423BA"/>
    <w:rsid w:val="617F354E"/>
    <w:rsid w:val="618E08DE"/>
    <w:rsid w:val="619A2136"/>
    <w:rsid w:val="61FA4982"/>
    <w:rsid w:val="620819A6"/>
    <w:rsid w:val="62144416"/>
    <w:rsid w:val="621A4DB8"/>
    <w:rsid w:val="62203C3B"/>
    <w:rsid w:val="62290BDA"/>
    <w:rsid w:val="624A23DF"/>
    <w:rsid w:val="624B062F"/>
    <w:rsid w:val="627110E9"/>
    <w:rsid w:val="62A82630"/>
    <w:rsid w:val="62D937D9"/>
    <w:rsid w:val="632A4FD2"/>
    <w:rsid w:val="63793376"/>
    <w:rsid w:val="63A811D2"/>
    <w:rsid w:val="63B60A91"/>
    <w:rsid w:val="640A312F"/>
    <w:rsid w:val="643028DD"/>
    <w:rsid w:val="64487FBE"/>
    <w:rsid w:val="646031C3"/>
    <w:rsid w:val="64790728"/>
    <w:rsid w:val="64A46FA1"/>
    <w:rsid w:val="65077AE2"/>
    <w:rsid w:val="651F4987"/>
    <w:rsid w:val="657234C5"/>
    <w:rsid w:val="65845CFD"/>
    <w:rsid w:val="65A1330E"/>
    <w:rsid w:val="65BF660F"/>
    <w:rsid w:val="65CD0D2C"/>
    <w:rsid w:val="65ED4E63"/>
    <w:rsid w:val="66051B61"/>
    <w:rsid w:val="660B3602"/>
    <w:rsid w:val="66173D55"/>
    <w:rsid w:val="662A22BF"/>
    <w:rsid w:val="66682803"/>
    <w:rsid w:val="666B2582"/>
    <w:rsid w:val="66905E93"/>
    <w:rsid w:val="66A55805"/>
    <w:rsid w:val="66E225B5"/>
    <w:rsid w:val="672D7CE1"/>
    <w:rsid w:val="672E1BB9"/>
    <w:rsid w:val="67386679"/>
    <w:rsid w:val="675D60DF"/>
    <w:rsid w:val="67C023A9"/>
    <w:rsid w:val="67CD5013"/>
    <w:rsid w:val="67DE2886"/>
    <w:rsid w:val="6818192D"/>
    <w:rsid w:val="681C0CB6"/>
    <w:rsid w:val="68283D64"/>
    <w:rsid w:val="68903A00"/>
    <w:rsid w:val="69085BD7"/>
    <w:rsid w:val="694F1A58"/>
    <w:rsid w:val="69531548"/>
    <w:rsid w:val="69D146A0"/>
    <w:rsid w:val="69F36887"/>
    <w:rsid w:val="6A132A85"/>
    <w:rsid w:val="6A336578"/>
    <w:rsid w:val="6A3C36B5"/>
    <w:rsid w:val="6A3F6237"/>
    <w:rsid w:val="6A6D488B"/>
    <w:rsid w:val="6A835746"/>
    <w:rsid w:val="6AC05EC9"/>
    <w:rsid w:val="6B326417"/>
    <w:rsid w:val="6BA442DD"/>
    <w:rsid w:val="6C1C0317"/>
    <w:rsid w:val="6C1F5711"/>
    <w:rsid w:val="6C205B8C"/>
    <w:rsid w:val="6C8670B3"/>
    <w:rsid w:val="6CB467A2"/>
    <w:rsid w:val="6CDB6E8A"/>
    <w:rsid w:val="6CF25111"/>
    <w:rsid w:val="6D2A25C0"/>
    <w:rsid w:val="6D2D5427"/>
    <w:rsid w:val="6D436E52"/>
    <w:rsid w:val="6D5238C5"/>
    <w:rsid w:val="6D7D5A70"/>
    <w:rsid w:val="6E0B2F3E"/>
    <w:rsid w:val="6E39349F"/>
    <w:rsid w:val="6E4B5340"/>
    <w:rsid w:val="6E7361E8"/>
    <w:rsid w:val="6ED625D8"/>
    <w:rsid w:val="6EFF182A"/>
    <w:rsid w:val="6F1D10D4"/>
    <w:rsid w:val="6F902776"/>
    <w:rsid w:val="6FAA3E8C"/>
    <w:rsid w:val="6FC07921"/>
    <w:rsid w:val="6FF11ABB"/>
    <w:rsid w:val="6FFB6495"/>
    <w:rsid w:val="70226E34"/>
    <w:rsid w:val="708B4813"/>
    <w:rsid w:val="70977C7B"/>
    <w:rsid w:val="70A97C9F"/>
    <w:rsid w:val="71390B1C"/>
    <w:rsid w:val="71695543"/>
    <w:rsid w:val="71BB412E"/>
    <w:rsid w:val="71EC4552"/>
    <w:rsid w:val="72757BBD"/>
    <w:rsid w:val="727F6750"/>
    <w:rsid w:val="72C24A8D"/>
    <w:rsid w:val="72D92CB0"/>
    <w:rsid w:val="72DA05E4"/>
    <w:rsid w:val="73090EC9"/>
    <w:rsid w:val="731A30D6"/>
    <w:rsid w:val="734E2D80"/>
    <w:rsid w:val="73637E23"/>
    <w:rsid w:val="73871C90"/>
    <w:rsid w:val="73B40854"/>
    <w:rsid w:val="73E3171A"/>
    <w:rsid w:val="73EB6821"/>
    <w:rsid w:val="74354085"/>
    <w:rsid w:val="74534AF2"/>
    <w:rsid w:val="745B3729"/>
    <w:rsid w:val="74B65081"/>
    <w:rsid w:val="74C652C4"/>
    <w:rsid w:val="74C9421C"/>
    <w:rsid w:val="74CE603C"/>
    <w:rsid w:val="74F87447"/>
    <w:rsid w:val="74FA4F6E"/>
    <w:rsid w:val="750202C6"/>
    <w:rsid w:val="754D7D39"/>
    <w:rsid w:val="75B56D5E"/>
    <w:rsid w:val="75E92B3C"/>
    <w:rsid w:val="76004806"/>
    <w:rsid w:val="765E777E"/>
    <w:rsid w:val="766F7295"/>
    <w:rsid w:val="76867A1D"/>
    <w:rsid w:val="76C40B40"/>
    <w:rsid w:val="772E53A2"/>
    <w:rsid w:val="77585F7B"/>
    <w:rsid w:val="778B3146"/>
    <w:rsid w:val="77CB499F"/>
    <w:rsid w:val="78121064"/>
    <w:rsid w:val="782335EF"/>
    <w:rsid w:val="78454737"/>
    <w:rsid w:val="785E75C1"/>
    <w:rsid w:val="78656868"/>
    <w:rsid w:val="78866B18"/>
    <w:rsid w:val="791B798D"/>
    <w:rsid w:val="79EE0E19"/>
    <w:rsid w:val="79F74BF6"/>
    <w:rsid w:val="7A127DEE"/>
    <w:rsid w:val="7A601D17"/>
    <w:rsid w:val="7B136D89"/>
    <w:rsid w:val="7BA04C4A"/>
    <w:rsid w:val="7BF31200"/>
    <w:rsid w:val="7BF85F7F"/>
    <w:rsid w:val="7C102E50"/>
    <w:rsid w:val="7C9E08D4"/>
    <w:rsid w:val="7D2C5EE0"/>
    <w:rsid w:val="7DAA5057"/>
    <w:rsid w:val="7DD117E2"/>
    <w:rsid w:val="7DDC574D"/>
    <w:rsid w:val="7DE247F1"/>
    <w:rsid w:val="7DF033B2"/>
    <w:rsid w:val="7DFA5168"/>
    <w:rsid w:val="7E0C4EB0"/>
    <w:rsid w:val="7E1626EC"/>
    <w:rsid w:val="7E417769"/>
    <w:rsid w:val="7E5A082B"/>
    <w:rsid w:val="7E5A4906"/>
    <w:rsid w:val="7E7538B7"/>
    <w:rsid w:val="7E9A7E16"/>
    <w:rsid w:val="7EB41895"/>
    <w:rsid w:val="7F1E7AAB"/>
    <w:rsid w:val="7F402117"/>
    <w:rsid w:val="7F484B27"/>
    <w:rsid w:val="7F4B6E2B"/>
    <w:rsid w:val="7FBA0E3F"/>
    <w:rsid w:val="7FC33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line="360" w:lineRule="auto"/>
      <w:jc w:val="center"/>
      <w:outlineLvl w:val="0"/>
    </w:pPr>
    <w:rPr>
      <w:rFonts w:ascii="宋体" w:hAnsi="宋体" w:cs="宋体"/>
      <w:b/>
      <w:color w:val="FF0000"/>
      <w:kern w:val="44"/>
      <w:sz w:val="28"/>
      <w:szCs w:val="28"/>
    </w:rPr>
  </w:style>
  <w:style w:type="paragraph" w:styleId="4">
    <w:name w:val="heading 3"/>
    <w:basedOn w:val="1"/>
    <w:next w:val="1"/>
    <w:unhideWhenUsed/>
    <w:qFormat/>
    <w:uiPriority w:val="0"/>
    <w:pPr>
      <w:keepNext/>
      <w:keepLines/>
      <w:spacing w:line="360" w:lineRule="auto"/>
      <w:outlineLvl w:val="2"/>
    </w:pPr>
    <w:rPr>
      <w:b/>
      <w:sz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正文1"/>
    <w:basedOn w:val="1"/>
    <w:next w:val="1"/>
    <w:qFormat/>
    <w:uiPriority w:val="0"/>
    <w:pPr>
      <w:spacing w:line="500" w:lineRule="atLeast"/>
      <w:ind w:firstLine="567"/>
    </w:pPr>
    <w:rPr>
      <w:sz w:val="28"/>
    </w:rPr>
  </w:style>
  <w:style w:type="paragraph" w:styleId="5">
    <w:name w:val="Normal Indent"/>
    <w:basedOn w:val="1"/>
    <w:next w:val="1"/>
    <w:qFormat/>
    <w:uiPriority w:val="0"/>
    <w:pPr>
      <w:ind w:firstLine="420" w:firstLineChars="200"/>
    </w:pPr>
  </w:style>
  <w:style w:type="paragraph" w:styleId="6">
    <w:name w:val="caption"/>
    <w:basedOn w:val="1"/>
    <w:next w:val="1"/>
    <w:qFormat/>
    <w:uiPriority w:val="0"/>
    <w:pPr>
      <w:keepNext/>
      <w:spacing w:line="500" w:lineRule="exact"/>
      <w:jc w:val="center"/>
    </w:pPr>
    <w:rPr>
      <w:rFonts w:ascii="黑体" w:hAnsi="黑体" w:eastAsia="黑体"/>
      <w:color w:val="FF0000"/>
    </w:rPr>
  </w:style>
  <w:style w:type="paragraph" w:styleId="7">
    <w:name w:val="annotation text"/>
    <w:basedOn w:val="1"/>
    <w:qFormat/>
    <w:uiPriority w:val="0"/>
  </w:style>
  <w:style w:type="paragraph" w:styleId="8">
    <w:name w:val="Body Text"/>
    <w:basedOn w:val="1"/>
    <w:next w:val="1"/>
    <w:semiHidden/>
    <w:qFormat/>
    <w:uiPriority w:val="0"/>
    <w:rPr>
      <w:sz w:val="2"/>
      <w:szCs w:val="2"/>
    </w:rPr>
  </w:style>
  <w:style w:type="paragraph" w:styleId="9">
    <w:name w:val="Block Text"/>
    <w:basedOn w:val="1"/>
    <w:next w:val="10"/>
    <w:qFormat/>
    <w:uiPriority w:val="99"/>
    <w:pPr>
      <w:spacing w:line="480" w:lineRule="exact"/>
    </w:pPr>
    <w:rPr>
      <w:rFonts w:ascii="仿宋_GB2312" w:eastAsia="仿宋_GB2312"/>
      <w:sz w:val="32"/>
      <w:szCs w:val="32"/>
    </w:rPr>
  </w:style>
  <w:style w:type="paragraph" w:styleId="10">
    <w:name w:val="toc 9"/>
    <w:basedOn w:val="1"/>
    <w:next w:val="1"/>
    <w:qFormat/>
    <w:uiPriority w:val="39"/>
    <w:pPr>
      <w:ind w:left="1680"/>
    </w:pPr>
    <w:rPr>
      <w:sz w:val="18"/>
    </w:rPr>
  </w:style>
  <w:style w:type="paragraph" w:styleId="11">
    <w:name w:val="List Bullet 5"/>
    <w:basedOn w:val="1"/>
    <w:qFormat/>
    <w:uiPriority w:val="0"/>
    <w:pPr>
      <w:numPr>
        <w:ilvl w:val="0"/>
        <w:numId w:val="1"/>
      </w:numPr>
    </w:pPr>
  </w:style>
  <w:style w:type="paragraph" w:styleId="12">
    <w:name w:val="footer"/>
    <w:basedOn w:val="1"/>
    <w:qFormat/>
    <w:uiPriority w:val="0"/>
    <w:pPr>
      <w:tabs>
        <w:tab w:val="center" w:pos="4153"/>
        <w:tab w:val="right" w:pos="8306"/>
      </w:tabs>
    </w:pPr>
    <w:rPr>
      <w:sz w:val="18"/>
    </w:rPr>
  </w:style>
  <w:style w:type="paragraph" w:styleId="13">
    <w:name w:val="header"/>
    <w:basedOn w:val="1"/>
    <w:link w:val="36"/>
    <w:qFormat/>
    <w:uiPriority w:val="0"/>
    <w:pPr>
      <w:tabs>
        <w:tab w:val="center" w:pos="4153"/>
        <w:tab w:val="right" w:pos="8306"/>
      </w:tabs>
      <w:jc w:val="center"/>
    </w:pPr>
    <w:rPr>
      <w:sz w:val="18"/>
      <w:szCs w:val="18"/>
    </w:rPr>
  </w:style>
  <w:style w:type="paragraph" w:styleId="14">
    <w:name w:val="Normal (Web)"/>
    <w:basedOn w:val="1"/>
    <w:qFormat/>
    <w:uiPriority w:val="0"/>
    <w:pPr>
      <w:spacing w:line="300" w:lineRule="exact"/>
      <w:contextualSpacing/>
      <w:jc w:val="center"/>
    </w:pPr>
    <w:rPr>
      <w:rFonts w:ascii="宋体" w:hAnsi="宋体"/>
    </w:rPr>
  </w:style>
  <w:style w:type="table" w:styleId="16">
    <w:name w:val="Table Grid"/>
    <w:basedOn w:val="1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FollowedHyperlink"/>
    <w:basedOn w:val="17"/>
    <w:qFormat/>
    <w:uiPriority w:val="0"/>
    <w:rPr>
      <w:color w:val="333333"/>
      <w:u w:val="none"/>
    </w:rPr>
  </w:style>
  <w:style w:type="character" w:styleId="20">
    <w:name w:val="Hyperlink"/>
    <w:basedOn w:val="17"/>
    <w:qFormat/>
    <w:uiPriority w:val="0"/>
    <w:rPr>
      <w:color w:val="333333"/>
      <w:u w:val="none"/>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0"/>
      <w:szCs w:val="20"/>
    </w:rPr>
  </w:style>
  <w:style w:type="character" w:customStyle="1" w:styleId="23">
    <w:name w:val="font21"/>
    <w:basedOn w:val="17"/>
    <w:qFormat/>
    <w:uiPriority w:val="0"/>
    <w:rPr>
      <w:rFonts w:hint="default" w:ascii="Times New Roman" w:hAnsi="Times New Roman" w:cs="Times New Roman"/>
      <w:color w:val="000000"/>
      <w:sz w:val="24"/>
      <w:szCs w:val="24"/>
      <w:u w:val="none"/>
    </w:rPr>
  </w:style>
  <w:style w:type="character" w:customStyle="1" w:styleId="24">
    <w:name w:val="font01"/>
    <w:basedOn w:val="17"/>
    <w:qFormat/>
    <w:uiPriority w:val="0"/>
    <w:rPr>
      <w:rFonts w:hint="eastAsia" w:ascii="宋体" w:hAnsi="宋体" w:eastAsia="宋体" w:cs="宋体"/>
      <w:color w:val="000000"/>
      <w:sz w:val="24"/>
      <w:szCs w:val="24"/>
      <w:u w:val="none"/>
    </w:rPr>
  </w:style>
  <w:style w:type="paragraph" w:customStyle="1" w:styleId="25">
    <w:name w:val="Table Paragraph"/>
    <w:basedOn w:val="1"/>
    <w:autoRedefine/>
    <w:qFormat/>
    <w:uiPriority w:val="1"/>
    <w:pPr>
      <w:kinsoku/>
      <w:spacing w:line="240" w:lineRule="atLeast"/>
      <w:jc w:val="center"/>
    </w:pPr>
    <w:rPr>
      <w:rFonts w:ascii="Times New Roman" w:hAnsi="Times New Roman" w:cs="Times New Roman" w:eastAsiaTheme="minorEastAsia"/>
      <w:b/>
      <w:bCs/>
      <w:szCs w:val="22"/>
      <w:lang w:val="zh-CN" w:eastAsia="zh-CN" w:bidi="zh-CN"/>
    </w:rPr>
  </w:style>
  <w:style w:type="paragraph" w:customStyle="1" w:styleId="26">
    <w:name w:val="MEL正文*"/>
    <w:basedOn w:val="1"/>
    <w:qFormat/>
    <w:uiPriority w:val="0"/>
    <w:pPr>
      <w:spacing w:line="500" w:lineRule="exact"/>
      <w:ind w:firstLine="480" w:firstLineChars="200"/>
    </w:pPr>
    <w:rPr>
      <w:rFonts w:ascii="宋体" w:hAnsi="宋体"/>
      <w:color w:val="FF0000"/>
    </w:rPr>
  </w:style>
  <w:style w:type="paragraph" w:customStyle="1" w:styleId="27">
    <w:name w:val="MEL表字-书"/>
    <w:basedOn w:val="1"/>
    <w:autoRedefine/>
    <w:qFormat/>
    <w:uiPriority w:val="0"/>
    <w:pPr>
      <w:spacing w:line="300" w:lineRule="exact"/>
      <w:jc w:val="center"/>
    </w:pPr>
    <w:rPr>
      <w:rFonts w:ascii="宋体" w:hAnsi="宋体"/>
    </w:rPr>
  </w:style>
  <w:style w:type="paragraph" w:customStyle="1" w:styleId="28">
    <w:name w:val="表头-文字"/>
    <w:basedOn w:val="1"/>
    <w:qFormat/>
    <w:uiPriority w:val="0"/>
    <w:pPr>
      <w:spacing w:line="500" w:lineRule="exact"/>
      <w:ind w:firstLine="200" w:firstLineChars="200"/>
      <w:jc w:val="center"/>
    </w:pPr>
    <w:rPr>
      <w:rFonts w:ascii="黑体" w:hAnsi="黑体" w:eastAsia="黑体"/>
    </w:rPr>
  </w:style>
  <w:style w:type="table" w:customStyle="1" w:styleId="29">
    <w:name w:val="报告书表格样式1"/>
    <w:basedOn w:val="15"/>
    <w:autoRedefine/>
    <w:qFormat/>
    <w:uiPriority w:val="0"/>
    <w:pPr>
      <w:spacing w:line="300" w:lineRule="exact"/>
      <w:contextualSpacing/>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30">
    <w:name w:val="YJ题注"/>
    <w:basedOn w:val="6"/>
    <w:autoRedefine/>
    <w:qFormat/>
    <w:uiPriority w:val="0"/>
    <w:pPr>
      <w:spacing w:line="400" w:lineRule="exact"/>
    </w:pPr>
    <w:rPr>
      <w:szCs w:val="24"/>
    </w:rPr>
  </w:style>
  <w:style w:type="paragraph" w:customStyle="1" w:styleId="31">
    <w:name w:val="表字-书"/>
    <w:basedOn w:val="1"/>
    <w:autoRedefine/>
    <w:qFormat/>
    <w:uiPriority w:val="0"/>
    <w:pPr>
      <w:spacing w:line="300" w:lineRule="exact"/>
      <w:contextualSpacing/>
      <w:jc w:val="center"/>
    </w:pPr>
    <w:rPr>
      <w:rFonts w:ascii="宋体" w:hAnsi="宋体"/>
    </w:rPr>
  </w:style>
  <w:style w:type="character" w:customStyle="1" w:styleId="32">
    <w:name w:val="font11"/>
    <w:basedOn w:val="17"/>
    <w:qFormat/>
    <w:uiPriority w:val="0"/>
    <w:rPr>
      <w:rFonts w:hint="default" w:ascii="Arial" w:hAnsi="Arial" w:cs="Arial"/>
      <w:color w:val="000000"/>
      <w:sz w:val="21"/>
      <w:szCs w:val="21"/>
      <w:u w:val="none"/>
    </w:rPr>
  </w:style>
  <w:style w:type="character" w:customStyle="1" w:styleId="33">
    <w:name w:val="font31"/>
    <w:basedOn w:val="17"/>
    <w:qFormat/>
    <w:uiPriority w:val="0"/>
    <w:rPr>
      <w:rFonts w:hint="default" w:ascii="Times New Roman" w:hAnsi="Times New Roman" w:cs="Times New Roman"/>
      <w:color w:val="000000"/>
      <w:sz w:val="21"/>
      <w:szCs w:val="21"/>
      <w:u w:val="none"/>
    </w:rPr>
  </w:style>
  <w:style w:type="character" w:customStyle="1" w:styleId="34">
    <w:name w:val="font41"/>
    <w:basedOn w:val="17"/>
    <w:qFormat/>
    <w:uiPriority w:val="0"/>
    <w:rPr>
      <w:rFonts w:hint="default" w:ascii="Times New Roman" w:hAnsi="Times New Roman" w:cs="Times New Roman"/>
      <w:color w:val="000000"/>
      <w:sz w:val="20"/>
      <w:szCs w:val="20"/>
      <w:u w:val="none"/>
    </w:rPr>
  </w:style>
  <w:style w:type="character" w:customStyle="1" w:styleId="35">
    <w:name w:val="font61"/>
    <w:basedOn w:val="17"/>
    <w:qFormat/>
    <w:uiPriority w:val="0"/>
    <w:rPr>
      <w:rFonts w:hint="default" w:ascii="Times New Roman" w:hAnsi="Times New Roman" w:cs="Times New Roman"/>
      <w:color w:val="000000"/>
      <w:sz w:val="21"/>
      <w:szCs w:val="21"/>
      <w:u w:val="none"/>
    </w:rPr>
  </w:style>
  <w:style w:type="character" w:customStyle="1" w:styleId="36">
    <w:name w:val="页眉 字符"/>
    <w:basedOn w:val="17"/>
    <w:link w:val="13"/>
    <w:qFormat/>
    <w:uiPriority w:val="0"/>
    <w:rPr>
      <w:rFonts w:ascii="Arial" w:hAnsi="Arial" w:eastAsia="Arial" w:cs="Arial"/>
      <w:snapToGrid w:val="0"/>
      <w:color w:val="000000"/>
      <w:sz w:val="18"/>
      <w:szCs w:val="18"/>
      <w:lang w:eastAsia="en-US"/>
    </w:rPr>
  </w:style>
  <w:style w:type="paragraph" w:customStyle="1" w:styleId="37">
    <w:name w:val="备注"/>
    <w:basedOn w:val="5"/>
    <w:link w:val="38"/>
    <w:qFormat/>
    <w:uiPriority w:val="0"/>
    <w:pPr>
      <w:widowControl w:val="0"/>
      <w:kinsoku/>
      <w:autoSpaceDE/>
      <w:autoSpaceDN/>
      <w:adjustRightInd/>
      <w:spacing w:line="320" w:lineRule="exact"/>
      <w:ind w:firstLine="200"/>
      <w:jc w:val="both"/>
      <w:textAlignment w:val="center"/>
    </w:pPr>
    <w:rPr>
      <w:rFonts w:eastAsia="宋体"/>
      <w:b/>
      <w:snapToGrid/>
      <w:color w:val="auto"/>
      <w:lang w:val="zh-CN" w:eastAsia="zh-CN"/>
    </w:rPr>
  </w:style>
  <w:style w:type="character" w:customStyle="1" w:styleId="38">
    <w:name w:val="备注 字符"/>
    <w:basedOn w:val="17"/>
    <w:link w:val="37"/>
    <w:qFormat/>
    <w:uiPriority w:val="0"/>
    <w:rPr>
      <w:rFonts w:ascii="Arial" w:hAnsi="Arial" w:cs="Arial"/>
      <w:b/>
      <w:sz w:val="21"/>
      <w:szCs w:val="21"/>
      <w:lang w:val="zh-CN"/>
    </w:rPr>
  </w:style>
  <w:style w:type="character" w:customStyle="1" w:styleId="39">
    <w:name w:val="first-child"/>
    <w:basedOn w:val="17"/>
    <w:qFormat/>
    <w:uiPriority w:val="0"/>
    <w:rPr>
      <w:color w:val="DF1C00"/>
    </w:rPr>
  </w:style>
  <w:style w:type="character" w:customStyle="1" w:styleId="40">
    <w:name w:val="first-child1"/>
    <w:basedOn w:val="17"/>
    <w:qFormat/>
    <w:uiPriority w:val="0"/>
  </w:style>
  <w:style w:type="character" w:customStyle="1" w:styleId="41">
    <w:name w:val="first-child2"/>
    <w:basedOn w:val="17"/>
    <w:qFormat/>
    <w:uiPriority w:val="0"/>
  </w:style>
  <w:style w:type="character" w:customStyle="1" w:styleId="42">
    <w:name w:val="active"/>
    <w:basedOn w:val="17"/>
    <w:qFormat/>
    <w:uiPriority w:val="0"/>
    <w:rPr>
      <w:color w:val="000000"/>
      <w:shd w:val="clear" w:fill="F7F7F7"/>
    </w:rPr>
  </w:style>
  <w:style w:type="character" w:customStyle="1" w:styleId="43">
    <w:name w:val="active1"/>
    <w:basedOn w:val="17"/>
    <w:qFormat/>
    <w:uiPriority w:val="0"/>
    <w:rPr>
      <w:shd w:val="clear" w:fill="FFFFFF"/>
    </w:rPr>
  </w:style>
  <w:style w:type="character" w:customStyle="1" w:styleId="44">
    <w:name w:val="fbrq"/>
    <w:basedOn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103</Pages>
  <Words>15878</Words>
  <Characters>16725</Characters>
  <Lines>2898</Lines>
  <Paragraphs>2397</Paragraphs>
  <TotalTime>1</TotalTime>
  <ScaleCrop>false</ScaleCrop>
  <LinksUpToDate>false</LinksUpToDate>
  <CharactersWithSpaces>16789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2025-07-04T11:49:00Z</dcterms:created>
  <dc:creator>Administrator</dc:creator>
  <cp:lastModifiedBy>小麦啾</cp:lastModifiedBy>
  <dcterms:modified xsi:type="dcterms:W3CDTF">2026-03-19T04:02:56Z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2025-07-11T17:57:40Z</vt:filetime>
  </property>
  <property fmtid="{D5CDD505-2E9C-101B-9397-08002B2CF9AE}" pid="4" name="KSOProductBuildVer">
    <vt:lpwstr>2052-12.1.0.24657</vt:lpwstr>
  </property>
  <property fmtid="{D5CDD505-2E9C-101B-9397-08002B2CF9AE}" pid="5" name="ICV">
    <vt:lpwstr>831C131FC48E4017BE381DA6A1D173BF_12</vt:lpwstr>
  </property>
  <property fmtid="{D5CDD505-2E9C-101B-9397-08002B2CF9AE}" pid="6" name="KSOTemplateDocerSaveRecord">
    <vt:lpwstr>eyJoZGlkIjoiM2Q5NDlmNDc3N2ZkYzk3ZGJmOTUwNTM0Mzc5MTVlNDMiLCJ1c2VySWQiOiIzMjQ5NjUzODcifQ==</vt:lpwstr>
  </property>
</Properties>
</file>