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269E4">
      <w:pPr>
        <w:widowControl w:val="0"/>
        <w:kinsoku/>
        <w:jc w:val="center"/>
        <w:outlineLvl w:val="0"/>
        <w:rPr>
          <w:rFonts w:ascii="Times New Roman" w:hAnsi="Times New Roman" w:eastAsia="方正小标宋_GBK" w:cs="Times New Roman"/>
          <w:bCs/>
          <w:color w:val="000000" w:themeColor="text1"/>
          <w:sz w:val="72"/>
          <w:szCs w:val="72"/>
          <w14:textFill>
            <w14:solidFill>
              <w14:schemeClr w14:val="tx1"/>
            </w14:solidFill>
          </w14:textFill>
        </w:rPr>
      </w:pPr>
      <w:bookmarkStart w:id="48" w:name="_GoBack"/>
      <w:bookmarkEnd w:id="48"/>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3360" behindDoc="1" locked="0" layoutInCell="1" allowOverlap="1">
                <wp:simplePos x="0" y="0"/>
                <wp:positionH relativeFrom="column">
                  <wp:posOffset>3695065</wp:posOffset>
                </wp:positionH>
                <wp:positionV relativeFrom="paragraph">
                  <wp:posOffset>383540</wp:posOffset>
                </wp:positionV>
                <wp:extent cx="1650365" cy="348615"/>
                <wp:effectExtent l="0" t="0" r="6985" b="13335"/>
                <wp:wrapTight wrapText="bothSides">
                  <wp:wrapPolygon>
                    <wp:start x="0" y="0"/>
                    <wp:lineTo x="0" y="20734"/>
                    <wp:lineTo x="21442" y="20734"/>
                    <wp:lineTo x="21442" y="0"/>
                    <wp:lineTo x="0" y="0"/>
                  </wp:wrapPolygon>
                </wp:wrapTight>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1650365" cy="348615"/>
                        </a:xfrm>
                        <a:prstGeom prst="rect">
                          <a:avLst/>
                        </a:prstGeom>
                        <a:solidFill>
                          <a:srgbClr val="FFFFFF"/>
                        </a:solidFill>
                        <a:ln>
                          <a:noFill/>
                        </a:ln>
                      </wps:spPr>
                      <wps:txbx>
                        <w:txbxContent>
                          <w:p w14:paraId="2F77A84F">
                            <w:pPr>
                              <w:rPr>
                                <w:rFonts w:hint="default" w:ascii="黑体" w:hAnsi="黑体" w:eastAsia="黑体"/>
                                <w:b/>
                                <w:bCs/>
                                <w:color w:val="000000" w:themeColor="text1"/>
                                <w:spacing w:val="24"/>
                                <w:sz w:val="30"/>
                                <w:szCs w:val="30"/>
                                <w:lang w:val="en-US" w:eastAsia="zh-CN"/>
                                <w14:textFill>
                                  <w14:solidFill>
                                    <w14:schemeClr w14:val="tx1"/>
                                  </w14:solidFill>
                                </w14:textFill>
                              </w:rPr>
                            </w:pPr>
                            <w:r>
                              <w:rPr>
                                <w:rFonts w:hint="eastAsia" w:ascii="黑体" w:hAnsi="黑体" w:eastAsia="黑体"/>
                                <w:b/>
                                <w:bCs/>
                                <w:color w:val="000000" w:themeColor="text1"/>
                                <w:spacing w:val="24"/>
                                <w:sz w:val="30"/>
                                <w:szCs w:val="30"/>
                                <w14:textFill>
                                  <w14:solidFill>
                                    <w14:schemeClr w14:val="tx1"/>
                                  </w14:solidFill>
                                </w14:textFill>
                              </w:rPr>
                              <w:t>D</w:t>
                            </w:r>
                            <w:r>
                              <w:rPr>
                                <w:rFonts w:ascii="黑体" w:hAnsi="黑体" w:eastAsia="黑体"/>
                                <w:b/>
                                <w:bCs/>
                                <w:color w:val="000000" w:themeColor="text1"/>
                                <w:spacing w:val="24"/>
                                <w:sz w:val="30"/>
                                <w:szCs w:val="30"/>
                                <w14:textFill>
                                  <w14:solidFill>
                                    <w14:schemeClr w14:val="tx1"/>
                                  </w14:solidFill>
                                </w14:textFill>
                              </w:rPr>
                              <w:t>HHP-0</w:t>
                            </w:r>
                            <w:r>
                              <w:rPr>
                                <w:rFonts w:hint="eastAsia" w:ascii="黑体" w:hAnsi="黑体" w:eastAsia="黑体"/>
                                <w:b/>
                                <w:bCs/>
                                <w:color w:val="000000" w:themeColor="text1"/>
                                <w:spacing w:val="24"/>
                                <w:sz w:val="30"/>
                                <w:szCs w:val="30"/>
                                <w:lang w:eastAsia="zh-CN"/>
                                <w14:textFill>
                                  <w14:solidFill>
                                    <w14:schemeClr w14:val="tx1"/>
                                  </w14:solidFill>
                                </w14:textFill>
                              </w:rPr>
                              <w:t>2</w:t>
                            </w:r>
                            <w:r>
                              <w:rPr>
                                <w:rFonts w:ascii="黑体" w:hAnsi="黑体" w:eastAsia="黑体"/>
                                <w:b/>
                                <w:bCs/>
                                <w:color w:val="000000" w:themeColor="text1"/>
                                <w:spacing w:val="24"/>
                                <w:sz w:val="30"/>
                                <w:szCs w:val="30"/>
                                <w14:textFill>
                                  <w14:solidFill>
                                    <w14:schemeClr w14:val="tx1"/>
                                  </w14:solidFill>
                                </w14:textFill>
                              </w:rPr>
                              <w:t>-2</w:t>
                            </w:r>
                            <w:r>
                              <w:rPr>
                                <w:rFonts w:hint="eastAsia" w:ascii="黑体" w:hAnsi="黑体" w:eastAsia="黑体"/>
                                <w:b/>
                                <w:bCs/>
                                <w:color w:val="000000" w:themeColor="text1"/>
                                <w:spacing w:val="24"/>
                                <w:sz w:val="30"/>
                                <w:szCs w:val="30"/>
                                <w:lang w:val="en-US" w:eastAsia="zh-CN"/>
                                <w14:textFill>
                                  <w14:solidFill>
                                    <w14:schemeClr w14:val="tx1"/>
                                  </w14:solidFill>
                                </w14:textFill>
                              </w:rPr>
                              <w:t>603</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0.95pt;margin-top:30.2pt;height:27.45pt;width:129.95pt;mso-wrap-distance-left:9pt;mso-wrap-distance-right:9pt;z-index:-251653120;mso-width-relative:page;mso-height-relative:page;" fillcolor="#FFFFFF" filled="t" stroked="f" coordsize="21600,21600" wrapcoords="0 0 0 20734 21442 20734 21442 0 0 0" o:gfxdata="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fLYPX&#10;AAAACgEAAA8AAAAAAAAAAQAgAAAAIgAAAGRycy9kb3ducmV2LnhtbFBLAQIUABQAAAAIAIdO4kCa&#10;MrjpIQIAADEEAAAOAAAAAAAAAAEAIAAAACYBAABkcnMvZTJvRG9jLnhtbFBLBQYAAAAABgAGAFkB&#10;AAC5BQAAAAA=&#10;">
                <v:fill on="t" focussize="0,0"/>
                <v:stroke on="f"/>
                <v:imagedata o:title=""/>
                <o:lock v:ext="edit" aspectratio="f"/>
                <v:textbox>
                  <w:txbxContent>
                    <w:p w14:paraId="2F77A84F">
                      <w:pPr>
                        <w:rPr>
                          <w:rFonts w:hint="default" w:ascii="黑体" w:hAnsi="黑体" w:eastAsia="黑体"/>
                          <w:b/>
                          <w:bCs/>
                          <w:color w:val="000000" w:themeColor="text1"/>
                          <w:spacing w:val="24"/>
                          <w:sz w:val="30"/>
                          <w:szCs w:val="30"/>
                          <w:lang w:val="en-US" w:eastAsia="zh-CN"/>
                          <w14:textFill>
                            <w14:solidFill>
                              <w14:schemeClr w14:val="tx1"/>
                            </w14:solidFill>
                          </w14:textFill>
                        </w:rPr>
                      </w:pPr>
                      <w:r>
                        <w:rPr>
                          <w:rFonts w:hint="eastAsia" w:ascii="黑体" w:hAnsi="黑体" w:eastAsia="黑体"/>
                          <w:b/>
                          <w:bCs/>
                          <w:color w:val="000000" w:themeColor="text1"/>
                          <w:spacing w:val="24"/>
                          <w:sz w:val="30"/>
                          <w:szCs w:val="30"/>
                          <w14:textFill>
                            <w14:solidFill>
                              <w14:schemeClr w14:val="tx1"/>
                            </w14:solidFill>
                          </w14:textFill>
                        </w:rPr>
                        <w:t>D</w:t>
                      </w:r>
                      <w:r>
                        <w:rPr>
                          <w:rFonts w:ascii="黑体" w:hAnsi="黑体" w:eastAsia="黑体"/>
                          <w:b/>
                          <w:bCs/>
                          <w:color w:val="000000" w:themeColor="text1"/>
                          <w:spacing w:val="24"/>
                          <w:sz w:val="30"/>
                          <w:szCs w:val="30"/>
                          <w14:textFill>
                            <w14:solidFill>
                              <w14:schemeClr w14:val="tx1"/>
                            </w14:solidFill>
                          </w14:textFill>
                        </w:rPr>
                        <w:t>HHP-0</w:t>
                      </w:r>
                      <w:r>
                        <w:rPr>
                          <w:rFonts w:hint="eastAsia" w:ascii="黑体" w:hAnsi="黑体" w:eastAsia="黑体"/>
                          <w:b/>
                          <w:bCs/>
                          <w:color w:val="000000" w:themeColor="text1"/>
                          <w:spacing w:val="24"/>
                          <w:sz w:val="30"/>
                          <w:szCs w:val="30"/>
                          <w:lang w:eastAsia="zh-CN"/>
                          <w14:textFill>
                            <w14:solidFill>
                              <w14:schemeClr w14:val="tx1"/>
                            </w14:solidFill>
                          </w14:textFill>
                        </w:rPr>
                        <w:t>2</w:t>
                      </w:r>
                      <w:r>
                        <w:rPr>
                          <w:rFonts w:ascii="黑体" w:hAnsi="黑体" w:eastAsia="黑体"/>
                          <w:b/>
                          <w:bCs/>
                          <w:color w:val="000000" w:themeColor="text1"/>
                          <w:spacing w:val="24"/>
                          <w:sz w:val="30"/>
                          <w:szCs w:val="30"/>
                          <w14:textFill>
                            <w14:solidFill>
                              <w14:schemeClr w14:val="tx1"/>
                            </w14:solidFill>
                          </w14:textFill>
                        </w:rPr>
                        <w:t>-2</w:t>
                      </w:r>
                      <w:r>
                        <w:rPr>
                          <w:rFonts w:hint="eastAsia" w:ascii="黑体" w:hAnsi="黑体" w:eastAsia="黑体"/>
                          <w:b/>
                          <w:bCs/>
                          <w:color w:val="000000" w:themeColor="text1"/>
                          <w:spacing w:val="24"/>
                          <w:sz w:val="30"/>
                          <w:szCs w:val="30"/>
                          <w:lang w:val="en-US" w:eastAsia="zh-CN"/>
                          <w14:textFill>
                            <w14:solidFill>
                              <w14:schemeClr w14:val="tx1"/>
                            </w14:solidFill>
                          </w14:textFill>
                        </w:rPr>
                        <w:t>603</w:t>
                      </w:r>
                    </w:p>
                  </w:txbxContent>
                </v:textbox>
                <w10:wrap type="tight"/>
              </v:rect>
            </w:pict>
          </mc:Fallback>
        </mc:AlternateContent>
      </w:r>
      <w:r>
        <w:rPr>
          <w:rFonts w:ascii="Times New Roman" w:hAnsi="Times New Roman" w:cs="Times New Roman"/>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3853815</wp:posOffset>
            </wp:positionH>
            <wp:positionV relativeFrom="paragraph">
              <wp:posOffset>-31750</wp:posOffset>
            </wp:positionV>
            <wp:extent cx="1416685" cy="403860"/>
            <wp:effectExtent l="0" t="0" r="12065" b="15240"/>
            <wp:wrapNone/>
            <wp:docPr id="6" name="图片 6" descr="89cd6500ee51ec12c134c26c67fd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cd6500ee51ec12c134c26c67fd018"/>
                    <pic:cNvPicPr>
                      <a:picLocks noChangeAspect="1"/>
                    </pic:cNvPicPr>
                  </pic:nvPicPr>
                  <pic:blipFill>
                    <a:blip r:embed="rId9">
                      <a:clrChange>
                        <a:clrFrom>
                          <a:srgbClr val="FFFFFF">
                            <a:alpha val="100000"/>
                          </a:srgbClr>
                        </a:clrFrom>
                        <a:clrTo>
                          <a:srgbClr val="FFFFFF">
                            <a:alpha val="100000"/>
                            <a:alpha val="0"/>
                          </a:srgbClr>
                        </a:clrTo>
                      </a:clrChange>
                    </a:blip>
                    <a:srcRect l="29671" t="35103" r="31485" b="45188"/>
                    <a:stretch>
                      <a:fillRect/>
                    </a:stretch>
                  </pic:blipFill>
                  <pic:spPr>
                    <a:xfrm>
                      <a:off x="0" y="0"/>
                      <a:ext cx="1416685" cy="403860"/>
                    </a:xfrm>
                    <a:prstGeom prst="rect">
                      <a:avLst/>
                    </a:prstGeom>
                    <a:ln>
                      <a:noFill/>
                    </a:ln>
                  </pic:spPr>
                </pic:pic>
              </a:graphicData>
            </a:graphic>
          </wp:anchor>
        </w:drawing>
      </w:r>
    </w:p>
    <w:p w14:paraId="4DA53E7F">
      <w:pPr>
        <w:widowControl w:val="0"/>
        <w:kinsoku/>
        <w:jc w:val="center"/>
        <w:outlineLvl w:val="0"/>
        <w:rPr>
          <w:rFonts w:ascii="Times New Roman" w:hAnsi="Times New Roman" w:eastAsia="方正小标宋_GBK" w:cs="Times New Roman"/>
          <w:bCs/>
          <w:color w:val="000000" w:themeColor="text1"/>
          <w:sz w:val="72"/>
          <w:szCs w:val="72"/>
          <w14:textFill>
            <w14:solidFill>
              <w14:schemeClr w14:val="tx1"/>
            </w14:solidFill>
          </w14:textFill>
        </w:rPr>
      </w:pPr>
    </w:p>
    <w:p w14:paraId="575B72D7">
      <w:pPr>
        <w:widowControl w:val="0"/>
        <w:kinsoku/>
        <w:jc w:val="center"/>
        <w:outlineLvl w:val="0"/>
        <w:rPr>
          <w:rFonts w:ascii="Times New Roman" w:hAnsi="Times New Roman" w:eastAsia="方正小标宋_GBK" w:cs="Times New Roman"/>
          <w:bCs/>
          <w:color w:val="000000" w:themeColor="text1"/>
          <w:sz w:val="72"/>
          <w:szCs w:val="72"/>
          <w:lang w:eastAsia="zh-CN"/>
          <w14:textFill>
            <w14:solidFill>
              <w14:schemeClr w14:val="tx1"/>
            </w14:solidFill>
          </w14:textFill>
        </w:rPr>
      </w:pPr>
      <w:r>
        <w:rPr>
          <w:rFonts w:ascii="Times New Roman" w:hAnsi="Times New Roman" w:eastAsia="方正小标宋_GBK" w:cs="Times New Roman"/>
          <w:bCs/>
          <w:color w:val="000000" w:themeColor="text1"/>
          <w:sz w:val="72"/>
          <w:szCs w:val="72"/>
          <w:lang w:eastAsia="zh-CN"/>
          <w14:textFill>
            <w14:solidFill>
              <w14:schemeClr w14:val="tx1"/>
            </w14:solidFill>
          </w14:textFill>
        </w:rPr>
        <w:t>建设项目环境影响报告表</w:t>
      </w:r>
    </w:p>
    <w:p w14:paraId="6A5180BD">
      <w:pPr>
        <w:widowControl w:val="0"/>
        <w:kinsoku/>
        <w:spacing w:before="192" w:beforeLines="80"/>
        <w:jc w:val="center"/>
        <w:rPr>
          <w:rFonts w:ascii="Times New Roman" w:hAnsi="Times New Roman" w:eastAsia="楷体_GB2312" w:cs="Times New Roman"/>
          <w:bCs/>
          <w:color w:val="000000" w:themeColor="text1"/>
          <w:sz w:val="48"/>
          <w:szCs w:val="48"/>
          <w:lang w:eastAsia="zh-CN"/>
          <w14:textFill>
            <w14:solidFill>
              <w14:schemeClr w14:val="tx1"/>
            </w14:solidFill>
          </w14:textFill>
        </w:rPr>
      </w:pPr>
    </w:p>
    <w:p w14:paraId="53C4BC4F">
      <w:pPr>
        <w:widowControl w:val="0"/>
        <w:kinsoku/>
        <w:spacing w:before="192" w:beforeLines="8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eastAsia="楷体_GB2312" w:cs="Times New Roman"/>
          <w:bCs/>
          <w:color w:val="000000" w:themeColor="text1"/>
          <w:sz w:val="48"/>
          <w:szCs w:val="48"/>
          <w:lang w:eastAsia="zh-CN"/>
          <w14:textFill>
            <w14:solidFill>
              <w14:schemeClr w14:val="tx1"/>
            </w14:solidFill>
          </w14:textFill>
        </w:rPr>
        <w:t>（生态影响类）</w:t>
      </w:r>
      <w:bookmarkStart w:id="0" w:name="OLE_LINK1"/>
    </w:p>
    <w:p w14:paraId="3D7900E2">
      <w:pPr>
        <w:pStyle w:val="10"/>
        <w:widowControl w:val="0"/>
        <w:kinsoku/>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报批</w:t>
      </w:r>
      <w:r>
        <w:rPr>
          <w:rFonts w:ascii="Times New Roman" w:hAnsi="Times New Roman" w:cs="Times New Roman"/>
          <w:color w:val="000000" w:themeColor="text1"/>
          <w:lang w:eastAsia="zh-CN"/>
          <w14:textFill>
            <w14:solidFill>
              <w14:schemeClr w14:val="tx1"/>
            </w14:solidFill>
          </w14:textFill>
        </w:rPr>
        <w:t>稿）</w:t>
      </w:r>
    </w:p>
    <w:bookmarkEnd w:id="0"/>
    <w:p w14:paraId="6623C44D">
      <w:pPr>
        <w:widowControl w:val="0"/>
        <w:kinsoku/>
        <w:ind w:firstLine="1040"/>
        <w:jc w:val="both"/>
        <w:rPr>
          <w:rFonts w:ascii="Times New Roman" w:hAnsi="Times New Roman" w:eastAsia="仿宋" w:cs="Times New Roman"/>
          <w:color w:val="000000" w:themeColor="text1"/>
          <w:sz w:val="44"/>
          <w:szCs w:val="44"/>
          <w:lang w:eastAsia="zh-CN"/>
          <w14:textFill>
            <w14:solidFill>
              <w14:schemeClr w14:val="tx1"/>
            </w14:solidFill>
          </w14:textFill>
        </w:rPr>
      </w:pPr>
      <w:bookmarkStart w:id="1" w:name="_Hlk57883728"/>
    </w:p>
    <w:p w14:paraId="052EB4E3">
      <w:pPr>
        <w:pStyle w:val="6"/>
        <w:kinsoku/>
        <w:rPr>
          <w:rFonts w:ascii="Times New Roman" w:hAnsi="Times New Roman" w:cs="Times New Roman"/>
          <w:color w:val="000000" w:themeColor="text1"/>
          <w:lang w:eastAsia="zh-CN"/>
          <w14:textFill>
            <w14:solidFill>
              <w14:schemeClr w14:val="tx1"/>
            </w14:solidFill>
          </w14:textFill>
        </w:rPr>
      </w:pPr>
    </w:p>
    <w:p w14:paraId="6BDE260E">
      <w:pPr>
        <w:widowControl w:val="0"/>
        <w:kinsoku/>
        <w:ind w:firstLine="1040"/>
        <w:jc w:val="both"/>
        <w:rPr>
          <w:rFonts w:ascii="Times New Roman" w:hAnsi="Times New Roman" w:eastAsia="仿宋" w:cs="Times New Roman"/>
          <w:color w:val="000000" w:themeColor="text1"/>
          <w:sz w:val="44"/>
          <w:szCs w:val="44"/>
          <w:lang w:eastAsia="zh-CN"/>
          <w14:textFill>
            <w14:solidFill>
              <w14:schemeClr w14:val="tx1"/>
            </w14:solidFill>
          </w14:textFill>
        </w:rPr>
      </w:pPr>
    </w:p>
    <w:p w14:paraId="4466CCC4">
      <w:pPr>
        <w:widowControl w:val="0"/>
        <w:kinsoku/>
        <w:ind w:firstLine="1040"/>
        <w:jc w:val="both"/>
        <w:rPr>
          <w:rFonts w:ascii="Times New Roman" w:hAnsi="Times New Roman" w:eastAsia="仿宋" w:cs="Times New Roman"/>
          <w:color w:val="000000" w:themeColor="text1"/>
          <w:sz w:val="44"/>
          <w:szCs w:val="44"/>
          <w:lang w:eastAsia="zh-CN"/>
          <w14:textFill>
            <w14:solidFill>
              <w14:schemeClr w14:val="tx1"/>
            </w14:solidFill>
          </w14:textFill>
        </w:rPr>
      </w:pPr>
    </w:p>
    <w:p w14:paraId="36CA4169">
      <w:pPr>
        <w:widowControl w:val="0"/>
        <w:kinsoku/>
        <w:ind w:firstLine="1040"/>
        <w:jc w:val="both"/>
        <w:rPr>
          <w:rFonts w:ascii="Times New Roman" w:hAnsi="Times New Roman" w:eastAsia="仿宋" w:cs="Times New Roman"/>
          <w:color w:val="000000" w:themeColor="text1"/>
          <w:sz w:val="44"/>
          <w:szCs w:val="44"/>
          <w:lang w:eastAsia="zh-CN"/>
          <w14:textFill>
            <w14:solidFill>
              <w14:schemeClr w14:val="tx1"/>
            </w14:solidFill>
          </w14:textFill>
        </w:rPr>
      </w:pPr>
    </w:p>
    <w:p w14:paraId="083C3A8E">
      <w:pPr>
        <w:pStyle w:val="6"/>
        <w:kinsoku/>
        <w:rPr>
          <w:rFonts w:ascii="Times New Roman" w:hAnsi="Times New Roman" w:cs="Times New Roman"/>
          <w:color w:val="000000" w:themeColor="text1"/>
          <w:lang w:eastAsia="zh-CN"/>
          <w14:textFill>
            <w14:solidFill>
              <w14:schemeClr w14:val="tx1"/>
            </w14:solidFill>
          </w14:textFill>
        </w:rPr>
      </w:pPr>
    </w:p>
    <w:bookmarkEnd w:id="1"/>
    <w:p w14:paraId="099F1229">
      <w:pPr>
        <w:widowControl w:val="0"/>
        <w:kinsoku/>
        <w:spacing w:line="360" w:lineRule="auto"/>
        <w:ind w:left="1920" w:hanging="1920" w:hangingChars="600"/>
        <w:jc w:val="both"/>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项目名称：</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准噶尔盆地吉南油田萨L1501H井、萨L1501H-1井钻试工程项目</w:t>
      </w:r>
      <w:r>
        <w:rPr>
          <w:rFonts w:ascii="Times New Roman" w:hAnsi="Times New Roman" w:eastAsia="仿宋_GB2312" w:cs="Times New Roman"/>
          <w:color w:val="000000" w:themeColor="text1"/>
          <w:sz w:val="32"/>
          <w:szCs w:val="32"/>
          <w:u w:val="single"/>
          <w:lang w:val="zh-CN" w:eastAsia="zh-CN"/>
          <w14:textFill>
            <w14:solidFill>
              <w14:schemeClr w14:val="tx1"/>
            </w14:solidFill>
          </w14:textFill>
        </w:rPr>
        <w:t xml:space="preserve">  </w:t>
      </w:r>
    </w:p>
    <w:p w14:paraId="368867B1">
      <w:pPr>
        <w:widowControl w:val="0"/>
        <w:kinsoku/>
        <w:spacing w:line="360" w:lineRule="auto"/>
        <w:ind w:left="1600" w:hanging="1600" w:hangingChars="500"/>
        <w:jc w:val="both"/>
        <w:rPr>
          <w:rFonts w:ascii="Times New Roman" w:hAnsi="Times New Roman" w:eastAsia="仿宋_GB2312" w:cs="Times New Roman"/>
          <w:color w:val="000000" w:themeColor="text1"/>
          <w:sz w:val="32"/>
          <w:szCs w:val="32"/>
          <w:u w:val="single"/>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建设单位（盖章）：</w:t>
      </w:r>
      <w:r>
        <w:rPr>
          <w:rFonts w:ascii="Times New Roman" w:hAnsi="Times New Roman" w:eastAsia="仿宋_GB2312" w:cs="Times New Roman"/>
          <w:color w:val="000000" w:themeColor="text1"/>
          <w:sz w:val="32"/>
          <w:szCs w:val="32"/>
          <w:u w:val="single"/>
          <w:lang w:val="zh-CN" w:eastAsia="zh-CN"/>
          <w14:textFill>
            <w14:solidFill>
              <w14:schemeClr w14:val="tx1"/>
            </w14:solidFill>
          </w14:textFill>
        </w:rPr>
        <w:t>中国石油天然气股份有限公司</w:t>
      </w:r>
      <w:r>
        <w:rPr>
          <w:rFonts w:ascii="Times New Roman" w:hAnsi="Times New Roman" w:eastAsia="仿宋_GB2312" w:cs="Times New Roman"/>
          <w:color w:val="000000" w:themeColor="text1"/>
          <w:sz w:val="32"/>
          <w:szCs w:val="32"/>
          <w:u w:val="single"/>
          <w:lang w:eastAsia="zh-CN"/>
          <w14:textFill>
            <w14:solidFill>
              <w14:schemeClr w14:val="tx1"/>
            </w14:solidFill>
          </w14:textFill>
        </w:rPr>
        <w:t xml:space="preserve">吐哈油田分公司准东采油管理区  </w:t>
      </w:r>
    </w:p>
    <w:p w14:paraId="29FEBF01">
      <w:pPr>
        <w:widowControl w:val="0"/>
        <w:kinsoku/>
        <w:spacing w:line="360" w:lineRule="auto"/>
        <w:jc w:val="both"/>
        <w:rPr>
          <w:rFonts w:ascii="Times New Roman" w:hAnsi="Times New Roman" w:eastAsia="仿宋_GB2312" w:cs="Times New Roman"/>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lang w:eastAsia="zh-CN"/>
          <w14:textFill>
            <w14:solidFill>
              <w14:schemeClr w14:val="tx1"/>
            </w14:solidFill>
          </w14:textFill>
        </w:rPr>
        <w:t>编制日期：</w:t>
      </w:r>
      <w:r>
        <w:rPr>
          <w:rFonts w:ascii="Times New Roman" w:hAnsi="Times New Roman" w:eastAsia="仿宋_GB2312" w:cs="Times New Roman"/>
          <w:color w:val="000000" w:themeColor="text1"/>
          <w:sz w:val="32"/>
          <w:szCs w:val="32"/>
          <w:u w:val="single"/>
          <w:lang w:eastAsia="zh-CN"/>
          <w14:textFill>
            <w14:solidFill>
              <w14:schemeClr w14:val="tx1"/>
            </w14:solidFill>
          </w14:textFill>
        </w:rPr>
        <w:t xml:space="preserve">               202</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6</w:t>
      </w:r>
      <w:r>
        <w:rPr>
          <w:rFonts w:ascii="Times New Roman" w:hAnsi="Times New Roman" w:eastAsia="仿宋_GB2312" w:cs="Times New Roman"/>
          <w:color w:val="000000" w:themeColor="text1"/>
          <w:sz w:val="32"/>
          <w:szCs w:val="32"/>
          <w:u w:val="single"/>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2</w:t>
      </w:r>
      <w:r>
        <w:rPr>
          <w:rFonts w:ascii="Times New Roman" w:hAnsi="Times New Roman" w:eastAsia="仿宋_GB2312" w:cs="Times New Roman"/>
          <w:color w:val="000000" w:themeColor="text1"/>
          <w:sz w:val="32"/>
          <w:szCs w:val="32"/>
          <w:u w:val="single"/>
          <w:lang w:eastAsia="zh-CN"/>
          <w14:textFill>
            <w14:solidFill>
              <w14:schemeClr w14:val="tx1"/>
            </w14:solidFill>
          </w14:textFill>
        </w:rPr>
        <w:t xml:space="preserve">月                </w:t>
      </w:r>
    </w:p>
    <w:p w14:paraId="2CF24AB4">
      <w:pPr>
        <w:widowControl w:val="0"/>
        <w:kinsoku/>
        <w:spacing w:line="360" w:lineRule="auto"/>
        <w:ind w:left="1600" w:hanging="1600" w:hangingChars="500"/>
        <w:jc w:val="both"/>
        <w:rPr>
          <w:rFonts w:ascii="Times New Roman" w:hAnsi="Times New Roman" w:eastAsia="仿宋_GB2312" w:cs="Times New Roman"/>
          <w:color w:val="000000" w:themeColor="text1"/>
          <w:sz w:val="32"/>
          <w:szCs w:val="32"/>
          <w:lang w:eastAsia="zh-CN"/>
          <w14:textFill>
            <w14:solidFill>
              <w14:schemeClr w14:val="tx1"/>
            </w14:solidFill>
          </w14:textFill>
        </w:rPr>
      </w:pPr>
    </w:p>
    <w:p w14:paraId="66289DDA">
      <w:pPr>
        <w:widowControl w:val="0"/>
        <w:kinsoku/>
        <w:spacing w:line="288" w:lineRule="auto"/>
        <w:ind w:firstLine="1040"/>
        <w:jc w:val="both"/>
        <w:rPr>
          <w:rFonts w:ascii="Times New Roman" w:hAnsi="Times New Roman" w:eastAsia="仿宋_GB2312" w:cs="Times New Roman"/>
          <w:color w:val="000000" w:themeColor="text1"/>
          <w:sz w:val="36"/>
          <w:szCs w:val="36"/>
          <w:lang w:eastAsia="zh-CN"/>
          <w14:textFill>
            <w14:solidFill>
              <w14:schemeClr w14:val="tx1"/>
            </w14:solidFill>
          </w14:textFill>
        </w:rPr>
      </w:pPr>
    </w:p>
    <w:p w14:paraId="3F3C9275">
      <w:pPr>
        <w:widowControl w:val="0"/>
        <w:kinsoku/>
        <w:spacing w:line="288" w:lineRule="auto"/>
        <w:ind w:firstLine="1040"/>
        <w:jc w:val="both"/>
        <w:rPr>
          <w:rFonts w:ascii="Times New Roman" w:hAnsi="Times New Roman" w:eastAsia="仿宋_GB2312" w:cs="Times New Roman"/>
          <w:color w:val="000000" w:themeColor="text1"/>
          <w:sz w:val="36"/>
          <w:szCs w:val="36"/>
          <w:lang w:eastAsia="zh-CN"/>
          <w14:textFill>
            <w14:solidFill>
              <w14:schemeClr w14:val="tx1"/>
            </w14:solidFill>
          </w14:textFill>
        </w:rPr>
      </w:pPr>
    </w:p>
    <w:p w14:paraId="11CB5950">
      <w:pPr>
        <w:widowControl w:val="0"/>
        <w:kinsoku/>
        <w:spacing w:line="288" w:lineRule="auto"/>
        <w:ind w:firstLine="1040"/>
        <w:jc w:val="both"/>
        <w:rPr>
          <w:rFonts w:ascii="Times New Roman" w:hAnsi="Times New Roman" w:eastAsia="仿宋_GB2312" w:cs="Times New Roman"/>
          <w:color w:val="000000" w:themeColor="text1"/>
          <w:sz w:val="36"/>
          <w:szCs w:val="36"/>
          <w:lang w:eastAsia="zh-CN"/>
          <w14:textFill>
            <w14:solidFill>
              <w14:schemeClr w14:val="tx1"/>
            </w14:solidFill>
          </w14:textFill>
        </w:rPr>
      </w:pPr>
    </w:p>
    <w:p w14:paraId="412E1E7D">
      <w:pPr>
        <w:widowControl w:val="0"/>
        <w:kinsoku/>
        <w:spacing w:line="288" w:lineRule="auto"/>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eastAsia="楷体_GB2312" w:cs="Times New Roman"/>
          <w:color w:val="000000" w:themeColor="text1"/>
          <w:sz w:val="36"/>
          <w:szCs w:val="36"/>
          <w:lang w:eastAsia="zh-CN"/>
          <w14:textFill>
            <w14:solidFill>
              <w14:schemeClr w14:val="tx1"/>
            </w14:solidFill>
          </w14:textFill>
        </w:rPr>
        <w:t>中华人民共和国生态环境部制</w:t>
      </w:r>
    </w:p>
    <w:p w14:paraId="215485BE">
      <w:pPr>
        <w:kinsoku/>
        <w:spacing w:before="100" w:line="224" w:lineRule="auto"/>
        <w:jc w:val="both"/>
        <w:outlineLvl w:val="0"/>
        <w:rPr>
          <w:rFonts w:ascii="Times New Roman" w:hAnsi="Times New Roman" w:eastAsia="宋体" w:cs="Times New Roman"/>
          <w:b/>
          <w:bCs/>
          <w:color w:val="000000" w:themeColor="text1"/>
          <w:spacing w:val="6"/>
          <w:sz w:val="30"/>
          <w:szCs w:val="30"/>
          <w:lang w:eastAsia="zh-CN"/>
          <w14:textFill>
            <w14:solidFill>
              <w14:schemeClr w14:val="tx1"/>
            </w14:solidFill>
          </w14:textFill>
        </w:rPr>
        <w:sectPr>
          <w:headerReference r:id="rId3" w:type="default"/>
          <w:footerReference r:id="rId4" w:type="default"/>
          <w:pgSz w:w="11906" w:h="16840"/>
          <w:pgMar w:top="1440" w:right="1803" w:bottom="1440" w:left="1803" w:header="850" w:footer="992" w:gutter="0"/>
          <w:cols w:space="720" w:num="1"/>
        </w:sectPr>
      </w:pPr>
    </w:p>
    <w:p w14:paraId="429B85D1">
      <w:pPr>
        <w:numPr>
          <w:ilvl w:val="0"/>
          <w:numId w:val="2"/>
        </w:numPr>
        <w:kinsoku/>
        <w:spacing w:before="100" w:line="360" w:lineRule="auto"/>
        <w:jc w:val="center"/>
        <w:outlineLvl w:val="0"/>
        <w:rPr>
          <w:rFonts w:ascii="Times New Roman" w:hAnsi="Times New Roman" w:eastAsia="宋体" w:cs="Times New Roman"/>
          <w:b/>
          <w:bCs/>
          <w:color w:val="000000" w:themeColor="text1"/>
          <w:spacing w:val="6"/>
          <w:sz w:val="30"/>
          <w:szCs w:val="30"/>
          <w14:textFill>
            <w14:solidFill>
              <w14:schemeClr w14:val="tx1"/>
            </w14:solidFill>
          </w14:textFill>
        </w:rPr>
      </w:pPr>
      <w:r>
        <w:rPr>
          <w:rFonts w:ascii="Times New Roman" w:hAnsi="Times New Roman" w:eastAsia="宋体" w:cs="Times New Roman"/>
          <w:b/>
          <w:bCs/>
          <w:color w:val="000000" w:themeColor="text1"/>
          <w:spacing w:val="6"/>
          <w:sz w:val="30"/>
          <w:szCs w:val="30"/>
          <w14:textFill>
            <w14:solidFill>
              <w14:schemeClr w14:val="tx1"/>
            </w14:solidFill>
          </w14:textFill>
        </w:rPr>
        <w:t>建设项目基本情况</w:t>
      </w:r>
    </w:p>
    <w:tbl>
      <w:tblPr>
        <w:tblStyle w:val="17"/>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2931"/>
        <w:gridCol w:w="1318"/>
        <w:gridCol w:w="2982"/>
      </w:tblGrid>
      <w:tr w14:paraId="7BD9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59" w:type="dxa"/>
            <w:vAlign w:val="center"/>
          </w:tcPr>
          <w:p w14:paraId="63697AD1">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建设项目名称</w:t>
            </w:r>
          </w:p>
        </w:tc>
        <w:tc>
          <w:tcPr>
            <w:tcW w:w="7231" w:type="dxa"/>
            <w:gridSpan w:val="3"/>
            <w:vAlign w:val="center"/>
          </w:tcPr>
          <w:p w14:paraId="6099803C">
            <w:pPr>
              <w:pStyle w:val="22"/>
              <w:widowControl w:val="0"/>
              <w:kinsoku/>
              <w:spacing w:before="84" w:line="228"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准噶尔盆地吉南油田萨L1501H井、萨L1501H-1井钻试工程项目</w:t>
            </w:r>
          </w:p>
        </w:tc>
      </w:tr>
      <w:tr w14:paraId="147F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6081A628">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项目代码</w:t>
            </w:r>
          </w:p>
        </w:tc>
        <w:tc>
          <w:tcPr>
            <w:tcW w:w="7231" w:type="dxa"/>
            <w:gridSpan w:val="3"/>
            <w:vAlign w:val="center"/>
          </w:tcPr>
          <w:p w14:paraId="68D02744">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w:t>
            </w:r>
          </w:p>
        </w:tc>
      </w:tr>
      <w:tr w14:paraId="6FA7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74C4C726">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1"/>
                <w:sz w:val="24"/>
                <w:szCs w:val="24"/>
                <w14:textFill>
                  <w14:solidFill>
                    <w14:schemeClr w14:val="tx1"/>
                  </w14:solidFill>
                </w14:textFill>
              </w:rPr>
              <w:t>建设单位联系人</w:t>
            </w:r>
          </w:p>
        </w:tc>
        <w:tc>
          <w:tcPr>
            <w:tcW w:w="2931" w:type="dxa"/>
            <w:vAlign w:val="center"/>
          </w:tcPr>
          <w:p w14:paraId="3C18F5E4">
            <w:pPr>
              <w:pStyle w:val="22"/>
              <w:widowControl w:val="0"/>
              <w:kinsoku/>
              <w:spacing w:before="84" w:line="228" w:lineRule="auto"/>
              <w:ind w:left="785"/>
              <w:jc w:val="both"/>
              <w:rPr>
                <w:rFonts w:hint="default" w:ascii="Times New Roman" w:hAnsi="Times New Roman" w:eastAsia="宋体" w:cs="Times New Roman"/>
                <w:color w:val="000000" w:themeColor="text1"/>
                <w:spacing w:val="-11"/>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王建伟</w:t>
            </w:r>
          </w:p>
        </w:tc>
        <w:tc>
          <w:tcPr>
            <w:tcW w:w="1318" w:type="dxa"/>
            <w:vAlign w:val="center"/>
          </w:tcPr>
          <w:p w14:paraId="249DF3B0">
            <w:pPr>
              <w:pStyle w:val="22"/>
              <w:widowControl w:val="0"/>
              <w:kinsoku/>
              <w:spacing w:before="84" w:line="229" w:lineRule="auto"/>
              <w:jc w:val="center"/>
              <w:rPr>
                <w:rFonts w:hint="default" w:ascii="Times New Roman" w:hAnsi="Times New Roman" w:eastAsia="宋体" w:cs="Times New Roman"/>
                <w:color w:val="000000" w:themeColor="text1"/>
                <w:spacing w:val="-11"/>
                <w:sz w:val="24"/>
                <w:szCs w:val="24"/>
                <w14:textFill>
                  <w14:solidFill>
                    <w14:schemeClr w14:val="tx1"/>
                  </w14:solidFill>
                </w14:textFill>
              </w:rPr>
            </w:pPr>
            <w:r>
              <w:rPr>
                <w:rFonts w:hint="default" w:ascii="Times New Roman" w:hAnsi="Times New Roman" w:eastAsia="宋体" w:cs="Times New Roman"/>
                <w:color w:val="000000" w:themeColor="text1"/>
                <w:spacing w:val="17"/>
                <w:sz w:val="24"/>
                <w:szCs w:val="24"/>
                <w14:textFill>
                  <w14:solidFill>
                    <w14:schemeClr w14:val="tx1"/>
                  </w14:solidFill>
                </w14:textFill>
              </w:rPr>
              <w:t>联系方式</w:t>
            </w:r>
          </w:p>
        </w:tc>
        <w:tc>
          <w:tcPr>
            <w:tcW w:w="2982" w:type="dxa"/>
            <w:vAlign w:val="center"/>
          </w:tcPr>
          <w:p w14:paraId="5A9A61D4">
            <w:pPr>
              <w:widowControl w:val="0"/>
              <w:kinsoku/>
              <w:spacing w:before="120" w:line="195" w:lineRule="auto"/>
              <w:jc w:val="center"/>
              <w:rPr>
                <w:rFonts w:hint="default" w:ascii="Times New Roman" w:hAnsi="Times New Roman" w:eastAsia="宋体" w:cs="Times New Roman"/>
                <w:color w:val="000000" w:themeColor="text1"/>
                <w:spacing w:val="-11"/>
                <w:sz w:val="24"/>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13899311159</w:t>
            </w:r>
          </w:p>
        </w:tc>
      </w:tr>
      <w:tr w14:paraId="352C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1A16BF47">
            <w:pPr>
              <w:pStyle w:val="22"/>
              <w:widowControl w:val="0"/>
              <w:kinsoku/>
              <w:spacing w:before="84" w:line="228" w:lineRule="auto"/>
              <w:jc w:val="center"/>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建设地点</w:t>
            </w:r>
          </w:p>
        </w:tc>
        <w:tc>
          <w:tcPr>
            <w:tcW w:w="7231" w:type="dxa"/>
            <w:gridSpan w:val="3"/>
            <w:vAlign w:val="center"/>
          </w:tcPr>
          <w:p w14:paraId="75B4D3BE">
            <w:pPr>
              <w:pStyle w:val="22"/>
              <w:widowControl w:val="0"/>
              <w:kinsoku/>
              <w:spacing w:before="84" w:line="228" w:lineRule="auto"/>
              <w:jc w:val="both"/>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lang w:eastAsia="zh-CN"/>
                <w14:textFill>
                  <w14:solidFill>
                    <w14:schemeClr w14:val="tx1"/>
                  </w14:solidFill>
                </w14:textFill>
              </w:rPr>
              <w:t>新疆维吾尔自治区昌吉回族自治州</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吉木萨尔县</w:t>
            </w:r>
            <w:r>
              <w:rPr>
                <w:rFonts w:hint="eastAsia" w:ascii="Times New Roman" w:hAnsi="Times New Roman" w:cs="Times New Roman"/>
                <w:color w:val="000000" w:themeColor="text1"/>
                <w:spacing w:val="6"/>
                <w:sz w:val="24"/>
                <w:szCs w:val="24"/>
                <w:lang w:val="en-US" w:eastAsia="zh-CN"/>
                <w14:textFill>
                  <w14:solidFill>
                    <w14:schemeClr w14:val="tx1"/>
                  </w14:solidFill>
                </w14:textFill>
              </w:rPr>
              <w:t>二工镇红山子村东南方位</w:t>
            </w:r>
          </w:p>
        </w:tc>
      </w:tr>
      <w:tr w14:paraId="5CCC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459" w:type="dxa"/>
            <w:vAlign w:val="center"/>
          </w:tcPr>
          <w:p w14:paraId="763F6106">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地理坐标</w:t>
            </w:r>
          </w:p>
        </w:tc>
        <w:tc>
          <w:tcPr>
            <w:tcW w:w="7231" w:type="dxa"/>
            <w:gridSpan w:val="3"/>
            <w:vAlign w:val="center"/>
          </w:tcPr>
          <w:p w14:paraId="787A0BA0">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jc w:val="both"/>
              <w:textAlignment w:val="baseline"/>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萨L1501H</w:t>
            </w:r>
            <w:r>
              <w:rPr>
                <w:rFonts w:hint="default" w:ascii="Times New Roman" w:hAnsi="Times New Roman" w:eastAsia="宋体" w:cs="Times New Roman"/>
                <w:color w:val="000000" w:themeColor="text1"/>
                <w:sz w:val="24"/>
                <w:szCs w:val="24"/>
                <w:lang w:eastAsia="zh-CN"/>
                <w14:textFill>
                  <w14:solidFill>
                    <w14:schemeClr w14:val="tx1"/>
                  </w14:solidFill>
                </w14:textFill>
              </w:rPr>
              <w:t>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E89</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15'54.53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"，N43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50'42.7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7D1D016B">
            <w:pPr>
              <w:widowControl w:val="0"/>
              <w:kinsoku/>
              <w:spacing w:line="400" w:lineRule="exact"/>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萨L1501H-1井：E89</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15'54.72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"，N43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50'42.70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r>
      <w:tr w14:paraId="1A59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250ADFF7">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2D3ED9E7">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tc>
        <w:tc>
          <w:tcPr>
            <w:tcW w:w="2931" w:type="dxa"/>
            <w:vAlign w:val="center"/>
          </w:tcPr>
          <w:p w14:paraId="5F3A3E38">
            <w:pPr>
              <w:widowControl w:val="0"/>
              <w:kinsoku/>
              <w:spacing w:line="400" w:lineRule="exact"/>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四十六、专业技术服务业99陆地矿产资源地质勘查（含油气资源勘探）</w:t>
            </w:r>
          </w:p>
        </w:tc>
        <w:tc>
          <w:tcPr>
            <w:tcW w:w="1318" w:type="dxa"/>
            <w:vAlign w:val="center"/>
          </w:tcPr>
          <w:p w14:paraId="5871D93D">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用地面积（m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tc>
        <w:tc>
          <w:tcPr>
            <w:tcW w:w="2982" w:type="dxa"/>
            <w:vAlign w:val="center"/>
          </w:tcPr>
          <w:p w14:paraId="22A7CC68">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18020</w:t>
            </w:r>
            <w:r>
              <w:rPr>
                <w:rFonts w:hint="default" w:ascii="Times New Roman" w:hAnsi="Times New Roman" w:eastAsia="宋体" w:cs="Times New Roman"/>
                <w:color w:val="000000" w:themeColor="text1"/>
                <w:sz w:val="24"/>
                <w:szCs w:val="24"/>
                <w:lang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（临时用地）</w:t>
            </w:r>
          </w:p>
        </w:tc>
      </w:tr>
      <w:tr w14:paraId="7BC9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772BD17E">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2931" w:type="dxa"/>
            <w:vAlign w:val="center"/>
          </w:tcPr>
          <w:p w14:paraId="6710C8C1">
            <w:pPr>
              <w:widowControl w:val="0"/>
              <w:kinsoku/>
              <w:autoSpaceDE/>
              <w:autoSpaceDN/>
              <w:spacing w:line="400" w:lineRule="exact"/>
              <w:jc w:val="both"/>
              <w:textAlignment w:val="auto"/>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sym w:font="Wingdings 2" w:char="0052"/>
            </w: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新建（迁建）</w:t>
            </w:r>
          </w:p>
          <w:p w14:paraId="09F2893B">
            <w:pPr>
              <w:widowControl w:val="0"/>
              <w:kinsoku/>
              <w:autoSpaceDE/>
              <w:autoSpaceDN/>
              <w:spacing w:line="400" w:lineRule="exact"/>
              <w:jc w:val="both"/>
              <w:textAlignment w:val="auto"/>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□改建</w:t>
            </w:r>
          </w:p>
          <w:p w14:paraId="38874C3D">
            <w:pPr>
              <w:widowControl w:val="0"/>
              <w:kinsoku/>
              <w:autoSpaceDE/>
              <w:autoSpaceDN/>
              <w:spacing w:line="400" w:lineRule="exact"/>
              <w:jc w:val="both"/>
              <w:textAlignment w:val="auto"/>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□扩建</w:t>
            </w:r>
          </w:p>
          <w:p w14:paraId="398495A7">
            <w:pPr>
              <w:widowControl w:val="0"/>
              <w:kinsoku/>
              <w:autoSpaceDE/>
              <w:autoSpaceDN/>
              <w:spacing w:line="400" w:lineRule="exact"/>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□技术改造</w:t>
            </w:r>
          </w:p>
        </w:tc>
        <w:tc>
          <w:tcPr>
            <w:tcW w:w="1318" w:type="dxa"/>
            <w:vAlign w:val="center"/>
          </w:tcPr>
          <w:p w14:paraId="2E6E0B2D">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4EAF7937">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2982" w:type="dxa"/>
            <w:vAlign w:val="center"/>
          </w:tcPr>
          <w:p w14:paraId="3CCA11D7">
            <w:pPr>
              <w:widowControl w:val="0"/>
              <w:kinsoku/>
              <w:spacing w:line="400" w:lineRule="exact"/>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lang w:eastAsia="zh-CN"/>
                <w14:textFill>
                  <w14:solidFill>
                    <w14:schemeClr w14:val="tx1"/>
                  </w14:solidFill>
                </w14:textFill>
              </w:rPr>
              <w:t>首次申报项目</w:t>
            </w:r>
          </w:p>
          <w:p w14:paraId="2F1B3D4C">
            <w:pPr>
              <w:widowControl w:val="0"/>
              <w:kinsoku/>
              <w:autoSpaceDE/>
              <w:autoSpaceDN/>
              <w:spacing w:line="400" w:lineRule="exact"/>
              <w:jc w:val="both"/>
              <w:textAlignment w:val="auto"/>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□不予批准后再次申报项目</w:t>
            </w:r>
          </w:p>
          <w:p w14:paraId="430B5E6E">
            <w:pPr>
              <w:widowControl w:val="0"/>
              <w:kinsoku/>
              <w:autoSpaceDE/>
              <w:autoSpaceDN/>
              <w:spacing w:line="400" w:lineRule="exact"/>
              <w:jc w:val="both"/>
              <w:textAlignment w:val="auto"/>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□超五年重新审核项目</w:t>
            </w:r>
          </w:p>
          <w:p w14:paraId="2632894A">
            <w:pPr>
              <w:widowControl w:val="0"/>
              <w:kinsoku/>
              <w:autoSpaceDE/>
              <w:autoSpaceDN/>
              <w:spacing w:line="400" w:lineRule="exact"/>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□重大变动重新报批项目</w:t>
            </w:r>
          </w:p>
        </w:tc>
      </w:tr>
      <w:tr w14:paraId="2876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01538E28">
            <w:pPr>
              <w:widowControl w:val="0"/>
              <w:kinsoku/>
              <w:spacing w:line="40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项目审批（核准/备案）部门</w:t>
            </w:r>
          </w:p>
        </w:tc>
        <w:tc>
          <w:tcPr>
            <w:tcW w:w="2931" w:type="dxa"/>
            <w:vAlign w:val="center"/>
          </w:tcPr>
          <w:p w14:paraId="7D81332C">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w:t>
            </w:r>
          </w:p>
        </w:tc>
        <w:tc>
          <w:tcPr>
            <w:tcW w:w="1318" w:type="dxa"/>
            <w:vAlign w:val="center"/>
          </w:tcPr>
          <w:p w14:paraId="60952A5A">
            <w:pPr>
              <w:widowControl w:val="0"/>
              <w:kinsoku/>
              <w:spacing w:line="40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项目审批（核准/备案）文号</w:t>
            </w:r>
          </w:p>
        </w:tc>
        <w:tc>
          <w:tcPr>
            <w:tcW w:w="2982" w:type="dxa"/>
            <w:vAlign w:val="center"/>
          </w:tcPr>
          <w:p w14:paraId="55869E61">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w:t>
            </w:r>
          </w:p>
        </w:tc>
      </w:tr>
      <w:tr w14:paraId="6094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6FCAB8E9">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w:t>
            </w:r>
          </w:p>
          <w:p w14:paraId="4F24AE17">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（万元）</w:t>
            </w:r>
          </w:p>
        </w:tc>
        <w:tc>
          <w:tcPr>
            <w:tcW w:w="2931" w:type="dxa"/>
            <w:vAlign w:val="center"/>
          </w:tcPr>
          <w:p w14:paraId="4D37947A">
            <w:pPr>
              <w:widowControl w:val="0"/>
              <w:kinsoku/>
              <w:spacing w:line="40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5866</w:t>
            </w:r>
          </w:p>
        </w:tc>
        <w:tc>
          <w:tcPr>
            <w:tcW w:w="1318" w:type="dxa"/>
            <w:vAlign w:val="center"/>
          </w:tcPr>
          <w:p w14:paraId="6847EA47">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w:t>
            </w:r>
          </w:p>
          <w:p w14:paraId="29F39D75">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（万元）</w:t>
            </w:r>
          </w:p>
        </w:tc>
        <w:tc>
          <w:tcPr>
            <w:tcW w:w="2982" w:type="dxa"/>
            <w:vAlign w:val="center"/>
          </w:tcPr>
          <w:p w14:paraId="01EC480E">
            <w:pPr>
              <w:widowControl w:val="0"/>
              <w:kinsoku/>
              <w:spacing w:line="40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8</w:t>
            </w:r>
          </w:p>
        </w:tc>
      </w:tr>
      <w:tr w14:paraId="592F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4ECFFA78">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环保投资占比（%）</w:t>
            </w:r>
          </w:p>
        </w:tc>
        <w:tc>
          <w:tcPr>
            <w:tcW w:w="2931" w:type="dxa"/>
            <w:vAlign w:val="center"/>
          </w:tcPr>
          <w:p w14:paraId="1BC89BD2">
            <w:pPr>
              <w:widowControl w:val="0"/>
              <w:kinsoku/>
              <w:spacing w:line="400" w:lineRule="exact"/>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w:t>
            </w:r>
          </w:p>
        </w:tc>
        <w:tc>
          <w:tcPr>
            <w:tcW w:w="1318" w:type="dxa"/>
            <w:vAlign w:val="center"/>
          </w:tcPr>
          <w:p w14:paraId="7A0E930A">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施工工期</w:t>
            </w:r>
          </w:p>
        </w:tc>
        <w:tc>
          <w:tcPr>
            <w:tcW w:w="2982" w:type="dxa"/>
            <w:vAlign w:val="center"/>
          </w:tcPr>
          <w:p w14:paraId="1C2BD8FA">
            <w:pPr>
              <w:widowControl w:val="0"/>
              <w:kinsoku/>
              <w:spacing w:line="40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单井钻井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期90天；单井试油期为300天</w:t>
            </w:r>
          </w:p>
        </w:tc>
      </w:tr>
      <w:tr w14:paraId="2655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148602DE">
            <w:pPr>
              <w:widowControl w:val="0"/>
              <w:kinsoku/>
              <w:autoSpaceDE/>
              <w:autoSpaceDN/>
              <w:spacing w:line="400" w:lineRule="exact"/>
              <w:jc w:val="both"/>
              <w:textAlignment w:val="auto"/>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是否开工建设</w:t>
            </w:r>
          </w:p>
        </w:tc>
        <w:tc>
          <w:tcPr>
            <w:tcW w:w="7231" w:type="dxa"/>
            <w:gridSpan w:val="3"/>
            <w:vAlign w:val="center"/>
          </w:tcPr>
          <w:p w14:paraId="7428CC0C">
            <w:pPr>
              <w:widowControl w:val="0"/>
              <w:kinsoku/>
              <w:autoSpaceDE/>
              <w:autoSpaceDN/>
              <w:spacing w:line="400" w:lineRule="exact"/>
              <w:jc w:val="both"/>
              <w:textAlignment w:val="auto"/>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sym w:font="Wingdings 2" w:char="0052"/>
            </w: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否</w:t>
            </w:r>
          </w:p>
          <w:p w14:paraId="5C28DA8C">
            <w:pPr>
              <w:widowControl w:val="0"/>
              <w:kinsoku/>
              <w:autoSpaceDE/>
              <w:autoSpaceDN/>
              <w:spacing w:line="400" w:lineRule="exact"/>
              <w:jc w:val="both"/>
              <w:textAlignment w:val="auto"/>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□是：</w:t>
            </w:r>
          </w:p>
        </w:tc>
      </w:tr>
      <w:tr w14:paraId="7932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9" w:type="dxa"/>
            <w:vAlign w:val="center"/>
          </w:tcPr>
          <w:p w14:paraId="2BA61C62">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专项评价</w:t>
            </w:r>
          </w:p>
          <w:p w14:paraId="1E9BB07F">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设置情况</w:t>
            </w:r>
          </w:p>
        </w:tc>
        <w:tc>
          <w:tcPr>
            <w:tcW w:w="7231" w:type="dxa"/>
            <w:gridSpan w:val="3"/>
            <w:vAlign w:val="center"/>
          </w:tcPr>
          <w:p w14:paraId="55CECA42">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w:t>
            </w:r>
          </w:p>
        </w:tc>
      </w:tr>
      <w:tr w14:paraId="12AE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2" w:hRule="atLeast"/>
          <w:jc w:val="center"/>
        </w:trPr>
        <w:tc>
          <w:tcPr>
            <w:tcW w:w="1459" w:type="dxa"/>
            <w:vAlign w:val="center"/>
          </w:tcPr>
          <w:p w14:paraId="136E616D">
            <w:pPr>
              <w:widowControl w:val="0"/>
              <w:kinsoku/>
              <w:spacing w:line="4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规划情况</w:t>
            </w:r>
          </w:p>
        </w:tc>
        <w:tc>
          <w:tcPr>
            <w:tcW w:w="7231" w:type="dxa"/>
            <w:gridSpan w:val="3"/>
            <w:vAlign w:val="center"/>
          </w:tcPr>
          <w:p w14:paraId="0C9C60C0">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1.规划名称：《新疆维吾尔自治区矿产资源总体规划（2021-2025年）》；</w:t>
            </w:r>
          </w:p>
          <w:p w14:paraId="66386A88">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审批机关：自然资源部；</w:t>
            </w:r>
          </w:p>
          <w:p w14:paraId="1D5BD9DF">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审批文号：自然资函〔2022〕1092号。</w:t>
            </w:r>
          </w:p>
          <w:p w14:paraId="67C1FA27">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2.规划名称：《新疆维吾尔自治区昌吉回族自治州矿产资源总体规划（2021-2025年）》；</w:t>
            </w:r>
          </w:p>
          <w:p w14:paraId="17A6A893">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规划编制单位：昌吉回族自治州人民政府。</w:t>
            </w:r>
          </w:p>
          <w:p w14:paraId="6F9DD349">
            <w:pPr>
              <w:pStyle w:val="22"/>
              <w:widowControl w:val="0"/>
              <w:kinsoku/>
              <w:spacing w:before="3" w:line="360" w:lineRule="auto"/>
              <w:ind w:right="3"/>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3.规划名称：《吐哈油田公司勘探与生产业务“十四五”发展规划》；</w:t>
            </w:r>
          </w:p>
          <w:p w14:paraId="14BF8717">
            <w:pPr>
              <w:pStyle w:val="6"/>
              <w:widowControl w:val="0"/>
              <w:kinsoku/>
              <w:ind w:firstLine="0" w:firstLineChars="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规划编制单位：中国石油天然气股份有限公司吐哈油田分公司。</w:t>
            </w:r>
          </w:p>
        </w:tc>
      </w:tr>
      <w:tr w14:paraId="1235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9" w:type="dxa"/>
            <w:vAlign w:val="center"/>
          </w:tcPr>
          <w:p w14:paraId="42404E45">
            <w:pPr>
              <w:widowControl w:val="0"/>
              <w:kinsoku/>
              <w:spacing w:line="40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规划环境影响评价情况</w:t>
            </w:r>
          </w:p>
        </w:tc>
        <w:tc>
          <w:tcPr>
            <w:tcW w:w="7231" w:type="dxa"/>
            <w:gridSpan w:val="3"/>
            <w:vAlign w:val="center"/>
          </w:tcPr>
          <w:p w14:paraId="38079717">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1.环评文件名称：《新疆维吾尔自治区矿产资源总体规划（2021-2025年）环境影响报告书》；</w:t>
            </w:r>
          </w:p>
          <w:p w14:paraId="163C2806">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审查机关：生态环境部；</w:t>
            </w:r>
          </w:p>
          <w:p w14:paraId="1CD8196A">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审查文件名称及文号：关于《新疆维吾尔自治区矿产资源总体规划（2021-2025年）环境影响报告书》的审查意见（环审〔2022〕124号）。</w:t>
            </w:r>
          </w:p>
          <w:p w14:paraId="2953C9EE">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环评文件名称：《新疆维吾尔自治区昌吉回族自治州矿产资源总体规划（2021—2025年）环境影响报告书》；</w:t>
            </w:r>
          </w:p>
          <w:p w14:paraId="0E7681CF">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审查机关：昌吉回族自治州生态环境局；</w:t>
            </w:r>
          </w:p>
          <w:p w14:paraId="735EAD93">
            <w:pPr>
              <w:widowControl w:val="0"/>
              <w:kinsoku/>
              <w:spacing w:line="360" w:lineRule="auto"/>
              <w:ind w:firstLine="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审查文件名称及文号：关于《新疆维吾尔自治区昌吉回族自治州矿产资源总体规划（2021—2025年）环境影响报告书》的审查意见（昌州环函〔2023〕40号）。</w:t>
            </w:r>
          </w:p>
        </w:tc>
      </w:tr>
      <w:tr w14:paraId="7E50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1" w:hRule="atLeast"/>
          <w:jc w:val="center"/>
        </w:trPr>
        <w:tc>
          <w:tcPr>
            <w:tcW w:w="1459" w:type="dxa"/>
            <w:vAlign w:val="center"/>
          </w:tcPr>
          <w:p w14:paraId="3669BDE7">
            <w:pPr>
              <w:widowControl w:val="0"/>
              <w:kinsoku/>
              <w:spacing w:line="43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规划及规划环境影响评价符合性分析</w:t>
            </w:r>
          </w:p>
        </w:tc>
        <w:tc>
          <w:tcPr>
            <w:tcW w:w="7231" w:type="dxa"/>
            <w:gridSpan w:val="3"/>
            <w:vAlign w:val="center"/>
          </w:tcPr>
          <w:p w14:paraId="11A72089">
            <w:pPr>
              <w:pStyle w:val="26"/>
              <w:widowControl w:val="0"/>
              <w:kinsoku/>
              <w:spacing w:line="360" w:lineRule="auto"/>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1.与《新疆维吾尔自治区矿产资源总体规划（2021—2025年）》及规划环评的符合性分析</w:t>
            </w:r>
          </w:p>
          <w:p w14:paraId="5397E489">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新疆矿产资源丰富，是我国重要的能源资源开发区。规划将石油、天然气列为重点勘查开采矿种，鼓励勘探和开发；并且依据矿产资源分布特点及勘查开发利用现状，按照“深化北疆东疆，加快南疆勘查开发”的总体思路，划分了环准噶尔、环塔里木、阿尔泰、东准噶尔、西准噶尔、东天山、西天山、西南天山、西昆仑、东昆仑—阿尔金等“两环八带”十个勘查开发区。规划环评要求对产生的污染物采取相应的治理措施，对实施过程中产生的生态影响采取有效的减缓措施。</w:t>
            </w:r>
          </w:p>
          <w:p w14:paraId="05274187">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本项目拟部署的2口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评价井</w:t>
            </w:r>
            <w:r>
              <w:rPr>
                <w:rFonts w:hint="default" w:ascii="Times New Roman" w:hAnsi="Times New Roman" w:eastAsia="宋体" w:cs="Times New Roman"/>
                <w:color w:val="000000" w:themeColor="text1"/>
                <w:sz w:val="24"/>
                <w:szCs w:val="24"/>
                <w:lang w:eastAsia="zh-CN"/>
                <w14:textFill>
                  <w14:solidFill>
                    <w14:schemeClr w14:val="tx1"/>
                  </w14:solidFill>
                </w14:textFill>
              </w:rPr>
              <w:t>占地位于“两环八带”十个勘查开发区”中的环准噶尔能源矿产勘查开发区，且属于陆地矿产资源地质勘查（含油气资源勘探），符合规划要求；</w:t>
            </w:r>
          </w:p>
          <w:p w14:paraId="4E097EC8">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同时，本项目严格按照《新疆维吾尔自治区矿产资源总体规划（2021-2025年）环境影响报告书》要求对施工期产生的“三废”、噪声及生态影响均提出了相应的治理或减缓措施，符合规划环评相关要求。</w:t>
            </w:r>
          </w:p>
          <w:p w14:paraId="5D5194F9">
            <w:pPr>
              <w:pStyle w:val="26"/>
              <w:widowControl w:val="0"/>
              <w:kinsoku/>
              <w:spacing w:line="360" w:lineRule="auto"/>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2.与《新疆维吾尔自治区昌吉回族自治州矿产资源总体规划（2021—2025年）》及规划环评的符合性分析</w:t>
            </w:r>
          </w:p>
          <w:p w14:paraId="1DCCF7E4">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规划》将石油、天然气列为鼓励勘察开采的矿种。以油气、煤、地热、硅质原料、饰面石材等矿产资源勘查开发为主，重点加强准噶尔南缘、准东冲断带等地区石油、天然气、页岩气等常规能源勘查，有序开发准东、准南等地区煤炭、煤层气资源，延伸煤炭产业链，推进煤电煤化工一体化等综合资源开发，助力天山北坡城市群经济高质量发展。拟部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评价井</w:t>
            </w:r>
            <w:r>
              <w:rPr>
                <w:rFonts w:hint="default" w:ascii="Times New Roman" w:hAnsi="Times New Roman" w:eastAsia="宋体" w:cs="Times New Roman"/>
                <w:color w:val="000000" w:themeColor="text1"/>
                <w:sz w:val="24"/>
                <w:szCs w:val="24"/>
                <w:lang w:eastAsia="zh-CN"/>
                <w14:textFill>
                  <w14:solidFill>
                    <w14:schemeClr w14:val="tx1"/>
                  </w14:solidFill>
                </w14:textFill>
              </w:rPr>
              <w:t>位于准噶尔盆地吉南油田萨探1块，属于陆地石油勘探，符合规划相关要求。</w:t>
            </w:r>
          </w:p>
          <w:p w14:paraId="5B4E9ABA">
            <w:pPr>
              <w:pStyle w:val="26"/>
              <w:widowControl/>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施工期将采取严格的生态保护和恢复措施，严格控制施工区扰动范围，废水、废气、固体废物均按照国家标准进行分类收集、集中处理，尽可能减少生态扰动和环境污染。</w:t>
            </w:r>
          </w:p>
          <w:p w14:paraId="7192B48C">
            <w:pPr>
              <w:pStyle w:val="26"/>
              <w:widowControl/>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因此，本项目在选址、建设内容、生态保护措施等方面与《新疆维吾尔自治区昌吉回族自治州矿产资源总体规划（2021—2025年）》及其环境影响报告书的相关要求保持一致，符合规划及其规划环评的相关导向与管理要求。</w:t>
            </w:r>
          </w:p>
          <w:p w14:paraId="24255D0A">
            <w:pPr>
              <w:pStyle w:val="26"/>
              <w:widowControl w:val="0"/>
              <w:kinsoku/>
              <w:spacing w:line="360" w:lineRule="auto"/>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3.与《吐哈油田公司勘探与生产业务“十四五”发展规划》的符合性分析</w:t>
            </w:r>
          </w:p>
          <w:p w14:paraId="486F1DFA">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吐哈油田公司勘探与生产业务“十四五”发展规划》中“‘十四五’规划方案”中“规划部署内容”：（一）坚持资源战略，大打勘探发现进攻仗，筑牢高质量发展的根基。始终将勘探作为各项工作“龙头”，打好勘探发现进攻仗，发现并落实2～3个5000万吨级整装规模储量区，确保探明储量替换率石油&gt;1.5、天然气&gt;2.5。加大四新领域风险勘探和甩开预探，进一步解放思想，强化基础研究与整体研究，优选突破方向，落实有利勘探领域及区带6～8个，每年采纳风险井位3-5口，力争实现具有战略意义的重大突破。瞄准吐哈盆地中下侏罗系岩性油气藏、胜北致密气、石钱滩天然气、准东和三塘湖页岩油、阜康断裂带东部等领域和区带，加大集中勘探力度，努力将当前发现的好苗头转化为效益建产的规模储量，力争“十四五”新增探明石油储量1.35亿吨、天然气储量900亿方，为新区上产奠定坚实的资源基础。</w:t>
            </w:r>
          </w:p>
          <w:p w14:paraId="69DDD563">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本项目位于准噶尔盆地吉南油田萨探1块，</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属于《吐哈油田公司勘探与生产业务“十四五”发</w:t>
            </w:r>
            <w:r>
              <w:rPr>
                <w:rFonts w:hint="default" w:ascii="Times New Roman" w:hAnsi="Times New Roman" w:eastAsia="宋体" w:cs="Times New Roman"/>
                <w:color w:val="000000" w:themeColor="text1"/>
                <w:sz w:val="24"/>
                <w:szCs w:val="24"/>
                <w:lang w:eastAsia="zh-CN"/>
                <w14:textFill>
                  <w14:solidFill>
                    <w14:schemeClr w14:val="tx1"/>
                  </w14:solidFill>
                </w14:textFill>
              </w:rPr>
              <w:t>展规划》重点开发区块，符合此规划要求。</w:t>
            </w:r>
          </w:p>
        </w:tc>
      </w:tr>
      <w:tr w14:paraId="260A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59" w:type="dxa"/>
            <w:vAlign w:val="center"/>
          </w:tcPr>
          <w:p w14:paraId="631FA3CC">
            <w:pPr>
              <w:widowControl w:val="0"/>
              <w:kinsoku/>
              <w:spacing w:line="40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其他符合性分析</w:t>
            </w:r>
          </w:p>
        </w:tc>
        <w:tc>
          <w:tcPr>
            <w:tcW w:w="7231" w:type="dxa"/>
            <w:gridSpan w:val="3"/>
            <w:vAlign w:val="center"/>
          </w:tcPr>
          <w:p w14:paraId="4FDBA858">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1.产业政策符合性分析</w:t>
            </w:r>
          </w:p>
          <w:p w14:paraId="38D60CA3">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国家发展和改革委员会发布的《产业结构调整指导目录（2024年本）》，本项目为勘探井项目，属于第一类“鼓励类”中的第七条“石油天然气”中第1项“常规石油、天然气勘探与开采”类项目，为国家鼓励发展的产业。因此，本项目符合国家产业政策。</w:t>
            </w:r>
          </w:p>
          <w:p w14:paraId="06AFACCC">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2.生态环境分区管控符合性分析</w:t>
            </w:r>
          </w:p>
          <w:p w14:paraId="1C84D0F3">
            <w:pPr>
              <w:widowControl w:val="0"/>
              <w:kinsoku/>
              <w:spacing w:line="360" w:lineRule="auto"/>
              <w:ind w:firstLine="482" w:firstLineChars="20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（1）与《新疆维吾尔自治区生态环境分区管控动态更新成果》（新环环评发〔2024〕157号）的符合性分析</w:t>
            </w:r>
          </w:p>
          <w:p w14:paraId="2E50AEA7">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项目与《新疆维吾尔自治区生态环境分区管控动态更新成果》（新环环评发〔2024〕157号）的符合性分析具体见表1-1。</w:t>
            </w:r>
          </w:p>
          <w:p w14:paraId="6849153B">
            <w:pPr>
              <w:widowControl w:val="0"/>
              <w:kinsoku/>
              <w:spacing w:line="4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表1-1 本项目与《新疆维吾尔自治区生态环境分区管控动态更新成果》（新环环评发〔2024〕157号）的符合性分析</w:t>
            </w:r>
          </w:p>
          <w:tbl>
            <w:tblPr>
              <w:tblStyle w:val="17"/>
              <w:tblW w:w="6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426"/>
              <w:gridCol w:w="426"/>
              <w:gridCol w:w="2545"/>
              <w:gridCol w:w="2005"/>
              <w:gridCol w:w="546"/>
            </w:tblGrid>
            <w:tr w14:paraId="151E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72" w:type="dxa"/>
                  <w:vAlign w:val="center"/>
                </w:tcPr>
                <w:p w14:paraId="56C06D19">
                  <w:pPr>
                    <w:pStyle w:val="22"/>
                    <w:widowControl w:val="0"/>
                    <w:kinsoku/>
                    <w:spacing w:before="65" w:line="228"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6"/>
                      <w:sz w:val="21"/>
                      <w:szCs w:val="21"/>
                      <w14:textFill>
                        <w14:solidFill>
                          <w14:schemeClr w14:val="tx1"/>
                        </w14:solidFill>
                      </w14:textFill>
                    </w:rPr>
                    <w:t>文件名称</w:t>
                  </w:r>
                </w:p>
              </w:tc>
              <w:tc>
                <w:tcPr>
                  <w:tcW w:w="3375" w:type="dxa"/>
                  <w:gridSpan w:val="3"/>
                  <w:vAlign w:val="center"/>
                </w:tcPr>
                <w:p w14:paraId="2F262ACE">
                  <w:pPr>
                    <w:pStyle w:val="22"/>
                    <w:widowControl w:val="0"/>
                    <w:kinsoku/>
                    <w:spacing w:before="65" w:line="228"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t>环境管理政策有关要求</w:t>
                  </w:r>
                </w:p>
              </w:tc>
              <w:tc>
                <w:tcPr>
                  <w:tcW w:w="2025" w:type="dxa"/>
                  <w:vAlign w:val="center"/>
                </w:tcPr>
                <w:p w14:paraId="6644E8B1">
                  <w:pPr>
                    <w:pStyle w:val="22"/>
                    <w:widowControl w:val="0"/>
                    <w:kinsoku/>
                    <w:spacing w:before="65" w:line="228" w:lineRule="auto"/>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本项目情况</w:t>
                  </w:r>
                </w:p>
              </w:tc>
              <w:tc>
                <w:tcPr>
                  <w:tcW w:w="547" w:type="dxa"/>
                  <w:vAlign w:val="center"/>
                </w:tcPr>
                <w:p w14:paraId="7C9FAF8E">
                  <w:pPr>
                    <w:pStyle w:val="22"/>
                    <w:widowControl w:val="0"/>
                    <w:kinsoku/>
                    <w:spacing w:before="65" w:line="228" w:lineRule="auto"/>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符合性</w:t>
                  </w:r>
                </w:p>
              </w:tc>
            </w:tr>
            <w:tr w14:paraId="43CA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672" w:type="dxa"/>
                  <w:vMerge w:val="restart"/>
                  <w:vAlign w:val="center"/>
                </w:tcPr>
                <w:p w14:paraId="5A691864">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关于印发《新疆维吾尔自治区生态环境分区管控动态更新成果》的通知</w:t>
                  </w:r>
                </w:p>
              </w:tc>
              <w:tc>
                <w:tcPr>
                  <w:tcW w:w="388" w:type="dxa"/>
                  <w:vMerge w:val="restart"/>
                  <w:vAlign w:val="center"/>
                </w:tcPr>
                <w:p w14:paraId="0CD98840">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自治区总体管控</w:t>
                  </w:r>
                </w:p>
              </w:tc>
              <w:tc>
                <w:tcPr>
                  <w:tcW w:w="408" w:type="dxa"/>
                  <w:vMerge w:val="restart"/>
                  <w:vAlign w:val="center"/>
                </w:tcPr>
                <w:p w14:paraId="104CC383">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空间布局约束</w:t>
                  </w:r>
                </w:p>
                <w:p w14:paraId="6BF53E45">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2579" w:type="dxa"/>
                  <w:vAlign w:val="center"/>
                </w:tcPr>
                <w:p w14:paraId="3A62DA6C">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〔A1.1-1〕禁止新建、扩建《产业结构调整指导目录(2024年本)》中淘汰类项目。禁止引入《市场准入负面清单(2022年版)》禁止准入类事项。</w:t>
                  </w:r>
                </w:p>
              </w:tc>
              <w:tc>
                <w:tcPr>
                  <w:tcW w:w="2025" w:type="dxa"/>
                  <w:vAlign w:val="center"/>
                </w:tcPr>
                <w:p w14:paraId="7D6236B9">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本项目不属于《产业结构调整指导目录（2024年本）》中淘汰类项目，也不属于《市场准入负面清单(2025年版)》，禁止准入类事项。</w:t>
                  </w:r>
                </w:p>
              </w:tc>
              <w:tc>
                <w:tcPr>
                  <w:tcW w:w="547" w:type="dxa"/>
                  <w:vAlign w:val="center"/>
                </w:tcPr>
                <w:p w14:paraId="3BDA6113">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2D6D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vAlign w:val="center"/>
                </w:tcPr>
                <w:p w14:paraId="5C9E0F36">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vAlign w:val="center"/>
                </w:tcPr>
                <w:p w14:paraId="36BA62CF">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08" w:type="dxa"/>
                  <w:vMerge w:val="continue"/>
                  <w:vAlign w:val="center"/>
                </w:tcPr>
                <w:p w14:paraId="276D7106">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2579" w:type="dxa"/>
                  <w:vAlign w:val="center"/>
                </w:tcPr>
                <w:p w14:paraId="2C95B425">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2025" w:type="dxa"/>
                  <w:vAlign w:val="center"/>
                </w:tcPr>
                <w:p w14:paraId="062CB56E">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本项目建设活动符合《新疆维吾尔自治区矿产资源总体规划（2021-2025年）》规划要求，符合生态环境功能区划、国民经济发展规划、产业发展规划、国土空间规划等相关规划及重点生态功能区负面清单要求。</w:t>
                  </w:r>
                </w:p>
              </w:tc>
              <w:tc>
                <w:tcPr>
                  <w:tcW w:w="547" w:type="dxa"/>
                  <w:vAlign w:val="center"/>
                </w:tcPr>
                <w:p w14:paraId="7C38E319">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4F10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672" w:type="dxa"/>
                  <w:vMerge w:val="continue"/>
                  <w:vAlign w:val="center"/>
                </w:tcPr>
                <w:p w14:paraId="4EA66446">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vAlign w:val="center"/>
                </w:tcPr>
                <w:p w14:paraId="6061A9B2">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08" w:type="dxa"/>
                  <w:vMerge w:val="continue"/>
                  <w:vAlign w:val="center"/>
                </w:tcPr>
                <w:p w14:paraId="1DB7EA75">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2579" w:type="dxa"/>
                  <w:vAlign w:val="center"/>
                </w:tcPr>
                <w:p w14:paraId="33AA4759">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2025" w:type="dxa"/>
                  <w:vAlign w:val="center"/>
                </w:tcPr>
                <w:p w14:paraId="267FE7B1">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本项目不占用基本农田和耕地，占用</w:t>
                  </w:r>
                  <w:r>
                    <w:rPr>
                      <w:rFonts w:hint="default" w:ascii="Times New Roman" w:hAnsi="Times New Roman" w:eastAsia="宋体" w:cs="Times New Roman"/>
                      <w:color w:val="000000" w:themeColor="text1"/>
                      <w:lang w:val="en-US" w:eastAsia="zh-CN"/>
                      <w14:textFill>
                        <w14:solidFill>
                          <w14:schemeClr w14:val="tx1"/>
                        </w14:solidFill>
                      </w14:textFill>
                    </w:rPr>
                    <w:t>其他草地</w:t>
                  </w:r>
                  <w:r>
                    <w:rPr>
                      <w:rFonts w:hint="default" w:ascii="Times New Roman" w:hAnsi="Times New Roman" w:eastAsia="宋体" w:cs="Times New Roman"/>
                      <w:color w:val="000000" w:themeColor="text1"/>
                      <w:lang w:eastAsia="zh-CN"/>
                      <w14:textFill>
                        <w14:solidFill>
                          <w14:schemeClr w14:val="tx1"/>
                        </w14:solidFill>
                      </w14:textFill>
                    </w:rPr>
                    <w:t>，环评提出按照国家、自治区相关补偿要求进行补偿。</w:t>
                  </w:r>
                </w:p>
              </w:tc>
              <w:tc>
                <w:tcPr>
                  <w:tcW w:w="547" w:type="dxa"/>
                  <w:vAlign w:val="center"/>
                </w:tcPr>
                <w:p w14:paraId="13E83A49">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0B04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vAlign w:val="center"/>
                </w:tcPr>
                <w:p w14:paraId="4EAA0EBD">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vAlign w:val="center"/>
                </w:tcPr>
                <w:p w14:paraId="6D0455AE">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08" w:type="dxa"/>
                  <w:vMerge w:val="restart"/>
                  <w:vAlign w:val="center"/>
                </w:tcPr>
                <w:p w14:paraId="5A57D910">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污染物排放管理</w:t>
                  </w:r>
                </w:p>
              </w:tc>
              <w:tc>
                <w:tcPr>
                  <w:tcW w:w="2579" w:type="dxa"/>
                  <w:vAlign w:val="center"/>
                </w:tcPr>
                <w:p w14:paraId="772F2788">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〔A2.1-1〕新、改、扩建重点行业建设项目应符合“三线一单”、产业政策、区域环评、规划环评和行业环境准入管控要求。</w:t>
                  </w:r>
                </w:p>
              </w:tc>
              <w:tc>
                <w:tcPr>
                  <w:tcW w:w="2025" w:type="dxa"/>
                  <w:vAlign w:val="center"/>
                </w:tcPr>
                <w:p w14:paraId="670C7BBF">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本项目的建设符合生态环境分区管控要求，符合《产业结构调整指导目录（2024年本）》，符合《新疆维吾尔自治区矿产资源总体规划（2021-2025年）环境影响报告书》及审查意见。</w:t>
                  </w:r>
                </w:p>
              </w:tc>
              <w:tc>
                <w:tcPr>
                  <w:tcW w:w="547" w:type="dxa"/>
                  <w:vAlign w:val="center"/>
                </w:tcPr>
                <w:p w14:paraId="64F44B97">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196B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672" w:type="dxa"/>
                  <w:vMerge w:val="continue"/>
                  <w:vAlign w:val="center"/>
                </w:tcPr>
                <w:p w14:paraId="525430CE">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vAlign w:val="center"/>
                </w:tcPr>
                <w:p w14:paraId="02E13471">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08" w:type="dxa"/>
                  <w:vMerge w:val="continue"/>
                  <w:vAlign w:val="center"/>
                </w:tcPr>
                <w:p w14:paraId="14A59238">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2579" w:type="dxa"/>
                  <w:vAlign w:val="center"/>
                </w:tcPr>
                <w:p w14:paraId="2EE7268B">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〔A2.2-8〕严控土壤重金属污染，加强油(气)田开发土壤污染防治，以历史遗留工业企业污染场地为重点，开展土壤污染风险管控与修复工程。</w:t>
                  </w:r>
                </w:p>
              </w:tc>
              <w:tc>
                <w:tcPr>
                  <w:tcW w:w="2025" w:type="dxa"/>
                  <w:vAlign w:val="center"/>
                </w:tcPr>
                <w:p w14:paraId="74BE75D0">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本项目属于陆地矿产资源地质勘查，落地油100%回收，废防渗材料、废润滑油、废润滑油桶集中收集后暂存于危废贮存点，定期委托有资质的单位处理。固废均得到了合理处置，不会对土壤环境造成严重的污染。</w:t>
                  </w:r>
                </w:p>
              </w:tc>
              <w:tc>
                <w:tcPr>
                  <w:tcW w:w="547" w:type="dxa"/>
                  <w:vAlign w:val="center"/>
                </w:tcPr>
                <w:p w14:paraId="49BAAC2A">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2283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jc w:val="center"/>
              </w:trPr>
              <w:tc>
                <w:tcPr>
                  <w:tcW w:w="672" w:type="dxa"/>
                  <w:vMerge w:val="continue"/>
                  <w:vAlign w:val="center"/>
                </w:tcPr>
                <w:p w14:paraId="52FE7782">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vAlign w:val="center"/>
                </w:tcPr>
                <w:p w14:paraId="073BA3B3">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08" w:type="dxa"/>
                  <w:vAlign w:val="center"/>
                </w:tcPr>
                <w:p w14:paraId="1603CBF8">
                  <w:pPr>
                    <w:widowControl w:val="0"/>
                    <w:kinsoku/>
                    <w:spacing w:line="30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环境风险防控</w:t>
                  </w:r>
                </w:p>
              </w:tc>
              <w:tc>
                <w:tcPr>
                  <w:tcW w:w="2579" w:type="dxa"/>
                  <w:vAlign w:val="center"/>
                </w:tcPr>
                <w:p w14:paraId="2AB49694">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2025" w:type="dxa"/>
                  <w:vAlign w:val="center"/>
                </w:tcPr>
                <w:p w14:paraId="6D01690E">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本环评对项目可能产生的环境风险进行了分析，并提出了相应的风险防范措施和应急措施。</w:t>
                  </w:r>
                </w:p>
              </w:tc>
              <w:tc>
                <w:tcPr>
                  <w:tcW w:w="547" w:type="dxa"/>
                  <w:vAlign w:val="center"/>
                </w:tcPr>
                <w:p w14:paraId="6A282E40">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3109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4" w:hRule="atLeast"/>
                <w:jc w:val="center"/>
              </w:trPr>
              <w:tc>
                <w:tcPr>
                  <w:tcW w:w="672" w:type="dxa"/>
                  <w:vMerge w:val="continue"/>
                  <w:vAlign w:val="center"/>
                </w:tcPr>
                <w:p w14:paraId="21C6723F">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vAlign w:val="center"/>
                </w:tcPr>
                <w:p w14:paraId="5519A18B">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08" w:type="dxa"/>
                  <w:vAlign w:val="center"/>
                </w:tcPr>
                <w:p w14:paraId="53573659">
                  <w:pPr>
                    <w:widowControl w:val="0"/>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资源利用效率</w:t>
                  </w:r>
                </w:p>
              </w:tc>
              <w:tc>
                <w:tcPr>
                  <w:tcW w:w="2579" w:type="dxa"/>
                  <w:vAlign w:val="center"/>
                </w:tcPr>
                <w:p w14:paraId="53CCE0E7">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2025" w:type="dxa"/>
                  <w:vAlign w:val="center"/>
                </w:tcPr>
                <w:p w14:paraId="75DCDF52">
                  <w:pPr>
                    <w:widowControl w:val="0"/>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本项目属于陆地矿产资源地质勘查，含油污泥、沾油废防渗材料、废润滑油、废润滑油桶均为危废。集中收集后暂存于危废贮存点，定期委托有资质的单位处理。落地油100%回收。固废均得到了合理处置。</w:t>
                  </w:r>
                </w:p>
              </w:tc>
              <w:tc>
                <w:tcPr>
                  <w:tcW w:w="547" w:type="dxa"/>
                  <w:vAlign w:val="center"/>
                </w:tcPr>
                <w:p w14:paraId="35705216">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661186BD">
            <w:pPr>
              <w:widowControl w:val="0"/>
              <w:kinsoku/>
              <w:spacing w:line="360" w:lineRule="auto"/>
              <w:ind w:firstLine="482" w:firstLineChars="20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（2）与《关于发布昌吉回族自治州生态环境分区管控动态更新成果的公告》的符合性分析</w:t>
            </w:r>
          </w:p>
          <w:p w14:paraId="496AE43D">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①生态保护红线</w:t>
            </w:r>
          </w:p>
          <w:p w14:paraId="24C2E15D">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用地周围无国家公园、自然保护区、森林公园的生态保育区和核心景观区、地质公园的地质遗迹保护区、世界自然遗产的核心区和缓冲区、湿地公园的湿地保育区和恢复重建区、饮用水水源地一级保护区、水产种质资源保护区的核心区以及其他类型禁止开发区的核心保护区域。项目建设不会占用生态红线保护区。</w:t>
            </w:r>
          </w:p>
          <w:p w14:paraId="634C6129">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②环境质量底线</w:t>
            </w:r>
          </w:p>
          <w:p w14:paraId="04383A77">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本项目为陆地石油勘探项目，无运营期；钻试期产生的污染影响随施工结束而停止，对区域环境质量影响小，不会突破区域环境质量底线。本工程建设不会改变环境功能区，能够严守环境质量底线。</w:t>
            </w:r>
          </w:p>
          <w:p w14:paraId="7C278F2A">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③资源利用上线</w:t>
            </w:r>
          </w:p>
          <w:p w14:paraId="14AC3758">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本工程为陆地矿产资源勘查项目，无运营期。本工程占地包括井场、临时道路及其生活营地等，均为临时占地，项目建设占用土地资源相对区域资源利用较少；符合资源利用上限的要求。</w:t>
            </w:r>
          </w:p>
          <w:p w14:paraId="2DD3F2D4">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④生态环境准入清单</w:t>
            </w:r>
          </w:p>
          <w:p w14:paraId="371769E9">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关于发布昌吉回族自治州生态环境分区管控动态更新成果的公告》，自治州共划定193个环境管控单元，分为优先保护单元94个、重点管控单元92个和一般管控单元7个，实施分类管控。昌吉州生态环境分区管控单元图见附图1。</w:t>
            </w:r>
          </w:p>
          <w:p w14:paraId="1846E0A5">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本项目萨L1501H井、萨L1501H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井钻试场均位于昌吉回族自治州环境管控单元生态环境准入清单动态更新成果（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吉木萨尔县一般管控单元</w:t>
            </w:r>
            <w:r>
              <w:rPr>
                <w:rFonts w:hint="default" w:ascii="Times New Roman" w:hAnsi="Times New Roman" w:eastAsia="宋体" w:cs="Times New Roman"/>
                <w:color w:val="000000" w:themeColor="text1"/>
                <w:sz w:val="24"/>
                <w:szCs w:val="24"/>
                <w:lang w:eastAsia="zh-CN"/>
                <w14:textFill>
                  <w14:solidFill>
                    <w14:schemeClr w14:val="tx1"/>
                  </w14:solidFill>
                </w14:textFill>
              </w:rPr>
              <w:t>ZH6523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273</w:t>
            </w:r>
            <w:r>
              <w:rPr>
                <w:rFonts w:hint="default" w:ascii="Times New Roman" w:hAnsi="Times New Roman" w:eastAsia="宋体" w:cs="Times New Roman"/>
                <w:color w:val="000000" w:themeColor="text1"/>
                <w:sz w:val="24"/>
                <w:szCs w:val="24"/>
                <w:lang w:eastAsia="zh-CN"/>
                <w14:textFill>
                  <w14:solidFill>
                    <w14:schemeClr w14:val="tx1"/>
                  </w14:solidFill>
                </w14:textFill>
              </w:rPr>
              <w:t>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），其具体分析见表1-2。</w:t>
            </w:r>
          </w:p>
          <w:p w14:paraId="7224DAFA">
            <w:pPr>
              <w:widowControl w:val="0"/>
              <w:kinsoku/>
              <w:spacing w:line="4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表1-2 项目与《昌吉回族自治州生态环境分区管控方案》符合性分析一览表</w:t>
            </w:r>
          </w:p>
          <w:tbl>
            <w:tblPr>
              <w:tblStyle w:val="17"/>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483"/>
              <w:gridCol w:w="2121"/>
              <w:gridCol w:w="2197"/>
              <w:gridCol w:w="441"/>
            </w:tblGrid>
            <w:tr w14:paraId="1DC5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243" w:type="pct"/>
                  <w:vAlign w:val="center"/>
                </w:tcPr>
                <w:p w14:paraId="0AF19C23">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管控单元名称</w:t>
                  </w:r>
                </w:p>
              </w:tc>
              <w:tc>
                <w:tcPr>
                  <w:tcW w:w="346" w:type="pct"/>
                  <w:vAlign w:val="center"/>
                </w:tcPr>
                <w:p w14:paraId="71FFB32B">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环境管控</w:t>
                  </w:r>
                </w:p>
              </w:tc>
              <w:tc>
                <w:tcPr>
                  <w:tcW w:w="1519" w:type="pct"/>
                  <w:vAlign w:val="center"/>
                </w:tcPr>
                <w:p w14:paraId="79896B42">
                  <w:pPr>
                    <w:widowControl w:val="0"/>
                    <w:kinsoku/>
                    <w:spacing w:line="30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管控要求</w:t>
                  </w:r>
                </w:p>
              </w:tc>
              <w:tc>
                <w:tcPr>
                  <w:tcW w:w="1574" w:type="pct"/>
                  <w:vAlign w:val="center"/>
                </w:tcPr>
                <w:p w14:paraId="27E4BFE2">
                  <w:pPr>
                    <w:widowControl w:val="0"/>
                    <w:kinsoku/>
                    <w:spacing w:line="30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项目情况</w:t>
                  </w:r>
                </w:p>
              </w:tc>
              <w:tc>
                <w:tcPr>
                  <w:tcW w:w="316" w:type="pct"/>
                  <w:vAlign w:val="center"/>
                </w:tcPr>
                <w:p w14:paraId="0DA21327">
                  <w:pPr>
                    <w:widowControl w:val="0"/>
                    <w:kinsoku/>
                    <w:spacing w:line="30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相符性</w:t>
                  </w:r>
                </w:p>
              </w:tc>
            </w:tr>
            <w:tr w14:paraId="11AE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243" w:type="pct"/>
                  <w:vMerge w:val="restart"/>
                  <w:vAlign w:val="center"/>
                </w:tcPr>
                <w:p w14:paraId="3A339C78">
                  <w:pPr>
                    <w:widowControl w:val="0"/>
                    <w:kinsoku/>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吉木萨尔县一般管控单元</w:t>
                  </w:r>
                  <w:r>
                    <w:rPr>
                      <w:rFonts w:hint="default" w:ascii="Times New Roman" w:hAnsi="Times New Roman" w:eastAsia="宋体" w:cs="Times New Roman"/>
                      <w:color w:val="000000" w:themeColor="text1"/>
                      <w:sz w:val="21"/>
                      <w:szCs w:val="21"/>
                      <w:lang w:eastAsia="zh-CN"/>
                      <w14:textFill>
                        <w14:solidFill>
                          <w14:schemeClr w14:val="tx1"/>
                        </w14:solidFill>
                      </w14:textFill>
                    </w:rPr>
                    <w:t>ZH6523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273</w:t>
                  </w:r>
                  <w:r>
                    <w:rPr>
                      <w:rFonts w:hint="default" w:ascii="Times New Roman" w:hAnsi="Times New Roman" w:eastAsia="宋体" w:cs="Times New Roman"/>
                      <w:color w:val="000000" w:themeColor="text1"/>
                      <w:sz w:val="21"/>
                      <w:szCs w:val="21"/>
                      <w:lang w:eastAsia="zh-CN"/>
                      <w14:textFill>
                        <w14:solidFill>
                          <w14:schemeClr w14:val="tx1"/>
                        </w14:solidFill>
                      </w14:textFill>
                    </w:rPr>
                    <w:t>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46" w:type="pct"/>
                  <w:vAlign w:val="center"/>
                </w:tcPr>
                <w:p w14:paraId="69067538">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bidi="ar-SA"/>
                      <w14:textFill>
                        <w14:solidFill>
                          <w14:schemeClr w14:val="tx1"/>
                        </w14:solidFill>
                      </w14:textFill>
                    </w:rPr>
                    <w:t>空间布局约束</w:t>
                  </w:r>
                </w:p>
              </w:tc>
              <w:tc>
                <w:tcPr>
                  <w:tcW w:w="1519" w:type="pct"/>
                  <w:vAlign w:val="center"/>
                </w:tcPr>
                <w:p w14:paraId="37CBC614">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bidi="ar-SA"/>
                      <w14:textFill>
                        <w14:solidFill>
                          <w14:schemeClr w14:val="tx1"/>
                        </w14:solidFill>
                      </w14:textFill>
                    </w:rPr>
                    <w:t>建立集镇居住商业区、耕地保护区与工业功能区等集聚区块之间的防护带，严格执行</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畜禽</w:t>
                  </w:r>
                  <w:r>
                    <w:rPr>
                      <w:rFonts w:hint="default" w:ascii="Times New Roman" w:hAnsi="Times New Roman" w:eastAsia="宋体" w:cs="Times New Roman"/>
                      <w:color w:val="000000" w:themeColor="text1"/>
                      <w:sz w:val="21"/>
                      <w:szCs w:val="21"/>
                      <w:lang w:val="en-US" w:bidi="ar-SA"/>
                      <w14:textFill>
                        <w14:solidFill>
                          <w14:schemeClr w14:val="tx1"/>
                        </w14:solidFill>
                      </w14:textFill>
                    </w:rPr>
                    <w:t>养殖禁养区规定，根据区域用地和消纳水平，合理确定养殖规模，加强基本农田保护，严格限制非农项目占用耕地。</w:t>
                  </w:r>
                </w:p>
              </w:tc>
              <w:tc>
                <w:tcPr>
                  <w:tcW w:w="1574" w:type="pct"/>
                  <w:vAlign w:val="bottom"/>
                </w:tcPr>
                <w:p w14:paraId="1F7AB3DA">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本项目属于陆地矿产资源地质勘查（含油气资源勘探）项目，不属于畜禽养殖类项目。项目临时占地面积18020m²，占地类型为其他草地和农村道路，不占用永久基本农田和耕地，选址符合区域空间布局约束及功能区划要求。</w:t>
                  </w:r>
                </w:p>
              </w:tc>
              <w:tc>
                <w:tcPr>
                  <w:tcW w:w="316" w:type="pct"/>
                  <w:vAlign w:val="center"/>
                </w:tcPr>
                <w:p w14:paraId="415269B8">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符合</w:t>
                  </w:r>
                </w:p>
              </w:tc>
            </w:tr>
            <w:tr w14:paraId="60F9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243" w:type="pct"/>
                  <w:vMerge w:val="continue"/>
                  <w:vAlign w:val="center"/>
                </w:tcPr>
                <w:p w14:paraId="6EC4B304">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46" w:type="pct"/>
                  <w:vAlign w:val="center"/>
                </w:tcPr>
                <w:p w14:paraId="0B1482EA">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bidi="ar-SA"/>
                      <w14:textFill>
                        <w14:solidFill>
                          <w14:schemeClr w14:val="tx1"/>
                        </w14:solidFill>
                      </w14:textFill>
                    </w:rPr>
                    <w:t>污染物排放管控</w:t>
                  </w:r>
                </w:p>
              </w:tc>
              <w:tc>
                <w:tcPr>
                  <w:tcW w:w="1519" w:type="pct"/>
                  <w:vAlign w:val="center"/>
                </w:tcPr>
                <w:p w14:paraId="2CEEF232">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lang w:val="en-US" w:bidi="ar-SA"/>
                      <w14:textFill>
                        <w14:solidFill>
                          <w14:schemeClr w14:val="tx1"/>
                        </w14:solidFill>
                      </w14:textFill>
                    </w:rPr>
                    <w:t>加强农业面源污染治理，科学合理使用化肥</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农药</w:t>
                  </w:r>
                  <w:r>
                    <w:rPr>
                      <w:rFonts w:hint="default" w:ascii="Times New Roman" w:hAnsi="Times New Roman" w:eastAsia="宋体" w:cs="Times New Roman"/>
                      <w:color w:val="000000" w:themeColor="text1"/>
                      <w:sz w:val="21"/>
                      <w:szCs w:val="21"/>
                      <w:lang w:val="en-US" w:bidi="ar-SA"/>
                      <w14:textFill>
                        <w14:solidFill>
                          <w14:schemeClr w14:val="tx1"/>
                        </w14:solidFill>
                      </w14:textFill>
                    </w:rPr>
                    <w:t>，逐步削减农业面源污染物排放量。2、到2025年，主要污染物排放总量持续下降，单位地区生产总值二氧化碳排放完成国家下达指标。3、城镇生活污水处理率达到97%以上、城镇生活垃圾无害化处理率保持在98%以上农村生活污水治理率达到30%左右，土壤污染风险得到有效管控，固体废物和新污染物治理能力明显增强。4、施工地全面落实“六个百分之百”(施工工地周边围挡、物料堆放覆盖、出入车辆冲洗、施工现场地面硬化、拆迁工地湿法作业、</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渣土</w:t>
                  </w:r>
                  <w:r>
                    <w:rPr>
                      <w:rFonts w:hint="default" w:ascii="Times New Roman" w:hAnsi="Times New Roman" w:eastAsia="宋体" w:cs="Times New Roman"/>
                      <w:color w:val="000000" w:themeColor="text1"/>
                      <w:sz w:val="21"/>
                      <w:szCs w:val="21"/>
                      <w:lang w:val="en-US" w:bidi="ar-SA"/>
                      <w14:textFill>
                        <w14:solidFill>
                          <w14:schemeClr w14:val="tx1"/>
                        </w14:solidFill>
                      </w14:textFill>
                    </w:rPr>
                    <w:t>车辆密闭运输)</w:t>
                  </w:r>
                </w:p>
              </w:tc>
              <w:tc>
                <w:tcPr>
                  <w:tcW w:w="1574" w:type="pct"/>
                  <w:vAlign w:val="bottom"/>
                </w:tcPr>
                <w:p w14:paraId="65CE41ED">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 本项目不涉及农业生产，不产生农业面源污染。2. 施工期间严格落实“六个百分之百”扬尘防控措施（如洒水抑尘、物料遮盖等）。3. 生活污水排入防渗收集池，定期拉运至吉木萨尔县污水处理厂处理，不外排；钻井废水循环利用。4. 固体废物分类收集，钻井岩屑和泥浆采用“不落地”工艺处理，危险废物委托有资质单位处置，生活垃圾定期清运至吉木萨尔县垃圾场填埋，土壤污染风险可控。</w:t>
                  </w:r>
                </w:p>
              </w:tc>
              <w:tc>
                <w:tcPr>
                  <w:tcW w:w="316" w:type="pct"/>
                  <w:vAlign w:val="center"/>
                </w:tcPr>
                <w:p w14:paraId="34C4122A">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符合</w:t>
                  </w:r>
                </w:p>
              </w:tc>
            </w:tr>
            <w:tr w14:paraId="756F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3" w:hRule="atLeast"/>
                <w:jc w:val="center"/>
              </w:trPr>
              <w:tc>
                <w:tcPr>
                  <w:tcW w:w="1243" w:type="pct"/>
                  <w:vMerge w:val="continue"/>
                  <w:vAlign w:val="center"/>
                </w:tcPr>
                <w:p w14:paraId="664BFD6A">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46" w:type="pct"/>
                  <w:vAlign w:val="center"/>
                </w:tcPr>
                <w:p w14:paraId="0C45C126">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bidi="ar-SA"/>
                      <w14:textFill>
                        <w14:solidFill>
                          <w14:schemeClr w14:val="tx1"/>
                        </w14:solidFill>
                      </w14:textFill>
                    </w:rPr>
                    <w:t>环境风险防控</w:t>
                  </w:r>
                </w:p>
              </w:tc>
              <w:tc>
                <w:tcPr>
                  <w:tcW w:w="1519" w:type="pct"/>
                  <w:vAlign w:val="center"/>
                </w:tcPr>
                <w:p w14:paraId="6B0F8906">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lang w:val="en-US" w:bidi="ar-SA"/>
                      <w14:textFill>
                        <w14:solidFill>
                          <w14:schemeClr w14:val="tx1"/>
                        </w14:solidFill>
                      </w14:textFill>
                    </w:rPr>
                    <w:t>加强生态公益林保护与建设，防止</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水土流失</w:t>
                  </w:r>
                  <w:r>
                    <w:rPr>
                      <w:rFonts w:hint="default" w:ascii="Times New Roman" w:hAnsi="Times New Roman" w:eastAsia="宋体" w:cs="Times New Roman"/>
                      <w:color w:val="000000" w:themeColor="text1"/>
                      <w:sz w:val="21"/>
                      <w:szCs w:val="21"/>
                      <w:lang w:val="en-US" w:bidi="ar-SA"/>
                      <w14:textFill>
                        <w14:solidFill>
                          <w14:schemeClr w14:val="tx1"/>
                        </w14:solidFill>
                      </w14:textFill>
                    </w:rPr>
                    <w:t>。禁止</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向</w:t>
                  </w:r>
                  <w:r>
                    <w:rPr>
                      <w:rFonts w:hint="default" w:ascii="Times New Roman" w:hAnsi="Times New Roman" w:eastAsia="宋体" w:cs="Times New Roman"/>
                      <w:color w:val="000000" w:themeColor="text1"/>
                      <w:sz w:val="21"/>
                      <w:szCs w:val="21"/>
                      <w:lang w:val="en-US" w:bidi="ar-SA"/>
                      <w14:textFill>
                        <w14:solidFill>
                          <w14:schemeClr w14:val="tx1"/>
                        </w14:solidFill>
                      </w14:textFill>
                    </w:rPr>
                    <w:t>农用地排放重金属或者</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其他</w:t>
                  </w:r>
                  <w:r>
                    <w:rPr>
                      <w:rFonts w:hint="default" w:ascii="Times New Roman" w:hAnsi="Times New Roman" w:eastAsia="宋体" w:cs="Times New Roman"/>
                      <w:color w:val="000000" w:themeColor="text1"/>
                      <w:sz w:val="21"/>
                      <w:szCs w:val="21"/>
                      <w:lang w:val="en-US" w:bidi="ar-SA"/>
                      <w14:textFill>
                        <w14:solidFill>
                          <w14:schemeClr w14:val="tx1"/>
                        </w14:solidFill>
                      </w14:textFill>
                    </w:rPr>
                    <w:t>有毒有害物质含量超标的污水、污泥，以及可能造成</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土壤污染</w:t>
                  </w:r>
                  <w:r>
                    <w:rPr>
                      <w:rFonts w:hint="default" w:ascii="Times New Roman" w:hAnsi="Times New Roman" w:eastAsia="宋体" w:cs="Times New Roman"/>
                      <w:color w:val="000000" w:themeColor="text1"/>
                      <w:sz w:val="21"/>
                      <w:szCs w:val="21"/>
                      <w:lang w:val="en-US" w:bidi="ar-SA"/>
                      <w14:textFill>
                        <w14:solidFill>
                          <w14:schemeClr w14:val="tx1"/>
                        </w14:solidFill>
                      </w14:textFill>
                    </w:rPr>
                    <w:t>的尾矿、矿渣等。加强农田土壤、灌溉水的监测及评价，对周边或区域环境风险源进行评估。2、统筹农村河湖管控与生态治理保护深入开展河湖监督检查，强化河长湖长履职尽责，严厉打击河道乱占、乱采、乱堆、乱建等违法违规行为。建立健全促进水质改善的长效运行维护机制。</w:t>
                  </w:r>
                </w:p>
              </w:tc>
              <w:tc>
                <w:tcPr>
                  <w:tcW w:w="1574" w:type="pct"/>
                  <w:vAlign w:val="bottom"/>
                </w:tcPr>
                <w:p w14:paraId="4E088A30">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 项目采取了严格的分区防渗措施（重点区域铺设防渗膜），防止污染物渗漏，严禁向周边农用地排放废水、废渣。2. 项目不占用河道，不涉及乱占乱建行为。3. 建设单位已制定突发环境事件应急预案，配备了井控装置及应急物资，对井喷、泄漏等环境风险源进行了有效评估与管控。4. 完井后将及时对临时占地进行平整和生态恢复，防止水土流失。</w:t>
                  </w:r>
                </w:p>
              </w:tc>
              <w:tc>
                <w:tcPr>
                  <w:tcW w:w="316" w:type="pct"/>
                  <w:vAlign w:val="center"/>
                </w:tcPr>
                <w:p w14:paraId="38AA3991">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符合</w:t>
                  </w:r>
                </w:p>
              </w:tc>
            </w:tr>
            <w:tr w14:paraId="230A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9" w:hRule="atLeast"/>
                <w:jc w:val="center"/>
              </w:trPr>
              <w:tc>
                <w:tcPr>
                  <w:tcW w:w="1243" w:type="pct"/>
                  <w:vMerge w:val="continue"/>
                  <w:vAlign w:val="center"/>
                </w:tcPr>
                <w:p w14:paraId="46F45AB0">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46" w:type="pct"/>
                  <w:vAlign w:val="center"/>
                </w:tcPr>
                <w:p w14:paraId="2747F751">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bidi="ar-SA"/>
                      <w14:textFill>
                        <w14:solidFill>
                          <w14:schemeClr w14:val="tx1"/>
                        </w14:solidFill>
                      </w14:textFill>
                    </w:rPr>
                    <w:t>资源开发效率要求</w:t>
                  </w:r>
                </w:p>
              </w:tc>
              <w:tc>
                <w:tcPr>
                  <w:tcW w:w="1519" w:type="pct"/>
                  <w:vAlign w:val="center"/>
                </w:tcPr>
                <w:p w14:paraId="0EE7AF0D">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lang w:val="en-US" w:bidi="ar-SA"/>
                      <w14:textFill>
                        <w14:solidFill>
                          <w14:schemeClr w14:val="tx1"/>
                        </w14:solidFill>
                      </w14:textFill>
                    </w:rPr>
                    <w:t>实行水资源消耗总量和强度双控，推进农业节水，提高农业用水效率。优化能源结构，加强能源清洁利用。2、实施节水行动，强化农业节水增效、工业节水减排、城镇节水降损。推进污水资源化利用，到2025年全区城镇生活污水再生利用率力争达到60%。3、壮大清洁能源产业，加快非化石能源发展，实施绿电替代，优化用能结构，到2025年非化石能源消费比重提高到18%左右。推进大型清洁能源基地建设，积极开发分布式太阳能发电和分散式风电。积极推动储能产业进步，推进抽水蓄能电站建设，加快新型储能技术和模式示范推广应用。持续完善750千伏骨干电网及农村电网建设，积极发展可再生能源微电网、局域网，提高可再生能源的推广和消纳能力。4、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土壤环境</w:t>
                  </w:r>
                  <w:r>
                    <w:rPr>
                      <w:rFonts w:hint="default" w:ascii="Times New Roman" w:hAnsi="Times New Roman" w:eastAsia="宋体" w:cs="Times New Roman"/>
                      <w:color w:val="000000" w:themeColor="text1"/>
                      <w:sz w:val="21"/>
                      <w:szCs w:val="21"/>
                      <w:lang w:val="en-US" w:bidi="ar-SA"/>
                      <w14:textFill>
                        <w14:solidFill>
                          <w14:schemeClr w14:val="tx1"/>
                        </w14:solidFill>
                      </w14:textFill>
                    </w:rPr>
                    <w:t>质量类别。</w:t>
                  </w:r>
                </w:p>
              </w:tc>
              <w:tc>
                <w:tcPr>
                  <w:tcW w:w="1574" w:type="pct"/>
                  <w:vAlign w:val="bottom"/>
                </w:tcPr>
                <w:p w14:paraId="69334A48">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jc w:val="both"/>
                    <w:textAlignment w:val="baseline"/>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 项目施工用水采用罐车拉运，钻井液循环利用，并在生活区采取节水措施，提高水资源利用效率。2. 施工机械和发电机使用符合国家标准的燃油，优化能源利用结构。3. 项目不占用优先保护类农用地，通过实施“泥浆不落地”和防渗措施，从源头控制污染，确保周边土壤环境质量不下降。</w:t>
                  </w:r>
                </w:p>
              </w:tc>
              <w:tc>
                <w:tcPr>
                  <w:tcW w:w="316" w:type="pct"/>
                  <w:vAlign w:val="center"/>
                </w:tcPr>
                <w:p w14:paraId="6FB58DB6">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符合</w:t>
                  </w:r>
                </w:p>
              </w:tc>
            </w:tr>
          </w:tbl>
          <w:p w14:paraId="61DD9FE6">
            <w:pPr>
              <w:widowControl/>
              <w:kinsoku/>
              <w:spacing w:line="360" w:lineRule="auto"/>
              <w:ind w:firstLine="480" w:firstLineChars="200"/>
              <w:jc w:val="both"/>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综上，本项目建设符合生态环境分区管控要求。</w:t>
            </w:r>
          </w:p>
          <w:p w14:paraId="0E4C3657">
            <w:pPr>
              <w:pStyle w:val="22"/>
              <w:widowControl w:val="0"/>
              <w:numPr>
                <w:ilvl w:val="0"/>
                <w:numId w:val="3"/>
              </w:numPr>
              <w:kinsoku/>
              <w:spacing w:before="42" w:line="360" w:lineRule="auto"/>
              <w:jc w:val="both"/>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与《石油天然气开采业污染防治技术政策》的符合性</w:t>
            </w:r>
          </w:p>
          <w:p w14:paraId="1CCD5DC8">
            <w:pPr>
              <w:pStyle w:val="22"/>
              <w:widowControl w:val="0"/>
              <w:kinsoku/>
              <w:spacing w:line="360" w:lineRule="auto"/>
              <w:ind w:firstLine="480" w:firstLineChars="200"/>
              <w:jc w:val="both"/>
              <w:rPr>
                <w:rFonts w:hint="default" w:ascii="Times New Roman" w:hAnsi="Times New Roman" w:eastAsia="宋体" w:cs="Times New Roman"/>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项目与《石油天然气开采业污染防治技术政策》的符合性分析见表1-3。</w:t>
            </w:r>
          </w:p>
          <w:p w14:paraId="0D9381A6">
            <w:pPr>
              <w:widowControl w:val="0"/>
              <w:kinsoku/>
              <w:spacing w:line="4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表1-3 项目与《石油天然气开采业污染防治技术政策》</w:t>
            </w:r>
          </w:p>
          <w:p w14:paraId="6EE1756C">
            <w:pPr>
              <w:widowControl w:val="0"/>
              <w:kinsoku/>
              <w:spacing w:line="4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符合性分析一览表</w:t>
            </w:r>
          </w:p>
          <w:tbl>
            <w:tblPr>
              <w:tblStyle w:val="21"/>
              <w:tblW w:w="67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61"/>
              <w:gridCol w:w="2809"/>
              <w:gridCol w:w="628"/>
            </w:tblGrid>
            <w:tr w14:paraId="32B60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3361" w:type="dxa"/>
                  <w:vAlign w:val="center"/>
                </w:tcPr>
                <w:p w14:paraId="5A62B24F">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《石油天然气开采业污染防治技术政策》</w:t>
                  </w:r>
                </w:p>
              </w:tc>
              <w:tc>
                <w:tcPr>
                  <w:tcW w:w="2809" w:type="dxa"/>
                  <w:vAlign w:val="center"/>
                </w:tcPr>
                <w:p w14:paraId="175F6721">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本项目</w:t>
                  </w:r>
                </w:p>
              </w:tc>
              <w:tc>
                <w:tcPr>
                  <w:tcW w:w="628" w:type="dxa"/>
                  <w:vAlign w:val="center"/>
                </w:tcPr>
                <w:p w14:paraId="42041C14">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符合性</w:t>
                  </w:r>
                </w:p>
              </w:tc>
            </w:tr>
            <w:tr w14:paraId="35031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8" w:hRule="atLeast"/>
                <w:jc w:val="center"/>
              </w:trPr>
              <w:tc>
                <w:tcPr>
                  <w:tcW w:w="3361" w:type="dxa"/>
                  <w:vAlign w:val="center"/>
                </w:tcPr>
                <w:p w14:paraId="0B98725D">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809" w:type="dxa"/>
                  <w:vAlign w:val="center"/>
                </w:tcPr>
                <w:p w14:paraId="7268155A">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本项目试油期井下作业废水</w:t>
                  </w:r>
                  <w:r>
                    <w:rPr>
                      <w:rFonts w:hint="default" w:ascii="Times New Roman" w:hAnsi="Times New Roman" w:eastAsia="宋体" w:cs="Times New Roman"/>
                      <w:color w:val="000000" w:themeColor="text1"/>
                      <w:highlight w:val="none"/>
                      <w:lang w:eastAsia="zh-CN"/>
                      <w14:textFill>
                        <w14:solidFill>
                          <w14:schemeClr w14:val="tx1"/>
                        </w14:solidFill>
                      </w14:textFill>
                    </w:rPr>
                    <w:t>拉运到</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吉康</w:t>
                  </w:r>
                  <w:r>
                    <w:rPr>
                      <w:rFonts w:hint="default" w:ascii="Times New Roman" w:hAnsi="Times New Roman" w:eastAsia="宋体" w:cs="Times New Roman"/>
                      <w:color w:val="000000" w:themeColor="text1"/>
                      <w:highlight w:val="none"/>
                      <w:lang w:eastAsia="zh-CN"/>
                      <w14:textFill>
                        <w14:solidFill>
                          <w14:schemeClr w14:val="tx1"/>
                        </w14:solidFill>
                      </w14:textFill>
                    </w:rPr>
                    <w:t>脱水站并</w:t>
                  </w:r>
                  <w:r>
                    <w:rPr>
                      <w:rFonts w:hint="default" w:ascii="Times New Roman" w:hAnsi="Times New Roman" w:eastAsia="宋体" w:cs="Times New Roman"/>
                      <w:color w:val="000000" w:themeColor="text1"/>
                      <w:lang w:eastAsia="zh-CN"/>
                      <w14:textFill>
                        <w14:solidFill>
                          <w14:schemeClr w14:val="tx1"/>
                        </w14:solidFill>
                      </w14:textFill>
                    </w:rPr>
                    <w:t>处理达标后，全部回注油藏，工业废水回用率大于90%；本环评对项目可能产生的环境风险进行了分析，并提出了相应的风险防范措施和应急预案。</w:t>
                  </w:r>
                </w:p>
              </w:tc>
              <w:tc>
                <w:tcPr>
                  <w:tcW w:w="628" w:type="dxa"/>
                  <w:vAlign w:val="center"/>
                </w:tcPr>
                <w:p w14:paraId="1E08070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24948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jc w:val="center"/>
              </w:trPr>
              <w:tc>
                <w:tcPr>
                  <w:tcW w:w="3361" w:type="dxa"/>
                  <w:vAlign w:val="center"/>
                </w:tcPr>
                <w:p w14:paraId="53026B8C">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油气田开发不得使用含有国际公约禁用化学物质的油气田化学剂，逐步淘汰微毒及以上油气田化学剂，鼓励使用无毒油气田化学剂。</w:t>
                  </w:r>
                </w:p>
              </w:tc>
              <w:tc>
                <w:tcPr>
                  <w:tcW w:w="2809" w:type="dxa"/>
                  <w:vAlign w:val="center"/>
                </w:tcPr>
                <w:p w14:paraId="1EE4C70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本项目不涉及禁用的化学物质。</w:t>
                  </w:r>
                </w:p>
              </w:tc>
              <w:tc>
                <w:tcPr>
                  <w:tcW w:w="628" w:type="dxa"/>
                  <w:vAlign w:val="center"/>
                </w:tcPr>
                <w:p w14:paraId="49B44A5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0D15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jc w:val="center"/>
              </w:trPr>
              <w:tc>
                <w:tcPr>
                  <w:tcW w:w="3361" w:type="dxa"/>
                  <w:vAlign w:val="center"/>
                </w:tcPr>
                <w:p w14:paraId="707A6A6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落地原油。其中井下作业过程中应配备泄油器、刮油器等。落地原油应及时回收，落地原油回收率应达到100%。</w:t>
                  </w:r>
                </w:p>
              </w:tc>
              <w:tc>
                <w:tcPr>
                  <w:tcW w:w="2809" w:type="dxa"/>
                  <w:vAlign w:val="center"/>
                </w:tcPr>
                <w:p w14:paraId="2351160A">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井下作业时带罐，井口敷设防渗膜，防止产生落地油。产生的落地油，及时回收，做到100%回收。</w:t>
                  </w:r>
                </w:p>
              </w:tc>
              <w:tc>
                <w:tcPr>
                  <w:tcW w:w="628" w:type="dxa"/>
                  <w:vAlign w:val="center"/>
                </w:tcPr>
                <w:p w14:paraId="78C733A7">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1071D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3361" w:type="dxa"/>
                  <w:vAlign w:val="center"/>
                </w:tcPr>
                <w:p w14:paraId="0EB9D825">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在钻井过程中，鼓励采用环境友好的钻井液体系。</w:t>
                  </w:r>
                </w:p>
              </w:tc>
              <w:tc>
                <w:tcPr>
                  <w:tcW w:w="2809" w:type="dxa"/>
                  <w:vAlign w:val="center"/>
                </w:tcPr>
                <w:p w14:paraId="0AA5B80B">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本项目使用的钻井液为环境友好钻井液体系，</w:t>
                  </w:r>
                  <w:r>
                    <w:rPr>
                      <w:rFonts w:hint="default" w:ascii="Times New Roman" w:hAnsi="Times New Roman" w:eastAsia="宋体" w:cs="Times New Roman"/>
                      <w:color w:val="000000" w:themeColor="text1"/>
                      <w:lang w:val="en-US" w:eastAsia="zh-CN"/>
                      <w14:textFill>
                        <w14:solidFill>
                          <w14:schemeClr w14:val="tx1"/>
                        </w14:solidFill>
                      </w14:textFill>
                    </w:rPr>
                    <w:t>钻井泥浆外运处置</w:t>
                  </w:r>
                  <w:r>
                    <w:rPr>
                      <w:rFonts w:hint="default" w:ascii="Times New Roman" w:hAnsi="Times New Roman" w:eastAsia="宋体" w:cs="Times New Roman"/>
                      <w:color w:val="000000" w:themeColor="text1"/>
                      <w:lang w:eastAsia="zh-CN"/>
                      <w14:textFill>
                        <w14:solidFill>
                          <w14:schemeClr w14:val="tx1"/>
                        </w14:solidFill>
                      </w14:textFill>
                    </w:rPr>
                    <w:t>。</w:t>
                  </w:r>
                </w:p>
              </w:tc>
              <w:tc>
                <w:tcPr>
                  <w:tcW w:w="628" w:type="dxa"/>
                  <w:vAlign w:val="center"/>
                </w:tcPr>
                <w:p w14:paraId="1292451B">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5CF4D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jc w:val="center"/>
              </w:trPr>
              <w:tc>
                <w:tcPr>
                  <w:tcW w:w="3361" w:type="dxa"/>
                  <w:vAlign w:val="center"/>
                </w:tcPr>
                <w:p w14:paraId="7B7B193A">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在井下作业过程中，酸化液和压裂液宜集中配制，酸化残液、压裂残液和返排液应回收利用或进行无害化处置，压裂放喷返排入罐率应达到100%。</w:t>
                  </w:r>
                </w:p>
              </w:tc>
              <w:tc>
                <w:tcPr>
                  <w:tcW w:w="2809" w:type="dxa"/>
                  <w:vAlign w:val="center"/>
                </w:tcPr>
                <w:p w14:paraId="3C83D017">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本项目井下作业过程中，严格按照环境保护规定的要求，带罐作业，100%回收。井下作业废水不外排，作业单位自带回收罐回收作业废水，运至</w:t>
                  </w:r>
                  <w:r>
                    <w:rPr>
                      <w:rFonts w:hint="default" w:ascii="Times New Roman" w:hAnsi="Times New Roman" w:eastAsia="宋体" w:cs="Times New Roman"/>
                      <w:color w:val="000000" w:themeColor="text1"/>
                      <w:lang w:val="en-US" w:eastAsia="zh-CN"/>
                      <w14:textFill>
                        <w14:solidFill>
                          <w14:schemeClr w14:val="tx1"/>
                        </w14:solidFill>
                      </w14:textFill>
                    </w:rPr>
                    <w:t>吉康</w:t>
                  </w:r>
                  <w:r>
                    <w:rPr>
                      <w:rFonts w:hint="default" w:ascii="Times New Roman" w:hAnsi="Times New Roman" w:eastAsia="宋体" w:cs="Times New Roman"/>
                      <w:color w:val="000000" w:themeColor="text1"/>
                      <w:lang w:eastAsia="zh-CN"/>
                      <w14:textFill>
                        <w14:solidFill>
                          <w14:schemeClr w14:val="tx1"/>
                        </w14:solidFill>
                      </w14:textFill>
                    </w:rPr>
                    <w:t>脱水站处理达标后回注。</w:t>
                  </w:r>
                </w:p>
              </w:tc>
              <w:tc>
                <w:tcPr>
                  <w:tcW w:w="628" w:type="dxa"/>
                  <w:vAlign w:val="center"/>
                </w:tcPr>
                <w:p w14:paraId="27D2CC5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7C931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3361" w:type="dxa"/>
                  <w:vAlign w:val="center"/>
                </w:tcPr>
                <w:p w14:paraId="37F2A950">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在钻井和井下作业过程中，鼓励污油、污水进入生产流程循环利用。</w:t>
                  </w:r>
                </w:p>
              </w:tc>
              <w:tc>
                <w:tcPr>
                  <w:tcW w:w="2809" w:type="dxa"/>
                  <w:vAlign w:val="center"/>
                </w:tcPr>
                <w:p w14:paraId="73562D96">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本项目井下</w:t>
                  </w:r>
                  <w:r>
                    <w:rPr>
                      <w:rFonts w:hint="default" w:ascii="Times New Roman" w:hAnsi="Times New Roman" w:eastAsia="宋体" w:cs="Times New Roman"/>
                      <w:color w:val="000000" w:themeColor="text1"/>
                      <w:highlight w:val="none"/>
                      <w:lang w:eastAsia="zh-CN"/>
                      <w14:textFill>
                        <w14:solidFill>
                          <w14:schemeClr w14:val="tx1"/>
                        </w14:solidFill>
                      </w14:textFill>
                    </w:rPr>
                    <w:t>作业废水拉运</w:t>
                  </w:r>
                  <w:r>
                    <w:rPr>
                      <w:rFonts w:hint="default" w:ascii="Times New Roman" w:hAnsi="Times New Roman" w:eastAsia="宋体" w:cs="Times New Roman"/>
                      <w:color w:val="000000" w:themeColor="text1"/>
                      <w:highlight w:val="none"/>
                      <w:lang w:val="en-US" w:eastAsia="zh-CN"/>
                      <w14:textFill>
                        <w14:solidFill>
                          <w14:schemeClr w14:val="tx1"/>
                        </w14:solidFill>
                      </w14:textFill>
                    </w:rPr>
                    <w:t>至吉康</w:t>
                  </w:r>
                  <w:r>
                    <w:rPr>
                      <w:rFonts w:hint="default" w:ascii="Times New Roman" w:hAnsi="Times New Roman" w:eastAsia="宋体" w:cs="Times New Roman"/>
                      <w:color w:val="000000" w:themeColor="text1"/>
                      <w:highlight w:val="none"/>
                      <w:lang w:eastAsia="zh-CN"/>
                      <w14:textFill>
                        <w14:solidFill>
                          <w14:schemeClr w14:val="tx1"/>
                        </w14:solidFill>
                      </w14:textFill>
                    </w:rPr>
                    <w:t>脱水站并处理</w:t>
                  </w:r>
                  <w:r>
                    <w:rPr>
                      <w:rFonts w:hint="default" w:ascii="Times New Roman" w:hAnsi="Times New Roman" w:eastAsia="宋体" w:cs="Times New Roman"/>
                      <w:color w:val="000000" w:themeColor="text1"/>
                      <w:lang w:eastAsia="zh-CN"/>
                      <w14:textFill>
                        <w14:solidFill>
                          <w14:schemeClr w14:val="tx1"/>
                        </w14:solidFill>
                      </w14:textFill>
                    </w:rPr>
                    <w:t>达标后，全部回注油藏；落地油100%回收。</w:t>
                  </w:r>
                </w:p>
              </w:tc>
              <w:tc>
                <w:tcPr>
                  <w:tcW w:w="628" w:type="dxa"/>
                  <w:vAlign w:val="center"/>
                </w:tcPr>
                <w:p w14:paraId="4C1FD74A">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419FD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jc w:val="center"/>
              </w:trPr>
              <w:tc>
                <w:tcPr>
                  <w:tcW w:w="3361" w:type="dxa"/>
                  <w:vAlign w:val="center"/>
                </w:tcPr>
                <w:p w14:paraId="3320E841">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809" w:type="dxa"/>
                  <w:vAlign w:val="center"/>
                </w:tcPr>
                <w:p w14:paraId="107AE1DA">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井下作业必须带罐（车）操作，将落地油100%进行回收。</w:t>
                  </w:r>
                </w:p>
              </w:tc>
              <w:tc>
                <w:tcPr>
                  <w:tcW w:w="628" w:type="dxa"/>
                  <w:vAlign w:val="center"/>
                </w:tcPr>
                <w:p w14:paraId="553732A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073D1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jc w:val="center"/>
              </w:trPr>
              <w:tc>
                <w:tcPr>
                  <w:tcW w:w="3361" w:type="dxa"/>
                  <w:tcBorders>
                    <w:bottom w:val="single" w:color="000000" w:sz="6" w:space="0"/>
                  </w:tcBorders>
                  <w:vAlign w:val="center"/>
                </w:tcPr>
                <w:p w14:paraId="2D4C3F5B">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加强油气田建设、勘探开发过程的环境监督管理。</w:t>
                  </w:r>
                </w:p>
              </w:tc>
              <w:tc>
                <w:tcPr>
                  <w:tcW w:w="2809" w:type="dxa"/>
                  <w:tcBorders>
                    <w:bottom w:val="single" w:color="000000" w:sz="6" w:space="0"/>
                  </w:tcBorders>
                  <w:vAlign w:val="center"/>
                </w:tcPr>
                <w:p w14:paraId="61275435">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建设单位已建立HSE管理体系，成立了专职环保部门对钻井、试油过程中的环境影响及减缓措施进行监督管理。</w:t>
                  </w:r>
                </w:p>
              </w:tc>
              <w:tc>
                <w:tcPr>
                  <w:tcW w:w="628" w:type="dxa"/>
                  <w:tcBorders>
                    <w:bottom w:val="single" w:color="000000" w:sz="6" w:space="0"/>
                  </w:tcBorders>
                  <w:vAlign w:val="center"/>
                </w:tcPr>
                <w:p w14:paraId="3CD66067">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4EEEEB76">
            <w:pPr>
              <w:pStyle w:val="22"/>
              <w:widowControl w:val="0"/>
              <w:kinsoku/>
              <w:spacing w:before="42" w:line="360" w:lineRule="auto"/>
              <w:jc w:val="both"/>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4.与《关于进一步加强石油天然气行业环境影响评价管理的通知》（环办环评函〔2019〕910号）符合性分析</w:t>
            </w:r>
          </w:p>
          <w:p w14:paraId="3ECBE5E9">
            <w:pPr>
              <w:pStyle w:val="22"/>
              <w:widowControl w:val="0"/>
              <w:tabs>
                <w:tab w:val="left" w:pos="121"/>
              </w:tabs>
              <w:kinsoku/>
              <w:spacing w:before="6" w:line="376" w:lineRule="auto"/>
              <w:ind w:left="1" w:firstLine="420"/>
              <w:jc w:val="both"/>
              <w:rPr>
                <w:rFonts w:hint="default" w:ascii="Times New Roman" w:hAnsi="Times New Roman" w:eastAsia="宋体" w:cs="Times New Roman"/>
                <w:color w:val="000000" w:themeColor="text1"/>
                <w:spacing w:val="5"/>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该文件中要求：未确定产能建设规模的陆地油气开采新区块，</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建设评价井</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应当编制环境影响报告表。项目为油气勘探项目，经编制环境影响报告表后报主管部门作为项目环境保护管理的依据，可以满足该文件的要求。</w:t>
            </w:r>
          </w:p>
          <w:p w14:paraId="2F3FDF88">
            <w:pPr>
              <w:pStyle w:val="22"/>
              <w:widowControl w:val="0"/>
              <w:tabs>
                <w:tab w:val="left" w:pos="121"/>
              </w:tabs>
              <w:kinsoku/>
              <w:spacing w:before="6" w:line="376" w:lineRule="auto"/>
              <w:ind w:left="1" w:firstLine="42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本项目与《关</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于进一步加强石油天然气行业环境影响评价管理的通知》</w:t>
            </w:r>
            <w:r>
              <w:rPr>
                <w:rFonts w:hint="default" w:ascii="Times New Roman" w:hAnsi="Times New Roman" w:eastAsia="宋体" w:cs="Times New Roman"/>
                <w:color w:val="000000" w:themeColor="text1"/>
                <w:sz w:val="24"/>
                <w:szCs w:val="24"/>
                <w:lang w:eastAsia="zh-CN"/>
                <w14:textFill>
                  <w14:solidFill>
                    <w14:schemeClr w14:val="tx1"/>
                  </w14:solidFill>
                </w14:textFill>
              </w:rPr>
              <w:t>相符性见表1-4。</w:t>
            </w:r>
          </w:p>
          <w:p w14:paraId="406F2D9D">
            <w:pPr>
              <w:widowControl w:val="0"/>
              <w:kinsoku/>
              <w:spacing w:line="400" w:lineRule="exact"/>
              <w:ind w:firstLine="422" w:firstLineChars="200"/>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表1-4 项目与《关于进一步加强石油天然气行业环境影响评价管理的通知》符合性分析一览表</w:t>
            </w:r>
          </w:p>
          <w:tbl>
            <w:tblPr>
              <w:tblStyle w:val="21"/>
              <w:tblW w:w="65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54"/>
              <w:gridCol w:w="1795"/>
              <w:gridCol w:w="3463"/>
              <w:gridCol w:w="606"/>
            </w:tblGrid>
            <w:tr w14:paraId="3B32D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jc w:val="center"/>
              </w:trPr>
              <w:tc>
                <w:tcPr>
                  <w:tcW w:w="654" w:type="dxa"/>
                  <w:vAlign w:val="center"/>
                </w:tcPr>
                <w:p w14:paraId="0435A546">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序号</w:t>
                  </w:r>
                </w:p>
              </w:tc>
              <w:tc>
                <w:tcPr>
                  <w:tcW w:w="1795" w:type="dxa"/>
                  <w:vAlign w:val="center"/>
                </w:tcPr>
                <w:p w14:paraId="19121B9D">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《关于进一步加强石油天然气行业环境影响评价管理的通知》</w:t>
                  </w:r>
                </w:p>
              </w:tc>
              <w:tc>
                <w:tcPr>
                  <w:tcW w:w="3463" w:type="dxa"/>
                  <w:vAlign w:val="center"/>
                </w:tcPr>
                <w:p w14:paraId="66BA1DD0">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本项目</w:t>
                  </w:r>
                </w:p>
              </w:tc>
              <w:tc>
                <w:tcPr>
                  <w:tcW w:w="606" w:type="dxa"/>
                  <w:vAlign w:val="center"/>
                </w:tcPr>
                <w:p w14:paraId="0D16B538">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符合性</w:t>
                  </w:r>
                </w:p>
              </w:tc>
            </w:tr>
            <w:tr w14:paraId="623A7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54" w:type="dxa"/>
                  <w:vAlign w:val="center"/>
                </w:tcPr>
                <w:p w14:paraId="27FFAA1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c>
                <w:tcPr>
                  <w:tcW w:w="1795" w:type="dxa"/>
                  <w:vAlign w:val="center"/>
                </w:tcPr>
                <w:p w14:paraId="162DC4A6">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确定产能建设规模后，原则上不得以勘探名义继续开展单井环评。</w:t>
                  </w:r>
                </w:p>
              </w:tc>
              <w:tc>
                <w:tcPr>
                  <w:tcW w:w="3463" w:type="dxa"/>
                  <w:vAlign w:val="center"/>
                </w:tcPr>
                <w:p w14:paraId="74DDCAED">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本次部署的萨L1501H井、萨L1501H-1井共2口评价井，属于尚未确定产能建设规模的油气勘探先导性项目。依法按规范编制环境影响报告表，不属于规避区块环评违规开展单井环评的情形。</w:t>
                  </w:r>
                </w:p>
              </w:tc>
              <w:tc>
                <w:tcPr>
                  <w:tcW w:w="606" w:type="dxa"/>
                  <w:vAlign w:val="center"/>
                </w:tcPr>
                <w:p w14:paraId="7BBECFE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008B3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8" w:hRule="atLeast"/>
                <w:jc w:val="center"/>
              </w:trPr>
              <w:tc>
                <w:tcPr>
                  <w:tcW w:w="654" w:type="dxa"/>
                  <w:vAlign w:val="center"/>
                </w:tcPr>
                <w:p w14:paraId="76F38B18">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w:t>
                  </w:r>
                </w:p>
              </w:tc>
              <w:tc>
                <w:tcPr>
                  <w:tcW w:w="1795" w:type="dxa"/>
                  <w:vAlign w:val="center"/>
                </w:tcPr>
                <w:p w14:paraId="782C165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项目环评应当深入评价项目建设、运营带来的环境影响和环境风险，提出有效的生态环境保护和环境风险防范措施。</w:t>
                  </w:r>
                </w:p>
              </w:tc>
              <w:tc>
                <w:tcPr>
                  <w:tcW w:w="3463" w:type="dxa"/>
                  <w:vAlign w:val="center"/>
                </w:tcPr>
                <w:p w14:paraId="4E622D45">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次评价全面剖析了钻试期各阶段产污环节。针对环境风险，提出了安装防喷器及硫化氢监测仪预防井喷、涉油区与危废暂存区实行重点防渗（等效黏土层≥6.0m，渗透系数≤1.0×10⁻⁷cm/s）等切实可行的物理隔离与应急防范措施。</w:t>
                  </w:r>
                </w:p>
              </w:tc>
              <w:tc>
                <w:tcPr>
                  <w:tcW w:w="606" w:type="dxa"/>
                  <w:vAlign w:val="center"/>
                </w:tcPr>
                <w:p w14:paraId="276FA149">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02F1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jc w:val="center"/>
              </w:trPr>
              <w:tc>
                <w:tcPr>
                  <w:tcW w:w="654" w:type="dxa"/>
                  <w:vAlign w:val="center"/>
                </w:tcPr>
                <w:p w14:paraId="772129EA">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p>
              </w:tc>
              <w:tc>
                <w:tcPr>
                  <w:tcW w:w="1795" w:type="dxa"/>
                  <w:vAlign w:val="center"/>
                </w:tcPr>
                <w:p w14:paraId="4E51EC65">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依托其他防治设施的或者委托第三方处置的，应当论证其可行性和有效性。</w:t>
                  </w:r>
                </w:p>
              </w:tc>
              <w:tc>
                <w:tcPr>
                  <w:tcW w:w="3463" w:type="dxa"/>
                  <w:vAlign w:val="center"/>
                </w:tcPr>
                <w:p w14:paraId="37E6C3C5">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试油废水拉运至吉康脱水站处理，水质达到《碎屑岩油藏注水水质指标技术要求及分析方法》（SY/T5329-2022）标准后，回注于地质构造封闭的萨探1块现役油藏；钻前工程采取表层套管+注水泥固井技术有效隔离潜水层，杜绝浅层地下水污染。</w:t>
                  </w:r>
                </w:p>
              </w:tc>
              <w:tc>
                <w:tcPr>
                  <w:tcW w:w="606" w:type="dxa"/>
                  <w:vAlign w:val="center"/>
                </w:tcPr>
                <w:p w14:paraId="2AF137AE">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686F9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7" w:hRule="atLeast"/>
                <w:jc w:val="center"/>
              </w:trPr>
              <w:tc>
                <w:tcPr>
                  <w:tcW w:w="654" w:type="dxa"/>
                  <w:vAlign w:val="center"/>
                </w:tcPr>
                <w:p w14:paraId="14A814AD">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4</w:t>
                  </w:r>
                </w:p>
              </w:tc>
              <w:tc>
                <w:tcPr>
                  <w:tcW w:w="1795" w:type="dxa"/>
                  <w:vAlign w:val="center"/>
                </w:tcPr>
                <w:p w14:paraId="0F2DDF16">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涉及废水回注的，应当论证回注的环境可行性，采取切实可行的地下水污染防治和监控措施，不得回注与油气开采无关的废水，严禁造成地下水污染。</w:t>
                  </w:r>
                </w:p>
              </w:tc>
              <w:tc>
                <w:tcPr>
                  <w:tcW w:w="3463" w:type="dxa"/>
                  <w:vAlign w:val="center"/>
                </w:tcPr>
                <w:p w14:paraId="6DD3F5E1">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试油废水拉运至吉康脱水站处理，水质达到《碎屑岩油藏注水水质指标技术要求及分析方法》（SY/T5329-2022）标准后，回注于地质构造封闭的萨探1块现役油藏；钻前工程采取表层套管+注水泥固井技术有效隔离潜水层，杜绝浅层地下水污染。</w:t>
                  </w:r>
                </w:p>
              </w:tc>
              <w:tc>
                <w:tcPr>
                  <w:tcW w:w="606" w:type="dxa"/>
                  <w:vAlign w:val="center"/>
                </w:tcPr>
                <w:p w14:paraId="778C9CFD">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123B4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jc w:val="center"/>
              </w:trPr>
              <w:tc>
                <w:tcPr>
                  <w:tcW w:w="654" w:type="dxa"/>
                  <w:vAlign w:val="center"/>
                </w:tcPr>
                <w:p w14:paraId="1C1825B3">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w:t>
                  </w:r>
                </w:p>
              </w:tc>
              <w:tc>
                <w:tcPr>
                  <w:tcW w:w="1795" w:type="dxa"/>
                  <w:vAlign w:val="center"/>
                </w:tcPr>
                <w:p w14:paraId="656AF853">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油气开采产生的废弃油基泥浆、含油钻屑及其他固体废物，应当遵循减量化、资源化、无害化原则，按照国家和地方有关固体废物的管理规定进行处置。</w:t>
                  </w:r>
                </w:p>
              </w:tc>
              <w:tc>
                <w:tcPr>
                  <w:tcW w:w="3463" w:type="dxa"/>
                  <w:vAlign w:val="center"/>
                </w:tcPr>
                <w:p w14:paraId="53C5801D">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本项目产生的含油污泥、落地油泥、废防渗材料、废润滑油、废润滑油桶贮存于危废贮存点后定期交由有资质的单位处置。</w:t>
                  </w:r>
                </w:p>
              </w:tc>
              <w:tc>
                <w:tcPr>
                  <w:tcW w:w="606" w:type="dxa"/>
                  <w:vAlign w:val="center"/>
                </w:tcPr>
                <w:p w14:paraId="5AD0AAF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2DFC2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jc w:val="center"/>
              </w:trPr>
              <w:tc>
                <w:tcPr>
                  <w:tcW w:w="654" w:type="dxa"/>
                  <w:tcBorders>
                    <w:bottom w:val="single" w:color="000000" w:sz="6" w:space="0"/>
                  </w:tcBorders>
                  <w:vAlign w:val="center"/>
                </w:tcPr>
                <w:p w14:paraId="07C6871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w:t>
                  </w:r>
                </w:p>
              </w:tc>
              <w:tc>
                <w:tcPr>
                  <w:tcW w:w="1795" w:type="dxa"/>
                  <w:tcBorders>
                    <w:bottom w:val="single" w:color="000000" w:sz="6" w:space="0"/>
                  </w:tcBorders>
                  <w:vAlign w:val="center"/>
                </w:tcPr>
                <w:p w14:paraId="6638B366">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施工期应当尽量减少施工占地、缩短施工时间、选择合理施工方式、落实环境敏感区管控要求以及其他生态环境保护措施，降低生态环境影响。</w:t>
                  </w:r>
                </w:p>
              </w:tc>
              <w:tc>
                <w:tcPr>
                  <w:tcW w:w="3463" w:type="dxa"/>
                  <w:tcBorders>
                    <w:bottom w:val="single" w:color="000000" w:sz="6" w:space="0"/>
                  </w:tcBorders>
                  <w:vAlign w:val="center"/>
                </w:tcPr>
                <w:p w14:paraId="2847458B">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严格控制两口井临时占地（18020m²），采用表土剥离单独存放保护机制；施工车辆严格限制行驶路线实行“一”字型作业法；完（封）井后及时对井场和临时道路进行覆土平整与植被自然恢复，最大程度降低荒漠生态扰动。</w:t>
                  </w:r>
                </w:p>
              </w:tc>
              <w:tc>
                <w:tcPr>
                  <w:tcW w:w="606" w:type="dxa"/>
                  <w:tcBorders>
                    <w:bottom w:val="single" w:color="000000" w:sz="6" w:space="0"/>
                  </w:tcBorders>
                  <w:vAlign w:val="center"/>
                </w:tcPr>
                <w:p w14:paraId="5143B82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3D0A8FE5">
            <w:pPr>
              <w:pStyle w:val="22"/>
              <w:widowControl w:val="0"/>
              <w:kinsoku/>
              <w:spacing w:before="42" w:line="360" w:lineRule="auto"/>
              <w:jc w:val="both"/>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5.与《陆上石油天然气开采业绿色矿山建设规范》（DZ/T0317-2018）符合性分析</w:t>
            </w:r>
          </w:p>
          <w:p w14:paraId="593F14D0">
            <w:pPr>
              <w:pStyle w:val="22"/>
              <w:widowControl w:val="0"/>
              <w:kinsoku/>
              <w:spacing w:line="360" w:lineRule="auto"/>
              <w:ind w:firstLine="480" w:firstLineChars="200"/>
              <w:jc w:val="both"/>
              <w:rPr>
                <w:rFonts w:hint="default" w:ascii="Times New Roman" w:hAnsi="Times New Roman" w:eastAsia="宋体" w:cs="Times New Roman"/>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项目与《陆上石油天然气开采业绿色矿山建设规范》（DZ/T0317-2018）符合性分析见表1-5。</w:t>
            </w:r>
          </w:p>
          <w:p w14:paraId="640E5A7C">
            <w:pPr>
              <w:pStyle w:val="22"/>
              <w:widowControl w:val="0"/>
              <w:kinsoku/>
              <w:spacing w:line="360" w:lineRule="auto"/>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表1-5 项目与《陆上石油天然气开采业绿色矿山建设规范》</w:t>
            </w:r>
          </w:p>
          <w:p w14:paraId="15B2289B">
            <w:pPr>
              <w:pStyle w:val="22"/>
              <w:widowControl w:val="0"/>
              <w:kinsoku/>
              <w:spacing w:line="226"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符合性分析一览表</w:t>
            </w:r>
          </w:p>
          <w:tbl>
            <w:tblPr>
              <w:tblStyle w:val="21"/>
              <w:tblW w:w="67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145"/>
              <w:gridCol w:w="3019"/>
              <w:gridCol w:w="575"/>
            </w:tblGrid>
            <w:tr w14:paraId="02932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jc w:val="center"/>
              </w:trPr>
              <w:tc>
                <w:tcPr>
                  <w:tcW w:w="3145" w:type="dxa"/>
                  <w:vAlign w:val="center"/>
                </w:tcPr>
                <w:p w14:paraId="6ECC88D0">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《陆上石油天然气开采业绿色矿山建设规范》</w:t>
                  </w:r>
                </w:p>
              </w:tc>
              <w:tc>
                <w:tcPr>
                  <w:tcW w:w="3019" w:type="dxa"/>
                  <w:vAlign w:val="center"/>
                </w:tcPr>
                <w:p w14:paraId="37A990D8">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本项目</w:t>
                  </w:r>
                </w:p>
              </w:tc>
              <w:tc>
                <w:tcPr>
                  <w:tcW w:w="575" w:type="dxa"/>
                  <w:vAlign w:val="center"/>
                </w:tcPr>
                <w:p w14:paraId="7F267CEA">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符合性</w:t>
                  </w:r>
                </w:p>
              </w:tc>
            </w:tr>
            <w:tr w14:paraId="22278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jc w:val="center"/>
              </w:trPr>
              <w:tc>
                <w:tcPr>
                  <w:tcW w:w="3145" w:type="dxa"/>
                  <w:vAlign w:val="center"/>
                </w:tcPr>
                <w:p w14:paraId="61DA06AB">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应实施绿色钻井技术体系，科学选择钻井方式、环境友好型钻井液及井控措施配备完善的固控系统，及时妥善处置钻井泥浆。</w:t>
                  </w:r>
                </w:p>
              </w:tc>
              <w:tc>
                <w:tcPr>
                  <w:tcW w:w="3019" w:type="dxa"/>
                  <w:vAlign w:val="center"/>
                </w:tcPr>
                <w:p w14:paraId="043EBE12">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本项目采用环境友好钻井液及井控措施。</w:t>
                  </w:r>
                </w:p>
              </w:tc>
              <w:tc>
                <w:tcPr>
                  <w:tcW w:w="575" w:type="dxa"/>
                  <w:vAlign w:val="center"/>
                </w:tcPr>
                <w:p w14:paraId="760E6AE3">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740F4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2" w:hRule="atLeast"/>
                <w:jc w:val="center"/>
              </w:trPr>
              <w:tc>
                <w:tcPr>
                  <w:tcW w:w="3145" w:type="dxa"/>
                  <w:vAlign w:val="center"/>
                </w:tcPr>
                <w:p w14:paraId="61C21BBA">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应按照矿山地质环境保护与土地复垦方案进行地质环境治理和土地复垦。</w:t>
                  </w:r>
                </w:p>
              </w:tc>
              <w:tc>
                <w:tcPr>
                  <w:tcW w:w="3019" w:type="dxa"/>
                  <w:vAlign w:val="center"/>
                </w:tcPr>
                <w:p w14:paraId="6EAEA481">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本项目为临时用地，严格控制井场占地面积（</w:t>
                  </w:r>
                  <w:r>
                    <w:rPr>
                      <w:rFonts w:hint="default" w:ascii="Times New Roman" w:hAnsi="Times New Roman" w:eastAsia="宋体" w:cs="Times New Roman"/>
                      <w:color w:val="000000" w:themeColor="text1"/>
                      <w:lang w:val="en-US" w:eastAsia="zh-CN"/>
                      <w14:textFill>
                        <w14:solidFill>
                          <w14:schemeClr w14:val="tx1"/>
                        </w14:solidFill>
                      </w14:textFill>
                    </w:rPr>
                    <w:t>18020</w:t>
                  </w:r>
                  <w:r>
                    <w:rPr>
                      <w:rFonts w:hint="default" w:ascii="Times New Roman" w:hAnsi="Times New Roman" w:eastAsia="宋体" w:cs="Times New Roman"/>
                      <w:color w:val="000000" w:themeColor="text1"/>
                      <w:lang w:eastAsia="zh-CN"/>
                      <w14:textFill>
                        <w14:solidFill>
                          <w14:schemeClr w14:val="tx1"/>
                        </w14:solidFill>
                      </w14:textFill>
                    </w:rPr>
                    <w:t>m²）。环评要求施工前进行表土剥离暂存，工程结束后清除井场设施及固废，利用原有表土对井场及道路进行土地复垦和植被恢复，恢复至原貌。</w:t>
                  </w:r>
                </w:p>
              </w:tc>
              <w:tc>
                <w:tcPr>
                  <w:tcW w:w="575" w:type="dxa"/>
                  <w:vAlign w:val="center"/>
                </w:tcPr>
                <w:p w14:paraId="3CE9E552">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2646F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jc w:val="center"/>
              </w:trPr>
              <w:tc>
                <w:tcPr>
                  <w:tcW w:w="3145" w:type="dxa"/>
                  <w:vAlign w:val="center"/>
                </w:tcPr>
                <w:p w14:paraId="097F4990">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油气开采过程中产生的含油污泥。采取技术措施进行原油回收处理和利用，处理后固体物含油率低2%。</w:t>
                  </w:r>
                </w:p>
              </w:tc>
              <w:tc>
                <w:tcPr>
                  <w:tcW w:w="3019" w:type="dxa"/>
                  <w:vAlign w:val="center"/>
                </w:tcPr>
                <w:p w14:paraId="7335D0AF">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本工程落地油要求100%回收。</w:t>
                  </w:r>
                </w:p>
              </w:tc>
              <w:tc>
                <w:tcPr>
                  <w:tcW w:w="575" w:type="dxa"/>
                  <w:vAlign w:val="center"/>
                </w:tcPr>
                <w:p w14:paraId="7293AC5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102F2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jc w:val="center"/>
              </w:trPr>
              <w:tc>
                <w:tcPr>
                  <w:tcW w:w="3145" w:type="dxa"/>
                  <w:vAlign w:val="center"/>
                </w:tcPr>
                <w:p w14:paraId="0C3C15E9">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油气生产过程中产生的废液、废气、固体废物应建档分类管理，并清洁化、无害化处置，处置率应达到100%。</w:t>
                  </w:r>
                </w:p>
              </w:tc>
              <w:tc>
                <w:tcPr>
                  <w:tcW w:w="3019" w:type="dxa"/>
                  <w:vAlign w:val="center"/>
                </w:tcPr>
                <w:p w14:paraId="78213873">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本项目试油压裂过程中产生的废水、压裂返排液、钻井岩屑、废防渗材料、落地油泥、废润滑油、废润滑油桶均能妥善处置。</w:t>
                  </w:r>
                </w:p>
              </w:tc>
              <w:tc>
                <w:tcPr>
                  <w:tcW w:w="575" w:type="dxa"/>
                  <w:vAlign w:val="center"/>
                </w:tcPr>
                <w:p w14:paraId="2D7F8572">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7D2BAD07">
            <w:pPr>
              <w:pStyle w:val="22"/>
              <w:widowControl w:val="0"/>
              <w:kinsoku/>
              <w:spacing w:before="42" w:line="360" w:lineRule="auto"/>
              <w:jc w:val="both"/>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6.与《新疆生态环境保护“十四五”规划》符合性分析</w:t>
            </w:r>
          </w:p>
          <w:p w14:paraId="0F99DA0F">
            <w:pPr>
              <w:pStyle w:val="22"/>
              <w:widowControl w:val="0"/>
              <w:kinsoku/>
              <w:spacing w:line="360" w:lineRule="auto"/>
              <w:ind w:firstLine="480" w:firstLineChars="200"/>
              <w:jc w:val="both"/>
              <w:rPr>
                <w:rFonts w:hint="default" w:ascii="Times New Roman" w:hAnsi="Times New Roman" w:eastAsia="宋体" w:cs="Times New Roman"/>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项目与《新疆生态环境保护“十四五”规划》符合性分析见表1-6。</w:t>
            </w:r>
          </w:p>
          <w:p w14:paraId="1BDE7A98">
            <w:pPr>
              <w:widowControl w:val="0"/>
              <w:kinsoku/>
              <w:spacing w:line="400" w:lineRule="exact"/>
              <w:ind w:firstLine="450" w:firstLineChars="200"/>
              <w:jc w:val="center"/>
              <w:rPr>
                <w:rFonts w:hint="default" w:ascii="Times New Roman" w:hAnsi="Times New Roman" w:eastAsia="宋体" w:cs="Times New Roman"/>
                <w:b/>
                <w:bCs/>
                <w:color w:val="000000" w:themeColor="text1"/>
                <w:spacing w:val="6"/>
                <w:lang w:eastAsia="zh-CN"/>
                <w14:textFill>
                  <w14:solidFill>
                    <w14:schemeClr w14:val="tx1"/>
                  </w14:solidFill>
                </w14:textFill>
              </w:rPr>
            </w:pPr>
            <w:r>
              <w:rPr>
                <w:rFonts w:hint="default" w:ascii="Times New Roman" w:hAnsi="Times New Roman" w:eastAsia="宋体" w:cs="Times New Roman"/>
                <w:b/>
                <w:bCs/>
                <w:color w:val="000000" w:themeColor="text1"/>
                <w:spacing w:val="7"/>
                <w:lang w:eastAsia="zh-CN"/>
                <w14:textFill>
                  <w14:solidFill>
                    <w14:schemeClr w14:val="tx1"/>
                  </w14:solidFill>
                </w14:textFill>
              </w:rPr>
              <w:t>表1-6 项目与《新疆生态环境保护“十四五”规划》符合性分析</w:t>
            </w:r>
            <w:r>
              <w:rPr>
                <w:rFonts w:hint="default" w:ascii="Times New Roman" w:hAnsi="Times New Roman" w:eastAsia="宋体" w:cs="Times New Roman"/>
                <w:b/>
                <w:bCs/>
                <w:color w:val="000000" w:themeColor="text1"/>
                <w:spacing w:val="6"/>
                <w:lang w:eastAsia="zh-CN"/>
                <w14:textFill>
                  <w14:solidFill>
                    <w14:schemeClr w14:val="tx1"/>
                  </w14:solidFill>
                </w14:textFill>
              </w:rPr>
              <w:t>一览表</w:t>
            </w:r>
          </w:p>
          <w:tbl>
            <w:tblPr>
              <w:tblStyle w:val="21"/>
              <w:tblW w:w="65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815"/>
              <w:gridCol w:w="3252"/>
              <w:gridCol w:w="491"/>
            </w:tblGrid>
            <w:tr w14:paraId="537D5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2815" w:type="dxa"/>
                  <w:vAlign w:val="center"/>
                </w:tcPr>
                <w:p w14:paraId="4111CB45">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《新疆生态环境保护“十四五”规划》</w:t>
                  </w:r>
                </w:p>
              </w:tc>
              <w:tc>
                <w:tcPr>
                  <w:tcW w:w="3252" w:type="dxa"/>
                  <w:vAlign w:val="center"/>
                </w:tcPr>
                <w:p w14:paraId="62AFFCCB">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本项目</w:t>
                  </w:r>
                </w:p>
              </w:tc>
              <w:tc>
                <w:tcPr>
                  <w:tcW w:w="491" w:type="dxa"/>
                  <w:vAlign w:val="center"/>
                </w:tcPr>
                <w:p w14:paraId="1481D2B6">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符合性</w:t>
                  </w:r>
                </w:p>
              </w:tc>
            </w:tr>
            <w:tr w14:paraId="47EFA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3" w:hRule="atLeast"/>
                <w:jc w:val="center"/>
              </w:trPr>
              <w:tc>
                <w:tcPr>
                  <w:tcW w:w="2815" w:type="dxa"/>
                  <w:vAlign w:val="center"/>
                </w:tcPr>
                <w:p w14:paraId="0A880E03">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实施最严格的生态保护制度。坚决遏制“两高”项目盲目发</w:t>
                  </w:r>
                </w:p>
                <w:p w14:paraId="208E3693">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展，严格执行能源、矿产资源开发自治区人民政府“一支笔”审批制度、环境保护“一票否决”制度，落实“三线一单”生态环境分区管控要求，守住生态保护红线、环境质量底线和资源利用上线，实施生态环境准入清单管控。强化危险废物全过程环境监管。督促各类危险废物产生单位和经营单位依法申报危险废物产生处置情况，报备管理计划，做好信息公开工作，规范运行危险废物转移联单。</w:t>
                  </w:r>
                </w:p>
              </w:tc>
              <w:tc>
                <w:tcPr>
                  <w:tcW w:w="3252" w:type="dxa"/>
                  <w:vAlign w:val="center"/>
                </w:tcPr>
                <w:p w14:paraId="0AD062B2">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本项目为油气资源勘探项目，不属于“高污染、高环境风险产品”项目；位于</w:t>
                  </w:r>
                  <w:r>
                    <w:rPr>
                      <w:rFonts w:hint="default" w:ascii="Times New Roman" w:hAnsi="Times New Roman" w:eastAsia="宋体" w:cs="Times New Roman"/>
                      <w:color w:val="000000" w:themeColor="text1"/>
                      <w:lang w:val="en-US" w:eastAsia="zh-CN"/>
                      <w14:textFill>
                        <w14:solidFill>
                          <w14:schemeClr w14:val="tx1"/>
                        </w14:solidFill>
                      </w14:textFill>
                    </w:rPr>
                    <w:t>一般</w:t>
                  </w:r>
                  <w:r>
                    <w:rPr>
                      <w:rFonts w:hint="default" w:ascii="Times New Roman" w:hAnsi="Times New Roman" w:eastAsia="宋体" w:cs="Times New Roman"/>
                      <w:color w:val="000000" w:themeColor="text1"/>
                      <w:lang w:eastAsia="zh-CN"/>
                      <w14:textFill>
                        <w14:solidFill>
                          <w14:schemeClr w14:val="tx1"/>
                        </w14:solidFill>
                      </w14:textFill>
                    </w:rPr>
                    <w:t>管控单元，不涉及生态保护红线；废气、噪声均可实现达标排放，废水和固体废物均得到妥善处置，不会突破区域环境质量底线；施工过程中会消耗少量的电能和水，工程资源消耗量相对区域资源利用总量较少，符合资源上限要求；符合区域生态环境分区管控要求。本环评要求定期更新和申报危险废物管理计划，对危险废物贮存、转移和处置进行全过程管理，建立危险废物管理台账，本次可充分依托中国石油天然气股份有限公司吐哈油田分公司准东采油管理区已有管理制度。</w:t>
                  </w:r>
                </w:p>
              </w:tc>
              <w:tc>
                <w:tcPr>
                  <w:tcW w:w="491" w:type="dxa"/>
                  <w:vAlign w:val="center"/>
                </w:tcPr>
                <w:p w14:paraId="77671077">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76E5D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jc w:val="center"/>
              </w:trPr>
              <w:tc>
                <w:tcPr>
                  <w:tcW w:w="2815" w:type="dxa"/>
                  <w:tcBorders>
                    <w:bottom w:val="single" w:color="000000" w:sz="6" w:space="0"/>
                  </w:tcBorders>
                  <w:vAlign w:val="center"/>
                </w:tcPr>
                <w:p w14:paraId="4F2ECA8E">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加强应急监测装备配置，定期开展应急演练，增强实战能力。</w:t>
                  </w:r>
                </w:p>
              </w:tc>
              <w:tc>
                <w:tcPr>
                  <w:tcW w:w="3252" w:type="dxa"/>
                  <w:tcBorders>
                    <w:bottom w:val="single" w:color="000000" w:sz="6" w:space="0"/>
                  </w:tcBorders>
                  <w:vAlign w:val="center"/>
                </w:tcPr>
                <w:p w14:paraId="511D9ABA">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本项目拟设置应急监测设备，并定期进行应急演练工作。</w:t>
                  </w:r>
                </w:p>
              </w:tc>
              <w:tc>
                <w:tcPr>
                  <w:tcW w:w="491" w:type="dxa"/>
                  <w:tcBorders>
                    <w:bottom w:val="single" w:color="000000" w:sz="6" w:space="0"/>
                  </w:tcBorders>
                  <w:vAlign w:val="center"/>
                </w:tcPr>
                <w:p w14:paraId="77C5B60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6AFA63CA">
            <w:pPr>
              <w:pStyle w:val="22"/>
              <w:widowControl w:val="0"/>
              <w:kinsoku/>
              <w:spacing w:before="42" w:line="360" w:lineRule="auto"/>
              <w:jc w:val="both"/>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7.与《昌吉回族自治州生态环境保护与建设“十四五”规划》符合性分析</w:t>
            </w:r>
          </w:p>
          <w:p w14:paraId="22D31985">
            <w:pPr>
              <w:pStyle w:val="22"/>
              <w:widowControl w:val="0"/>
              <w:kinsoku/>
              <w:spacing w:line="360" w:lineRule="auto"/>
              <w:ind w:firstLine="480" w:firstLineChars="200"/>
              <w:jc w:val="both"/>
              <w:rPr>
                <w:rFonts w:hint="default" w:ascii="Times New Roman" w:hAnsi="Times New Roman" w:eastAsia="宋体" w:cs="Times New Roman"/>
                <w:color w:val="000000" w:themeColor="text1"/>
                <w:kern w:val="2"/>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项目与《昌吉回族自治州生态环境保护与建设“十四五”规划》符合性分析见表1-7。</w:t>
            </w:r>
          </w:p>
          <w:p w14:paraId="1786D4C4">
            <w:pPr>
              <w:widowControl w:val="0"/>
              <w:kinsoku/>
              <w:spacing w:line="400" w:lineRule="exact"/>
              <w:jc w:val="center"/>
              <w:rPr>
                <w:rFonts w:hint="default" w:ascii="Times New Roman" w:hAnsi="Times New Roman" w:eastAsia="宋体" w:cs="Times New Roman"/>
                <w:b/>
                <w:bCs/>
                <w:color w:val="000000" w:themeColor="text1"/>
                <w:spacing w:val="7"/>
                <w:lang w:eastAsia="zh-CN"/>
                <w14:textFill>
                  <w14:solidFill>
                    <w14:schemeClr w14:val="tx1"/>
                  </w14:solidFill>
                </w14:textFill>
              </w:rPr>
            </w:pPr>
            <w:r>
              <w:rPr>
                <w:rFonts w:hint="default" w:ascii="Times New Roman" w:hAnsi="Times New Roman" w:eastAsia="宋体" w:cs="Times New Roman"/>
                <w:b/>
                <w:bCs/>
                <w:color w:val="000000" w:themeColor="text1"/>
                <w:spacing w:val="7"/>
                <w:lang w:eastAsia="zh-CN"/>
                <w14:textFill>
                  <w14:solidFill>
                    <w14:schemeClr w14:val="tx1"/>
                  </w14:solidFill>
                </w14:textFill>
              </w:rPr>
              <w:t>表1-7 与《昌吉回族自治州生态环境保护与建设“十四五”规划》符合性分析一览表</w:t>
            </w:r>
          </w:p>
          <w:tbl>
            <w:tblPr>
              <w:tblStyle w:val="21"/>
              <w:tblW w:w="66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37"/>
              <w:gridCol w:w="2697"/>
              <w:gridCol w:w="685"/>
            </w:tblGrid>
            <w:tr w14:paraId="2B0BB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237" w:type="dxa"/>
                </w:tcPr>
                <w:p w14:paraId="2A9D27B0">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《昌吉回族自治州生态环境保护与建设“十四五”规划》</w:t>
                  </w:r>
                </w:p>
              </w:tc>
              <w:tc>
                <w:tcPr>
                  <w:tcW w:w="2697" w:type="dxa"/>
                  <w:vAlign w:val="center"/>
                </w:tcPr>
                <w:p w14:paraId="6A086586">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本项目</w:t>
                  </w:r>
                </w:p>
              </w:tc>
              <w:tc>
                <w:tcPr>
                  <w:tcW w:w="685" w:type="dxa"/>
                  <w:vAlign w:val="center"/>
                </w:tcPr>
                <w:p w14:paraId="5F2BB6AC">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符合性</w:t>
                  </w:r>
                </w:p>
              </w:tc>
            </w:tr>
            <w:tr w14:paraId="16BBF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jc w:val="center"/>
              </w:trPr>
              <w:tc>
                <w:tcPr>
                  <w:tcW w:w="3237" w:type="dxa"/>
                  <w:vAlign w:val="center"/>
                </w:tcPr>
                <w:p w14:paraId="7C12CD83">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将生态保护红线、环境质量底线、资源利用上线的硬约束落实到环境管控单元，建立差别化的生态环境准入清单，加强“三线一单”成果在政策制定、环境准入、执法监管等方面的应用。</w:t>
                  </w:r>
                </w:p>
              </w:tc>
              <w:tc>
                <w:tcPr>
                  <w:tcW w:w="2697" w:type="dxa"/>
                  <w:vAlign w:val="center"/>
                </w:tcPr>
                <w:p w14:paraId="78630FD9">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本项目不涉及生态保护红线，不会突破区域环境质量底线，不会突破区域资源利用上线。</w:t>
                  </w:r>
                </w:p>
              </w:tc>
              <w:tc>
                <w:tcPr>
                  <w:tcW w:w="685" w:type="dxa"/>
                  <w:vAlign w:val="center"/>
                </w:tcPr>
                <w:p w14:paraId="0B64026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3FEE1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jc w:val="center"/>
              </w:trPr>
              <w:tc>
                <w:tcPr>
                  <w:tcW w:w="3237" w:type="dxa"/>
                  <w:vAlign w:val="center"/>
                </w:tcPr>
                <w:p w14:paraId="431FE5B9">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强化水资源刚性约束，深入推进最严格水资源管理制度，严守水资源开发利用控制、用水效率控制和水功能区限制纳污“三条红线”，严格实行区域用水总量和强度控制，强化节水约束性指标管理。</w:t>
                  </w:r>
                </w:p>
              </w:tc>
              <w:tc>
                <w:tcPr>
                  <w:tcW w:w="2697" w:type="dxa"/>
                  <w:vAlign w:val="center"/>
                </w:tcPr>
                <w:p w14:paraId="39BCC1A6">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拟部署井钻试期仅消耗少量新鲜水，用量在区域可承受范围内，不会突破区域资源利用上限。</w:t>
                  </w:r>
                </w:p>
              </w:tc>
              <w:tc>
                <w:tcPr>
                  <w:tcW w:w="685" w:type="dxa"/>
                  <w:vAlign w:val="center"/>
                </w:tcPr>
                <w:p w14:paraId="195DD62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362FE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jc w:val="center"/>
              </w:trPr>
              <w:tc>
                <w:tcPr>
                  <w:tcW w:w="3237" w:type="dxa"/>
                  <w:vAlign w:val="center"/>
                </w:tcPr>
                <w:p w14:paraId="2C606959">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推进地表水与地下水协同防治。统筹区域地表水、地下水生态环境监管。</w:t>
                  </w:r>
                </w:p>
              </w:tc>
              <w:tc>
                <w:tcPr>
                  <w:tcW w:w="2697" w:type="dxa"/>
                  <w:vAlign w:val="center"/>
                </w:tcPr>
                <w:p w14:paraId="09B644B1">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钻井过程无废水产生，试油过程产生的井</w:t>
                  </w:r>
                  <w:r>
                    <w:rPr>
                      <w:rFonts w:hint="default" w:ascii="Times New Roman" w:hAnsi="Times New Roman" w:eastAsia="宋体" w:cs="Times New Roman"/>
                      <w:color w:val="000000" w:themeColor="text1"/>
                      <w:highlight w:val="none"/>
                      <w:lang w:eastAsia="zh-CN"/>
                      <w14:textFill>
                        <w14:solidFill>
                          <w14:schemeClr w14:val="tx1"/>
                        </w14:solidFill>
                      </w14:textFill>
                    </w:rPr>
                    <w:t>下作业废水拉运到</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吉康</w:t>
                  </w:r>
                  <w:r>
                    <w:rPr>
                      <w:rFonts w:hint="default" w:ascii="Times New Roman" w:hAnsi="Times New Roman" w:eastAsia="宋体" w:cs="Times New Roman"/>
                      <w:color w:val="000000" w:themeColor="text1"/>
                      <w:highlight w:val="none"/>
                      <w:lang w:eastAsia="zh-CN"/>
                      <w14:textFill>
                        <w14:solidFill>
                          <w14:schemeClr w14:val="tx1"/>
                        </w14:solidFill>
                      </w14:textFill>
                    </w:rPr>
                    <w:t>脱水站并处</w:t>
                  </w:r>
                  <w:r>
                    <w:rPr>
                      <w:rFonts w:hint="default" w:ascii="Times New Roman" w:hAnsi="Times New Roman" w:eastAsia="宋体" w:cs="Times New Roman"/>
                      <w:color w:val="000000" w:themeColor="text1"/>
                      <w:lang w:eastAsia="zh-CN"/>
                      <w14:textFill>
                        <w14:solidFill>
                          <w14:schemeClr w14:val="tx1"/>
                        </w14:solidFill>
                      </w14:textFill>
                    </w:rPr>
                    <w:t>理达标后，全部回注油藏；钻井过程中使用水泥固井，有效地将含水层与井筒分隔开保护地下水不受污染。</w:t>
                  </w:r>
                </w:p>
              </w:tc>
              <w:tc>
                <w:tcPr>
                  <w:tcW w:w="685" w:type="dxa"/>
                  <w:vAlign w:val="center"/>
                </w:tcPr>
                <w:p w14:paraId="3075E71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4DDBF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jc w:val="center"/>
              </w:trPr>
              <w:tc>
                <w:tcPr>
                  <w:tcW w:w="3237" w:type="dxa"/>
                  <w:vAlign w:val="center"/>
                </w:tcPr>
                <w:p w14:paraId="66F658D9">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以北部沙漠防风固沙生态维护区、中部平原农田防护人居环境维护区和南部山地水源涵养生态维护区3个水土保持分区为基础，划分重点预防范围和重点治理范围。</w:t>
                  </w:r>
                </w:p>
              </w:tc>
              <w:tc>
                <w:tcPr>
                  <w:tcW w:w="2697" w:type="dxa"/>
                  <w:vAlign w:val="center"/>
                </w:tcPr>
                <w:p w14:paraId="13BB7672">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本环评已提出了相应的水土保持措施，可将项目引起的水土流失的程度降低到最小限度。</w:t>
                  </w:r>
                </w:p>
              </w:tc>
              <w:tc>
                <w:tcPr>
                  <w:tcW w:w="685" w:type="dxa"/>
                  <w:vAlign w:val="center"/>
                </w:tcPr>
                <w:p w14:paraId="19BB9F53">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41448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 w:hRule="atLeast"/>
                <w:jc w:val="center"/>
              </w:trPr>
              <w:tc>
                <w:tcPr>
                  <w:tcW w:w="3237" w:type="dxa"/>
                  <w:tcBorders>
                    <w:bottom w:val="single" w:color="000000" w:sz="6" w:space="0"/>
                  </w:tcBorders>
                  <w:vAlign w:val="center"/>
                </w:tcPr>
                <w:p w14:paraId="0AB522F0">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加强生态环境应急管理。实施企业环境应急预案电子化备案，完成昌吉市政府突发环境事件应急预案修编。</w:t>
                  </w:r>
                </w:p>
              </w:tc>
              <w:tc>
                <w:tcPr>
                  <w:tcW w:w="2697" w:type="dxa"/>
                  <w:tcBorders>
                    <w:bottom w:val="single" w:color="000000" w:sz="6" w:space="0"/>
                  </w:tcBorders>
                  <w:vAlign w:val="center"/>
                </w:tcPr>
                <w:p w14:paraId="6209F992">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本项目归属中国石油天然气股份有限公司吐哈油田分公司准东采油管理区管辖，项目实施后需纳入《中国石油天然气股份有限公司吐哈油田分公司准东采油管理区突发环境事件应急预案》。</w:t>
                  </w:r>
                </w:p>
              </w:tc>
              <w:tc>
                <w:tcPr>
                  <w:tcW w:w="685" w:type="dxa"/>
                  <w:tcBorders>
                    <w:bottom w:val="single" w:color="000000" w:sz="6" w:space="0"/>
                  </w:tcBorders>
                  <w:vAlign w:val="center"/>
                </w:tcPr>
                <w:p w14:paraId="33B85292">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7C03C4E8">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8.与新疆维吾尔自治区主体功能区规划的相符性分析</w:t>
            </w:r>
          </w:p>
          <w:p w14:paraId="37A600E0">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新疆维吾尔自治区主体功能区规划》（2016年10月24日），新疆分为以下主体功能区：按开发方式，分为优化开发区域、重点开发区域、限制开发区域和禁止开发区域四类；按开发内容，分为城市化地区、农产品主产区和重点生态功能区三类；按层级，分为国家和自治区级两个层面。</w:t>
            </w:r>
          </w:p>
          <w:p w14:paraId="3D9DFA28">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本项目建设地点位于新疆维吾尔自治区昌吉回族自治州</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吉木萨尔县</w:t>
            </w:r>
            <w:r>
              <w:rPr>
                <w:rFonts w:hint="default" w:ascii="Times New Roman" w:hAnsi="Times New Roman" w:eastAsia="宋体" w:cs="Times New Roman"/>
                <w:color w:val="000000" w:themeColor="text1"/>
                <w:sz w:val="24"/>
                <w:szCs w:val="24"/>
                <w:lang w:eastAsia="zh-CN"/>
                <w14:textFill>
                  <w14:solidFill>
                    <w14:schemeClr w14:val="tx1"/>
                  </w14:solidFill>
                </w14:textFill>
              </w:rPr>
              <w:t>境内，属于新疆国家级农产品主产区（天山北坡主产区），新疆国家级农产品主产区（天山北坡主产区）涉及13个县市，这些农产品主产区县市的城区或城关镇及其境内的重要工业园区是国家级重点开发区域，但这些县市以享受国家农产品主产区的政策为主。新疆农产品主产区的功能定位是：保障农牧产品供给安全的重要区域，农牧民安居乐业的美好家园，社会主义新农村建设的示范区；农产品主产区发展方向和开发原则还包括：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p>
          <w:p w14:paraId="1EED65DC">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本项目为油气资源勘探项目，项目的建设有利于提高油气资源的安全供应能力和开发利用水平，支撑地区经济，因此本项目符合自治区对该区域的功能定位要求。新疆维吾尔自治区主体功能区规划图见附图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146976C6">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9.与《新疆生态功能区划》的相符性分析</w:t>
            </w:r>
          </w:p>
          <w:p w14:paraId="2CFE5935">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根据《新疆生态功能区划简表》，项目所属生态功能区的主要生态服务功能、主要生态环境问题、主要保护目标和主要发展方向等内容详见表1-8，生态功能区划图详见附图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4B10079">
            <w:pPr>
              <w:pStyle w:val="22"/>
              <w:widowControl w:val="0"/>
              <w:kinsoku/>
              <w:spacing w:before="1" w:line="226" w:lineRule="auto"/>
              <w:jc w:val="center"/>
              <w:rPr>
                <w:rFonts w:hint="default" w:ascii="Times New Roman" w:hAnsi="Times New Roman" w:eastAsia="宋体" w:cs="Times New Roman"/>
                <w:b/>
                <w:bCs/>
                <w:color w:val="000000" w:themeColor="text1"/>
                <w:spacing w:val="5"/>
                <w:sz w:val="21"/>
                <w:szCs w:val="21"/>
                <w14:textFill>
                  <w14:solidFill>
                    <w14:schemeClr w14:val="tx1"/>
                  </w14:solidFill>
                </w14:textFill>
              </w:rPr>
            </w:pPr>
            <w:r>
              <w:rPr>
                <w:rFonts w:hint="default" w:ascii="Times New Roman" w:hAnsi="Times New Roman" w:eastAsia="宋体" w:cs="Times New Roman"/>
                <w:b/>
                <w:bCs/>
                <w:color w:val="000000" w:themeColor="text1"/>
                <w:spacing w:val="5"/>
                <w:sz w:val="21"/>
                <w:szCs w:val="21"/>
                <w14:textFill>
                  <w14:solidFill>
                    <w14:schemeClr w14:val="tx1"/>
                  </w14:solidFill>
                </w14:textFill>
              </w:rPr>
              <w:t>表</w:t>
            </w: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1</w:t>
            </w:r>
            <w:r>
              <w:rPr>
                <w:rFonts w:hint="default" w:ascii="Times New Roman" w:hAnsi="Times New Roman" w:eastAsia="宋体" w:cs="Times New Roman"/>
                <w:b/>
                <w:bCs/>
                <w:color w:val="000000" w:themeColor="text1"/>
                <w:spacing w:val="5"/>
                <w:sz w:val="21"/>
                <w:szCs w:val="21"/>
                <w14:textFill>
                  <w14:solidFill>
                    <w14:schemeClr w14:val="tx1"/>
                  </w14:solidFill>
                </w14:textFill>
              </w:rPr>
              <w:t>-</w:t>
            </w: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 xml:space="preserve">8 </w:t>
            </w:r>
            <w:r>
              <w:rPr>
                <w:rFonts w:hint="default" w:ascii="Times New Roman" w:hAnsi="Times New Roman" w:eastAsia="宋体" w:cs="Times New Roman"/>
                <w:b/>
                <w:bCs/>
                <w:color w:val="000000" w:themeColor="text1"/>
                <w:spacing w:val="5"/>
                <w:sz w:val="21"/>
                <w:szCs w:val="21"/>
                <w14:textFill>
                  <w14:solidFill>
                    <w14:schemeClr w14:val="tx1"/>
                  </w14:solidFill>
                </w14:textFill>
              </w:rPr>
              <w:t>生态功能区划简表</w:t>
            </w:r>
          </w:p>
          <w:tbl>
            <w:tblPr>
              <w:tblStyle w:val="21"/>
              <w:tblW w:w="496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6"/>
              <w:gridCol w:w="554"/>
              <w:gridCol w:w="5640"/>
            </w:tblGrid>
            <w:tr w14:paraId="4AB62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550" w:type="pct"/>
                  <w:vMerge w:val="restart"/>
                  <w:tcBorders>
                    <w:top w:val="single" w:color="000000" w:sz="10" w:space="0"/>
                    <w:bottom w:val="nil"/>
                  </w:tcBorders>
                  <w:vAlign w:val="center"/>
                </w:tcPr>
                <w:p w14:paraId="056C00F8">
                  <w:pPr>
                    <w:pStyle w:val="22"/>
                    <w:kinsoku/>
                    <w:spacing w:before="25" w:line="233"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生态功能分区单元</w:t>
                  </w:r>
                </w:p>
              </w:tc>
              <w:tc>
                <w:tcPr>
                  <w:tcW w:w="398" w:type="pct"/>
                  <w:tcBorders>
                    <w:top w:val="single" w:color="000000" w:sz="10" w:space="0"/>
                  </w:tcBorders>
                  <w:vAlign w:val="center"/>
                </w:tcPr>
                <w:p w14:paraId="1B6DE9DC">
                  <w:pPr>
                    <w:pStyle w:val="22"/>
                    <w:kinsoku/>
                    <w:spacing w:before="58" w:line="233"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生态区</w:t>
                  </w:r>
                </w:p>
              </w:tc>
              <w:tc>
                <w:tcPr>
                  <w:tcW w:w="4051" w:type="pct"/>
                  <w:tcBorders>
                    <w:top w:val="single" w:color="000000" w:sz="10" w:space="0"/>
                    <w:right w:val="single" w:color="000000" w:sz="4" w:space="0"/>
                  </w:tcBorders>
                  <w:vAlign w:val="center"/>
                </w:tcPr>
                <w:p w14:paraId="62B16680">
                  <w:pPr>
                    <w:pStyle w:val="22"/>
                    <w:kinsoku/>
                    <w:spacing w:before="58" w:line="228"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Ⅱ准噶尔盆地温性荒漠与绿洲农业生态区</w:t>
                  </w:r>
                </w:p>
              </w:tc>
            </w:tr>
            <w:tr w14:paraId="6BB96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550" w:type="pct"/>
                  <w:vMerge w:val="continue"/>
                  <w:tcBorders>
                    <w:top w:val="nil"/>
                    <w:bottom w:val="nil"/>
                  </w:tcBorders>
                  <w:vAlign w:val="center"/>
                </w:tcPr>
                <w:p w14:paraId="48A600B5">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98" w:type="pct"/>
                  <w:vAlign w:val="center"/>
                </w:tcPr>
                <w:p w14:paraId="2375E969">
                  <w:pPr>
                    <w:pStyle w:val="22"/>
                    <w:kinsoku/>
                    <w:spacing w:before="69" w:line="233"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生态亚区</w:t>
                  </w:r>
                </w:p>
              </w:tc>
              <w:tc>
                <w:tcPr>
                  <w:tcW w:w="4051" w:type="pct"/>
                  <w:tcBorders>
                    <w:right w:val="single" w:color="000000" w:sz="4" w:space="0"/>
                  </w:tcBorders>
                  <w:vAlign w:val="center"/>
                </w:tcPr>
                <w:p w14:paraId="7D8829D2">
                  <w:pPr>
                    <w:pStyle w:val="22"/>
                    <w:kinsoku/>
                    <w:spacing w:before="69" w:line="241"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6"/>
                      <w:sz w:val="21"/>
                      <w:szCs w:val="21"/>
                      <w:lang w:eastAsia="zh-CN"/>
                      <w14:textFill>
                        <w14:solidFill>
                          <w14:schemeClr w14:val="tx1"/>
                        </w14:solidFill>
                      </w14:textFill>
                    </w:rPr>
                    <w:t xml:space="preserve">Ⅱ  </w:t>
                  </w:r>
                  <w:r>
                    <w:rPr>
                      <w:rFonts w:hint="default" w:ascii="Times New Roman" w:hAnsi="Times New Roman" w:eastAsia="宋体" w:cs="Times New Roman"/>
                      <w:color w:val="000000" w:themeColor="text1"/>
                      <w:spacing w:val="9"/>
                      <w:position w:val="-2"/>
                      <w:sz w:val="21"/>
                      <w:szCs w:val="21"/>
                      <w:vertAlign w:val="subscript"/>
                      <w:lang w:eastAsia="zh-CN"/>
                      <w14:textFill>
                        <w14:solidFill>
                          <w14:schemeClr w14:val="tx1"/>
                        </w14:solidFill>
                      </w14:textFill>
                    </w:rPr>
                    <w:t>5</w:t>
                  </w: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准噶尔盆地南部荒漠绿洲农业生态亚区</w:t>
                  </w:r>
                </w:p>
              </w:tc>
            </w:tr>
            <w:tr w14:paraId="612C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550" w:type="pct"/>
                  <w:vMerge w:val="continue"/>
                  <w:tcBorders>
                    <w:top w:val="nil"/>
                  </w:tcBorders>
                  <w:vAlign w:val="center"/>
                </w:tcPr>
                <w:p w14:paraId="425E2FD9">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98" w:type="pct"/>
                  <w:vAlign w:val="center"/>
                </w:tcPr>
                <w:p w14:paraId="325E6409">
                  <w:pPr>
                    <w:pStyle w:val="22"/>
                    <w:kinsoku/>
                    <w:spacing w:before="94" w:line="229"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生态功能区</w:t>
                  </w:r>
                </w:p>
              </w:tc>
              <w:tc>
                <w:tcPr>
                  <w:tcW w:w="4051" w:type="pct"/>
                  <w:tcBorders>
                    <w:right w:val="single" w:color="000000" w:sz="4" w:space="0"/>
                  </w:tcBorders>
                  <w:vAlign w:val="center"/>
                </w:tcPr>
                <w:p w14:paraId="6A307CB1">
                  <w:pPr>
                    <w:pStyle w:val="22"/>
                    <w:kinsoku/>
                    <w:spacing w:before="94" w:line="226"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28.阜康一木垒绿洲农业、荒漠草地保护生态功</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能区</w:t>
                  </w:r>
                </w:p>
              </w:tc>
            </w:tr>
            <w:tr w14:paraId="5079F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948" w:type="pct"/>
                  <w:gridSpan w:val="2"/>
                  <w:vAlign w:val="center"/>
                </w:tcPr>
                <w:p w14:paraId="0356CF0F">
                  <w:pPr>
                    <w:pStyle w:val="22"/>
                    <w:kinsoku/>
                    <w:spacing w:before="68"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主要生态服务功能</w:t>
                  </w:r>
                </w:p>
              </w:tc>
              <w:tc>
                <w:tcPr>
                  <w:tcW w:w="4051" w:type="pct"/>
                  <w:tcBorders>
                    <w:right w:val="single" w:color="000000" w:sz="4" w:space="0"/>
                  </w:tcBorders>
                  <w:vAlign w:val="center"/>
                </w:tcPr>
                <w:p w14:paraId="345232F7">
                  <w:pPr>
                    <w:pStyle w:val="22"/>
                    <w:kinsoku/>
                    <w:spacing w:before="68" w:line="228"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农牧业产品生产、人居环境、荒漠化控制</w:t>
                  </w:r>
                </w:p>
              </w:tc>
            </w:tr>
            <w:tr w14:paraId="521A0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948" w:type="pct"/>
                  <w:gridSpan w:val="2"/>
                  <w:vAlign w:val="center"/>
                </w:tcPr>
                <w:p w14:paraId="710345EE">
                  <w:pPr>
                    <w:pStyle w:val="22"/>
                    <w:kinsoku/>
                    <w:spacing w:before="68" w:line="228"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隶属行政区</w:t>
                  </w:r>
                </w:p>
              </w:tc>
              <w:tc>
                <w:tcPr>
                  <w:tcW w:w="4051" w:type="pct"/>
                  <w:tcBorders>
                    <w:right w:val="single" w:color="000000" w:sz="4" w:space="0"/>
                  </w:tcBorders>
                  <w:vAlign w:val="center"/>
                </w:tcPr>
                <w:p w14:paraId="259EA483">
                  <w:pPr>
                    <w:pStyle w:val="22"/>
                    <w:kinsoku/>
                    <w:spacing w:before="68" w:line="228" w:lineRule="auto"/>
                    <w:jc w:val="cente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阜康市、吉木萨尔县、奇台县、木垒县</w:t>
                  </w:r>
                </w:p>
              </w:tc>
            </w:tr>
            <w:tr w14:paraId="75219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jc w:val="center"/>
              </w:trPr>
              <w:tc>
                <w:tcPr>
                  <w:tcW w:w="948" w:type="pct"/>
                  <w:gridSpan w:val="2"/>
                  <w:vAlign w:val="center"/>
                </w:tcPr>
                <w:p w14:paraId="4AE056E0">
                  <w:pPr>
                    <w:pStyle w:val="22"/>
                    <w:kinsoku/>
                    <w:spacing w:before="60" w:line="228" w:lineRule="auto"/>
                    <w:jc w:val="center"/>
                    <w:rPr>
                      <w:rFonts w:hint="default" w:ascii="Times New Roman" w:hAnsi="Times New Roman" w:eastAsia="宋体" w:cs="Times New Roman"/>
                      <w:color w:val="000000" w:themeColor="text1"/>
                      <w:spacing w:val="9"/>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主要生态环境问题</w:t>
                  </w:r>
                </w:p>
              </w:tc>
              <w:tc>
                <w:tcPr>
                  <w:tcW w:w="4051" w:type="pct"/>
                  <w:tcBorders>
                    <w:right w:val="single" w:color="000000" w:sz="4" w:space="0"/>
                  </w:tcBorders>
                  <w:vAlign w:val="center"/>
                </w:tcPr>
                <w:p w14:paraId="1B71BB0D">
                  <w:pPr>
                    <w:pStyle w:val="22"/>
                    <w:kinsoku/>
                    <w:spacing w:before="60" w:line="228" w:lineRule="auto"/>
                    <w:jc w:val="cente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地下水超采、荒漠植被退化、沙漠化威胁、局部土壤盐渍化、河流萎缩、滥开荒地</w:t>
                  </w:r>
                </w:p>
              </w:tc>
            </w:tr>
            <w:tr w14:paraId="571FA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jc w:val="center"/>
              </w:trPr>
              <w:tc>
                <w:tcPr>
                  <w:tcW w:w="948" w:type="pct"/>
                  <w:gridSpan w:val="2"/>
                  <w:vAlign w:val="center"/>
                </w:tcPr>
                <w:p w14:paraId="247F760A">
                  <w:pPr>
                    <w:pStyle w:val="22"/>
                    <w:kinsoku/>
                    <w:spacing w:before="60" w:line="228" w:lineRule="auto"/>
                    <w:jc w:val="cente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主要生态敏感因子、敏感程度</w:t>
                  </w:r>
                </w:p>
              </w:tc>
              <w:tc>
                <w:tcPr>
                  <w:tcW w:w="4051" w:type="pct"/>
                  <w:tcBorders>
                    <w:right w:val="single" w:color="000000" w:sz="4" w:space="0"/>
                  </w:tcBorders>
                  <w:vAlign w:val="center"/>
                </w:tcPr>
                <w:p w14:paraId="48E01202">
                  <w:pPr>
                    <w:pStyle w:val="22"/>
                    <w:kinsoku/>
                    <w:spacing w:before="60" w:line="228"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生物多样性和生境中度敏感，土壤侵蚀轻度敏感、不敏感，土</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地沙漠化、土壤盐渍化不敏感</w:t>
                  </w:r>
                </w:p>
              </w:tc>
            </w:tr>
            <w:tr w14:paraId="672E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948" w:type="pct"/>
                  <w:gridSpan w:val="2"/>
                  <w:vAlign w:val="center"/>
                </w:tcPr>
                <w:p w14:paraId="75949E8B">
                  <w:pPr>
                    <w:pStyle w:val="22"/>
                    <w:kinsoku/>
                    <w:spacing w:before="65"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主要保护目标</w:t>
                  </w:r>
                </w:p>
              </w:tc>
              <w:tc>
                <w:tcPr>
                  <w:tcW w:w="4051" w:type="pct"/>
                  <w:tcBorders>
                    <w:right w:val="single" w:color="000000" w:sz="4" w:space="0"/>
                  </w:tcBorders>
                  <w:vAlign w:val="center"/>
                </w:tcPr>
                <w:p w14:paraId="61933394">
                  <w:pPr>
                    <w:pStyle w:val="22"/>
                    <w:kinsoku/>
                    <w:spacing w:before="64" w:line="227"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保护基本农田、保护荒漠植被、保护土壤环境质量</w:t>
                  </w:r>
                </w:p>
              </w:tc>
            </w:tr>
            <w:tr w14:paraId="08555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jc w:val="center"/>
              </w:trPr>
              <w:tc>
                <w:tcPr>
                  <w:tcW w:w="948" w:type="pct"/>
                  <w:gridSpan w:val="2"/>
                  <w:vAlign w:val="center"/>
                </w:tcPr>
                <w:p w14:paraId="032F7ECF">
                  <w:pPr>
                    <w:pStyle w:val="22"/>
                    <w:kinsoku/>
                    <w:spacing w:before="65" w:line="228" w:lineRule="auto"/>
                    <w:jc w:val="center"/>
                    <w:rPr>
                      <w:rFonts w:hint="default" w:ascii="Times New Roman" w:hAnsi="Times New Roman" w:eastAsia="宋体" w:cs="Times New Roman"/>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主要保护措施</w:t>
                  </w:r>
                </w:p>
              </w:tc>
              <w:tc>
                <w:tcPr>
                  <w:tcW w:w="4051" w:type="pct"/>
                  <w:tcBorders>
                    <w:right w:val="single" w:color="000000" w:sz="4" w:space="0"/>
                  </w:tcBorders>
                  <w:vAlign w:val="center"/>
                </w:tcPr>
                <w:p w14:paraId="502075D5">
                  <w:pPr>
                    <w:pStyle w:val="22"/>
                    <w:kinsoku/>
                    <w:spacing w:before="31" w:line="227"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节水灌溉、草场休牧、对前山坡耕地和北部沙化土地实施退耕还林(草)，在水源无保障、植被稀少、生态脆弱地带禁止开荒</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、加强农田投入品的使用管理</w:t>
                  </w:r>
                </w:p>
              </w:tc>
            </w:tr>
            <w:tr w14:paraId="32410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948" w:type="pct"/>
                  <w:gridSpan w:val="2"/>
                  <w:tcBorders>
                    <w:bottom w:val="single" w:color="000000" w:sz="10" w:space="0"/>
                  </w:tcBorders>
                  <w:vAlign w:val="center"/>
                </w:tcPr>
                <w:p w14:paraId="4C7C039C">
                  <w:pPr>
                    <w:pStyle w:val="22"/>
                    <w:kinsoku/>
                    <w:spacing w:before="65" w:line="228" w:lineRule="auto"/>
                    <w:jc w:val="center"/>
                    <w:rPr>
                      <w:rFonts w:hint="default" w:ascii="Times New Roman" w:hAnsi="Times New Roman" w:eastAsia="宋体" w:cs="Times New Roman"/>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主要发展方向</w:t>
                  </w:r>
                </w:p>
              </w:tc>
              <w:tc>
                <w:tcPr>
                  <w:tcW w:w="4051" w:type="pct"/>
                  <w:tcBorders>
                    <w:bottom w:val="single" w:color="000000" w:sz="10" w:space="0"/>
                    <w:right w:val="single" w:color="000000" w:sz="4" w:space="0"/>
                  </w:tcBorders>
                  <w:vAlign w:val="center"/>
                </w:tcPr>
                <w:p w14:paraId="4CA35D59">
                  <w:pPr>
                    <w:pStyle w:val="22"/>
                    <w:kinsoku/>
                    <w:spacing w:before="64" w:line="228"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lang w:eastAsia="zh-CN"/>
                      <w14:textFill>
                        <w14:solidFill>
                          <w14:schemeClr w14:val="tx1"/>
                        </w14:solidFill>
                      </w14:textFill>
                    </w:rPr>
                    <w:t>农牧结合，发展优质、高效特色农业</w:t>
                  </w:r>
                </w:p>
              </w:tc>
            </w:tr>
          </w:tbl>
          <w:p w14:paraId="046F9E75">
            <w:pPr>
              <w:pStyle w:val="22"/>
              <w:widowControl w:val="0"/>
              <w:kinsoku/>
              <w:spacing w:before="42" w:line="360" w:lineRule="auto"/>
              <w:ind w:left="4"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只有钻井期、试油期，不涉及运营期；项目建设占用的土地资源相对区域资源较少，且为临时用地；项目单井施工期较短，资源消耗量较少，不涉及地下水的开采活动。采取环保措施后，项目产生的废气、废水、噪声等对环境影响较小。项目建设符合《新疆生态功能区划》相关要求。</w:t>
            </w:r>
          </w:p>
          <w:p w14:paraId="491EAB32">
            <w:pPr>
              <w:pStyle w:val="22"/>
              <w:widowControl w:val="0"/>
              <w:kinsoku/>
              <w:spacing w:before="42" w:line="360" w:lineRule="auto"/>
              <w:jc w:val="both"/>
              <w:rPr>
                <w:rFonts w:hint="default" w:ascii="Times New Roman" w:hAnsi="Times New Roman" w:eastAsia="宋体" w:cs="Times New Roman"/>
                <w:b/>
                <w:bCs/>
                <w:color w:val="000000" w:themeColor="text1"/>
                <w:spacing w:val="-5"/>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5"/>
                <w:sz w:val="24"/>
                <w:szCs w:val="24"/>
                <w:lang w:eastAsia="zh-CN"/>
                <w14:textFill>
                  <w14:solidFill>
                    <w14:schemeClr w14:val="tx1"/>
                  </w14:solidFill>
                </w14:textFill>
              </w:rPr>
              <w:t>10.与《新疆维吾尔自治区重点行业生态环境准入条件（2024年）》（新环环评发〔2024〕93号）符合性分析</w:t>
            </w:r>
          </w:p>
          <w:p w14:paraId="389A7BF3">
            <w:pPr>
              <w:pStyle w:val="22"/>
              <w:widowControl w:val="0"/>
              <w:kinsoku/>
              <w:spacing w:line="360" w:lineRule="auto"/>
              <w:ind w:firstLine="460" w:firstLineChars="200"/>
              <w:jc w:val="both"/>
              <w:rPr>
                <w:rFonts w:hint="default" w:ascii="Times New Roman" w:hAnsi="Times New Roman" w:eastAsia="宋体" w:cs="Times New Roman"/>
                <w:b/>
                <w:bCs/>
                <w:color w:val="000000" w:themeColor="text1"/>
                <w:spacing w:val="-5"/>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项目与《新疆维吾尔自治区重点行业生态环境准入条件（2024年）》（新环环评发〔2024〕93号）符合性分析见表1-9。</w:t>
            </w:r>
          </w:p>
          <w:p w14:paraId="1991EA81">
            <w:pPr>
              <w:pStyle w:val="22"/>
              <w:widowControl w:val="0"/>
              <w:kinsoku/>
              <w:spacing w:before="1" w:line="360" w:lineRule="auto"/>
              <w:jc w:val="cente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表1-9 与《新疆维吾尔自治区重点行业生态环境准入条件</w:t>
            </w:r>
          </w:p>
          <w:p w14:paraId="0DDE0672">
            <w:pPr>
              <w:pStyle w:val="22"/>
              <w:widowControl w:val="0"/>
              <w:kinsoku/>
              <w:spacing w:before="1" w:line="360" w:lineRule="auto"/>
              <w:jc w:val="cente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（2024年）》符合性分析一览表</w:t>
            </w:r>
          </w:p>
          <w:tbl>
            <w:tblPr>
              <w:tblStyle w:val="21"/>
              <w:tblW w:w="6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8"/>
              <w:gridCol w:w="2712"/>
              <w:gridCol w:w="2986"/>
              <w:gridCol w:w="502"/>
            </w:tblGrid>
            <w:tr w14:paraId="21E4C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 w:hRule="atLeast"/>
                <w:jc w:val="center"/>
              </w:trPr>
              <w:tc>
                <w:tcPr>
                  <w:tcW w:w="518" w:type="dxa"/>
                  <w:tcBorders>
                    <w:top w:val="single" w:color="000000" w:sz="2" w:space="0"/>
                    <w:left w:val="single" w:color="000000" w:sz="2" w:space="0"/>
                  </w:tcBorders>
                  <w:vAlign w:val="center"/>
                </w:tcPr>
                <w:p w14:paraId="19AA0401">
                  <w:pPr>
                    <w:widowControl w:val="0"/>
                    <w:kinsoku/>
                    <w:spacing w:line="300" w:lineRule="exact"/>
                    <w:jc w:val="center"/>
                    <w:textAlignment w:val="auto"/>
                    <w:rPr>
                      <w:rFonts w:hint="default" w:ascii="Times New Roman" w:hAnsi="Times New Roman" w:eastAsia="宋体" w:cs="Times New Roman"/>
                      <w:b/>
                      <w:bCs/>
                      <w:snapToGrid/>
                      <w:color w:val="000000" w:themeColor="text1"/>
                      <w:kern w:val="2"/>
                      <w:lang w:eastAsia="zh-CN"/>
                      <w14:textFill>
                        <w14:solidFill>
                          <w14:schemeClr w14:val="tx1"/>
                        </w14:solidFill>
                      </w14:textFill>
                    </w:rPr>
                  </w:pPr>
                  <w:r>
                    <w:rPr>
                      <w:rFonts w:hint="default" w:ascii="Times New Roman" w:hAnsi="Times New Roman" w:eastAsia="宋体" w:cs="Times New Roman"/>
                      <w:b/>
                      <w:bCs/>
                      <w:snapToGrid/>
                      <w:color w:val="000000" w:themeColor="text1"/>
                      <w:kern w:val="2"/>
                      <w:lang w:eastAsia="zh-CN"/>
                      <w14:textFill>
                        <w14:solidFill>
                          <w14:schemeClr w14:val="tx1"/>
                        </w14:solidFill>
                      </w14:textFill>
                    </w:rPr>
                    <w:t>序号</w:t>
                  </w:r>
                </w:p>
              </w:tc>
              <w:tc>
                <w:tcPr>
                  <w:tcW w:w="2712" w:type="dxa"/>
                  <w:tcBorders>
                    <w:top w:val="single" w:color="000000" w:sz="2" w:space="0"/>
                  </w:tcBorders>
                  <w:vAlign w:val="center"/>
                </w:tcPr>
                <w:p w14:paraId="2A6863DF">
                  <w:pPr>
                    <w:widowControl w:val="0"/>
                    <w:kinsoku/>
                    <w:spacing w:line="300" w:lineRule="exact"/>
                    <w:jc w:val="center"/>
                    <w:textAlignment w:val="auto"/>
                    <w:rPr>
                      <w:rFonts w:hint="default" w:ascii="Times New Roman" w:hAnsi="Times New Roman" w:eastAsia="宋体" w:cs="Times New Roman"/>
                      <w:b/>
                      <w:bCs/>
                      <w:snapToGrid/>
                      <w:color w:val="000000" w:themeColor="text1"/>
                      <w:kern w:val="2"/>
                      <w:lang w:eastAsia="zh-CN"/>
                      <w14:textFill>
                        <w14:solidFill>
                          <w14:schemeClr w14:val="tx1"/>
                        </w14:solidFill>
                      </w14:textFill>
                    </w:rPr>
                  </w:pPr>
                  <w:r>
                    <w:rPr>
                      <w:rFonts w:hint="default" w:ascii="Times New Roman" w:hAnsi="Times New Roman" w:eastAsia="宋体" w:cs="Times New Roman"/>
                      <w:b/>
                      <w:bCs/>
                      <w:snapToGrid/>
                      <w:color w:val="000000" w:themeColor="text1"/>
                      <w:kern w:val="2"/>
                      <w:lang w:eastAsia="zh-CN"/>
                      <w14:textFill>
                        <w14:solidFill>
                          <w14:schemeClr w14:val="tx1"/>
                        </w14:solidFill>
                      </w14:textFill>
                    </w:rPr>
                    <w:t>《新疆维吾尔自治区重点行业生态环境准入条件（2024年）》中相关规定</w:t>
                  </w:r>
                </w:p>
              </w:tc>
              <w:tc>
                <w:tcPr>
                  <w:tcW w:w="2986" w:type="dxa"/>
                  <w:tcBorders>
                    <w:top w:val="single" w:color="000000" w:sz="2" w:space="0"/>
                  </w:tcBorders>
                  <w:vAlign w:val="center"/>
                </w:tcPr>
                <w:p w14:paraId="01CC1CC2">
                  <w:pPr>
                    <w:widowControl w:val="0"/>
                    <w:kinsoku/>
                    <w:spacing w:line="300" w:lineRule="exact"/>
                    <w:jc w:val="center"/>
                    <w:textAlignment w:val="auto"/>
                    <w:rPr>
                      <w:rFonts w:hint="default" w:ascii="Times New Roman" w:hAnsi="Times New Roman" w:eastAsia="宋体" w:cs="Times New Roman"/>
                      <w:b/>
                      <w:bCs/>
                      <w:snapToGrid/>
                      <w:color w:val="000000" w:themeColor="text1"/>
                      <w:kern w:val="2"/>
                      <w:lang w:eastAsia="zh-CN"/>
                      <w14:textFill>
                        <w14:solidFill>
                          <w14:schemeClr w14:val="tx1"/>
                        </w14:solidFill>
                      </w14:textFill>
                    </w:rPr>
                  </w:pPr>
                  <w:r>
                    <w:rPr>
                      <w:rFonts w:hint="default" w:ascii="Times New Roman" w:hAnsi="Times New Roman" w:eastAsia="宋体" w:cs="Times New Roman"/>
                      <w:b/>
                      <w:bCs/>
                      <w:snapToGrid/>
                      <w:color w:val="000000" w:themeColor="text1"/>
                      <w:kern w:val="2"/>
                      <w:lang w:eastAsia="zh-CN"/>
                      <w14:textFill>
                        <w14:solidFill>
                          <w14:schemeClr w14:val="tx1"/>
                        </w14:solidFill>
                      </w14:textFill>
                    </w:rPr>
                    <w:t>本项目采取的相关措施</w:t>
                  </w:r>
                </w:p>
              </w:tc>
              <w:tc>
                <w:tcPr>
                  <w:tcW w:w="502" w:type="dxa"/>
                  <w:tcBorders>
                    <w:top w:val="single" w:color="000000" w:sz="2" w:space="0"/>
                  </w:tcBorders>
                  <w:vAlign w:val="center"/>
                </w:tcPr>
                <w:p w14:paraId="0E78018A">
                  <w:pPr>
                    <w:widowControl w:val="0"/>
                    <w:kinsoku/>
                    <w:spacing w:line="300" w:lineRule="exact"/>
                    <w:jc w:val="center"/>
                    <w:textAlignment w:val="auto"/>
                    <w:rPr>
                      <w:rFonts w:hint="default" w:ascii="Times New Roman" w:hAnsi="Times New Roman" w:eastAsia="宋体" w:cs="Times New Roman"/>
                      <w:b/>
                      <w:bCs/>
                      <w:snapToGrid/>
                      <w:color w:val="000000" w:themeColor="text1"/>
                      <w:kern w:val="2"/>
                      <w:lang w:eastAsia="zh-CN"/>
                      <w14:textFill>
                        <w14:solidFill>
                          <w14:schemeClr w14:val="tx1"/>
                        </w14:solidFill>
                      </w14:textFill>
                    </w:rPr>
                  </w:pPr>
                  <w:r>
                    <w:rPr>
                      <w:rFonts w:hint="default" w:ascii="Times New Roman" w:hAnsi="Times New Roman" w:eastAsia="宋体" w:cs="Times New Roman"/>
                      <w:b/>
                      <w:bCs/>
                      <w:snapToGrid/>
                      <w:color w:val="000000" w:themeColor="text1"/>
                      <w:kern w:val="2"/>
                      <w:lang w:eastAsia="zh-CN"/>
                      <w14:textFill>
                        <w14:solidFill>
                          <w14:schemeClr w14:val="tx1"/>
                        </w14:solidFill>
                      </w14:textFill>
                    </w:rPr>
                    <w:t>分析</w:t>
                  </w:r>
                </w:p>
                <w:p w14:paraId="2CDFD46B">
                  <w:pPr>
                    <w:widowControl w:val="0"/>
                    <w:kinsoku/>
                    <w:spacing w:line="300" w:lineRule="exact"/>
                    <w:jc w:val="center"/>
                    <w:textAlignment w:val="auto"/>
                    <w:rPr>
                      <w:rFonts w:hint="default" w:ascii="Times New Roman" w:hAnsi="Times New Roman" w:eastAsia="宋体" w:cs="Times New Roman"/>
                      <w:b/>
                      <w:bCs/>
                      <w:snapToGrid/>
                      <w:color w:val="000000" w:themeColor="text1"/>
                      <w:kern w:val="2"/>
                      <w:lang w:eastAsia="zh-CN"/>
                      <w14:textFill>
                        <w14:solidFill>
                          <w14:schemeClr w14:val="tx1"/>
                        </w14:solidFill>
                      </w14:textFill>
                    </w:rPr>
                  </w:pPr>
                  <w:r>
                    <w:rPr>
                      <w:rFonts w:hint="default" w:ascii="Times New Roman" w:hAnsi="Times New Roman" w:eastAsia="宋体" w:cs="Times New Roman"/>
                      <w:b/>
                      <w:bCs/>
                      <w:snapToGrid/>
                      <w:color w:val="000000" w:themeColor="text1"/>
                      <w:kern w:val="2"/>
                      <w:lang w:eastAsia="zh-CN"/>
                      <w14:textFill>
                        <w14:solidFill>
                          <w14:schemeClr w14:val="tx1"/>
                        </w14:solidFill>
                      </w14:textFill>
                    </w:rPr>
                    <w:t>结论</w:t>
                  </w:r>
                </w:p>
              </w:tc>
            </w:tr>
            <w:tr w14:paraId="6AD2E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8" w:type="dxa"/>
                  <w:tcBorders>
                    <w:left w:val="single" w:color="000000" w:sz="2" w:space="0"/>
                  </w:tcBorders>
                  <w:vAlign w:val="center"/>
                </w:tcPr>
                <w:p w14:paraId="611B37D6">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1</w:t>
                  </w:r>
                </w:p>
              </w:tc>
              <w:tc>
                <w:tcPr>
                  <w:tcW w:w="2712" w:type="dxa"/>
                  <w:vAlign w:val="center"/>
                </w:tcPr>
                <w:p w14:paraId="6C39FC15">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施工期应当尽量减少施工占地、严格控制施工作业面积、缩短施工时间、选择合理施工方式、落实环境敏感区管控要求以及其他生态环境保护措施，有效降低生态环境影响。</w:t>
                  </w:r>
                </w:p>
              </w:tc>
              <w:tc>
                <w:tcPr>
                  <w:tcW w:w="2986" w:type="dxa"/>
                  <w:vAlign w:val="center"/>
                </w:tcPr>
                <w:p w14:paraId="0788AEB0">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本项目严格控制施工作业面积、减少施工占地、选择合理施工方式、落实环境敏感区管控要求以及其他生态环境保护措施，有效降低生态环境影响。</w:t>
                  </w:r>
                </w:p>
              </w:tc>
              <w:tc>
                <w:tcPr>
                  <w:tcW w:w="502" w:type="dxa"/>
                  <w:vAlign w:val="center"/>
                </w:tcPr>
                <w:p w14:paraId="21A24F8F">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符合</w:t>
                  </w:r>
                </w:p>
              </w:tc>
            </w:tr>
            <w:tr w14:paraId="5C56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7" w:hRule="atLeast"/>
                <w:jc w:val="center"/>
              </w:trPr>
              <w:tc>
                <w:tcPr>
                  <w:tcW w:w="518" w:type="dxa"/>
                  <w:tcBorders>
                    <w:left w:val="single" w:color="000000" w:sz="2" w:space="0"/>
                  </w:tcBorders>
                  <w:vAlign w:val="center"/>
                </w:tcPr>
                <w:p w14:paraId="39175E23">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2</w:t>
                  </w:r>
                </w:p>
              </w:tc>
              <w:tc>
                <w:tcPr>
                  <w:tcW w:w="2712" w:type="dxa"/>
                  <w:vAlign w:val="center"/>
                </w:tcPr>
                <w:p w14:paraId="50832B5F">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w:t>
                  </w:r>
                </w:p>
              </w:tc>
              <w:tc>
                <w:tcPr>
                  <w:tcW w:w="2986" w:type="dxa"/>
                  <w:vAlign w:val="center"/>
                </w:tcPr>
                <w:p w14:paraId="5323C05D">
                  <w:pPr>
                    <w:pStyle w:val="15"/>
                    <w:keepNext w:val="0"/>
                    <w:keepLines w:val="0"/>
                    <w:widowControl/>
                    <w:suppressLineNumbers w:val="0"/>
                    <w:spacing w:beforeAutospacing="1" w:afterAutospacing="1"/>
                    <w:jc w:val="both"/>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本项目试油期原油及废水均不设敞口水池，采用密闭储罐储存，并严格控制储罐呼吸阀开启频次以减少储存损失；油基岩屑采用密闭铁质专用方罐暂存；试油伴生气经地面排气管线引至放喷点充分点火燃烧后放空，将烃类转化为二氧化碳和水。经上述全密闭收集与燃烧治理等有效管控措施后，站场边界非甲烷总烃排放浓度可稳定满足《陆上石油天然气开采工业大气污染物排放标准》（GB39728-2020）标准限值，符合VOCs管控要求。</w:t>
                  </w:r>
                </w:p>
              </w:tc>
              <w:tc>
                <w:tcPr>
                  <w:tcW w:w="502" w:type="dxa"/>
                  <w:vAlign w:val="center"/>
                </w:tcPr>
                <w:p w14:paraId="1D979C5C">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符合</w:t>
                  </w:r>
                </w:p>
              </w:tc>
            </w:tr>
            <w:tr w14:paraId="3E64D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5" w:hRule="atLeast"/>
                <w:jc w:val="center"/>
              </w:trPr>
              <w:tc>
                <w:tcPr>
                  <w:tcW w:w="518" w:type="dxa"/>
                  <w:tcBorders>
                    <w:left w:val="single" w:color="000000" w:sz="2" w:space="0"/>
                  </w:tcBorders>
                  <w:vAlign w:val="center"/>
                </w:tcPr>
                <w:p w14:paraId="718E2429">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3</w:t>
                  </w:r>
                </w:p>
              </w:tc>
              <w:tc>
                <w:tcPr>
                  <w:tcW w:w="2712" w:type="dxa"/>
                  <w:vAlign w:val="center"/>
                </w:tcPr>
                <w:p w14:paraId="750E3E6A">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压裂废液、酸化废液等井下作业废水应100%返排入罐。</w:t>
                  </w:r>
                </w:p>
              </w:tc>
              <w:tc>
                <w:tcPr>
                  <w:tcW w:w="2986" w:type="dxa"/>
                  <w:vAlign w:val="center"/>
                </w:tcPr>
                <w:p w14:paraId="3E7D5CB9">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本项目井下作业废水采取带罐作业，井下作业废水全部回收，</w:t>
                  </w:r>
                  <w:r>
                    <w:rPr>
                      <w:rFonts w:hint="default" w:ascii="Times New Roman" w:hAnsi="Times New Roman" w:eastAsia="宋体" w:cs="Times New Roman"/>
                      <w:color w:val="000000" w:themeColor="text1"/>
                      <w:lang w:eastAsia="zh-CN"/>
                      <w14:textFill>
                        <w14:solidFill>
                          <w14:schemeClr w14:val="tx1"/>
                        </w14:solidFill>
                      </w14:textFill>
                    </w:rPr>
                    <w:t>拉运到</w:t>
                  </w:r>
                  <w:r>
                    <w:rPr>
                      <w:rFonts w:hint="default" w:ascii="Times New Roman" w:hAnsi="Times New Roman" w:eastAsia="宋体" w:cs="Times New Roman"/>
                      <w:color w:val="000000" w:themeColor="text1"/>
                      <w:lang w:val="en-US" w:eastAsia="zh-CN"/>
                      <w14:textFill>
                        <w14:solidFill>
                          <w14:schemeClr w14:val="tx1"/>
                        </w14:solidFill>
                      </w14:textFill>
                    </w:rPr>
                    <w:t>吉康</w:t>
                  </w:r>
                  <w:r>
                    <w:rPr>
                      <w:rFonts w:hint="default" w:ascii="Times New Roman" w:hAnsi="Times New Roman" w:eastAsia="宋体" w:cs="Times New Roman"/>
                      <w:color w:val="000000" w:themeColor="text1"/>
                      <w:lang w:eastAsia="zh-CN"/>
                      <w14:textFill>
                        <w14:solidFill>
                          <w14:schemeClr w14:val="tx1"/>
                        </w14:solidFill>
                      </w14:textFill>
                    </w:rPr>
                    <w:t>脱水站并处理达标后，全部回注油藏</w:t>
                  </w:r>
                  <w:r>
                    <w:rPr>
                      <w:rFonts w:hint="default" w:ascii="Times New Roman" w:hAnsi="Times New Roman" w:eastAsia="宋体" w:cs="Times New Roman"/>
                      <w:snapToGrid/>
                      <w:color w:val="000000" w:themeColor="text1"/>
                      <w:kern w:val="2"/>
                      <w:lang w:eastAsia="zh-CN"/>
                      <w14:textFill>
                        <w14:solidFill>
                          <w14:schemeClr w14:val="tx1"/>
                        </w14:solidFill>
                      </w14:textFill>
                    </w:rPr>
                    <w:t>。</w:t>
                  </w:r>
                </w:p>
              </w:tc>
              <w:tc>
                <w:tcPr>
                  <w:tcW w:w="502" w:type="dxa"/>
                  <w:vAlign w:val="center"/>
                </w:tcPr>
                <w:p w14:paraId="6A5AF48E">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符合</w:t>
                  </w:r>
                </w:p>
              </w:tc>
            </w:tr>
            <w:tr w14:paraId="3FD57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9" w:hRule="atLeast"/>
                <w:jc w:val="center"/>
              </w:trPr>
              <w:tc>
                <w:tcPr>
                  <w:tcW w:w="518" w:type="dxa"/>
                  <w:tcBorders>
                    <w:left w:val="single" w:color="000000" w:sz="2" w:space="0"/>
                  </w:tcBorders>
                  <w:vAlign w:val="center"/>
                </w:tcPr>
                <w:p w14:paraId="3D04C09A">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4</w:t>
                  </w:r>
                </w:p>
              </w:tc>
              <w:tc>
                <w:tcPr>
                  <w:tcW w:w="2712" w:type="dxa"/>
                  <w:vAlign w:val="center"/>
                </w:tcPr>
                <w:p w14:paraId="7A5DBA72">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2986" w:type="dxa"/>
                  <w:vAlign w:val="center"/>
                </w:tcPr>
                <w:p w14:paraId="78C693D5">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本项目井下作业</w:t>
                  </w:r>
                  <w:r>
                    <w:rPr>
                      <w:rFonts w:hint="default" w:ascii="Times New Roman" w:hAnsi="Times New Roman" w:eastAsia="宋体" w:cs="Times New Roman"/>
                      <w:color w:val="000000" w:themeColor="text1"/>
                      <w:lang w:eastAsia="zh-CN"/>
                      <w14:textFill>
                        <w14:solidFill>
                          <w14:schemeClr w14:val="tx1"/>
                        </w14:solidFill>
                      </w14:textFill>
                    </w:rPr>
                    <w:t>废水拉运到</w:t>
                  </w:r>
                  <w:r>
                    <w:rPr>
                      <w:rFonts w:hint="default" w:ascii="Times New Roman" w:hAnsi="Times New Roman" w:eastAsia="宋体" w:cs="Times New Roman"/>
                      <w:color w:val="000000" w:themeColor="text1"/>
                      <w:lang w:val="en-US" w:eastAsia="zh-CN"/>
                      <w14:textFill>
                        <w14:solidFill>
                          <w14:schemeClr w14:val="tx1"/>
                        </w14:solidFill>
                      </w14:textFill>
                    </w:rPr>
                    <w:t>吉康</w:t>
                  </w:r>
                  <w:r>
                    <w:rPr>
                      <w:rFonts w:hint="default" w:ascii="Times New Roman" w:hAnsi="Times New Roman" w:eastAsia="宋体" w:cs="Times New Roman"/>
                      <w:color w:val="000000" w:themeColor="text1"/>
                      <w:lang w:eastAsia="zh-CN"/>
                      <w14:textFill>
                        <w14:solidFill>
                          <w14:schemeClr w14:val="tx1"/>
                        </w14:solidFill>
                      </w14:textFill>
                    </w:rPr>
                    <w:t>脱水站并处理达标后，全部回注油藏</w:t>
                  </w:r>
                  <w:r>
                    <w:rPr>
                      <w:rFonts w:hint="default" w:ascii="Times New Roman" w:hAnsi="Times New Roman" w:eastAsia="宋体" w:cs="Times New Roman"/>
                      <w:snapToGrid/>
                      <w:color w:val="000000" w:themeColor="text1"/>
                      <w:kern w:val="2"/>
                      <w:lang w:eastAsia="zh-CN"/>
                      <w14:textFill>
                        <w14:solidFill>
                          <w14:schemeClr w14:val="tx1"/>
                        </w14:solidFill>
                      </w14:textFill>
                    </w:rPr>
                    <w:t>。</w:t>
                  </w:r>
                </w:p>
              </w:tc>
              <w:tc>
                <w:tcPr>
                  <w:tcW w:w="502" w:type="dxa"/>
                  <w:vAlign w:val="center"/>
                </w:tcPr>
                <w:p w14:paraId="75224C49">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符合</w:t>
                  </w:r>
                </w:p>
              </w:tc>
            </w:tr>
            <w:tr w14:paraId="6B740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8" w:type="dxa"/>
                  <w:tcBorders>
                    <w:left w:val="single" w:color="000000" w:sz="2" w:space="0"/>
                  </w:tcBorders>
                  <w:vAlign w:val="center"/>
                </w:tcPr>
                <w:p w14:paraId="7BD285FD">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5</w:t>
                  </w:r>
                </w:p>
              </w:tc>
              <w:tc>
                <w:tcPr>
                  <w:tcW w:w="2712" w:type="dxa"/>
                  <w:vAlign w:val="center"/>
                </w:tcPr>
                <w:p w14:paraId="566B393D">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废弃钻井泥浆及岩屑应采取“泥浆不落地”工艺，勘探、开发过程产生的落地原油回收率应达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2986" w:type="dxa"/>
                  <w:vAlign w:val="center"/>
                </w:tcPr>
                <w:p w14:paraId="6A7FBC96">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本项目废弃钻井泥浆及岩屑采取“泥浆不落地”工艺，勘探、开发过程产生的落地原油回收率达到100%。针对不同开钻阶段产生的固废，本着“从严管理”的原则实行分类分质处置：一开阶段产生的废弃水基钻井泥浆及岩屑，经“泥浆不落地”设备处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由建设单位负责监管，及时联系并委托具有相应环保处理能力的第三方单位。物料在井场暂存期间均处于密闭储罐内，随后由第三方单位采用密封车辆外运至其处理基地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后续的检测、资源化利用或最终处置均由第三方单位依法依规在场外实施</w:t>
                  </w:r>
                  <w:r>
                    <w:rPr>
                      <w:rFonts w:hint="default" w:ascii="Times New Roman" w:hAnsi="Times New Roman" w:eastAsia="宋体" w:cs="Times New Roman"/>
                      <w:snapToGrid/>
                      <w:color w:val="000000" w:themeColor="text1"/>
                      <w:kern w:val="2"/>
                      <w:sz w:val="21"/>
                      <w:szCs w:val="21"/>
                      <w:lang w:eastAsia="zh-CN"/>
                      <w14:textFill>
                        <w14:solidFill>
                          <w14:schemeClr w14:val="tx1"/>
                        </w14:solidFill>
                      </w14:textFill>
                    </w:rPr>
                    <w:t>；</w:t>
                  </w:r>
                  <w:r>
                    <w:rPr>
                      <w:rFonts w:hint="default" w:ascii="Times New Roman" w:hAnsi="Times New Roman" w:eastAsia="宋体" w:cs="Times New Roman"/>
                      <w:snapToGrid/>
                      <w:color w:val="000000" w:themeColor="text1"/>
                      <w:kern w:val="2"/>
                      <w:lang w:eastAsia="zh-CN"/>
                      <w14:textFill>
                        <w14:solidFill>
                          <w14:schemeClr w14:val="tx1"/>
                        </w14:solidFill>
                      </w14:textFill>
                    </w:rPr>
                    <w:t>二开阶段产生的废弃油基钻井泥浆及岩屑属于危险废物，须严格分类收集；三开阶段虽使用水基钻井液，但考虑到存在沾染二开阶段油类物质的风险，在对含油量进行检测之前，其产生的泥浆及岩屑须暂按危险废物进行严格管理和处置；待检测结果出具后，若含油量检测结果显示属于危险废物，则继续按照危险废物进行合规处置；若含油量检测结果满足相关标准（不属于危险废物），则按照一般工业固体废物进行处置。所有废弃油基钻井泥浆按危废管理的沾染岩屑及其他危险废物，均按照国家有关规定制定危险废物管理计划，建立危险废物管理台账，委托有相应资质的单位进行无害化处置。</w:t>
                  </w:r>
                </w:p>
              </w:tc>
              <w:tc>
                <w:tcPr>
                  <w:tcW w:w="502" w:type="dxa"/>
                  <w:vAlign w:val="center"/>
                </w:tcPr>
                <w:p w14:paraId="4172C81E">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符合</w:t>
                  </w:r>
                </w:p>
              </w:tc>
            </w:tr>
            <w:tr w14:paraId="067D5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jc w:val="center"/>
              </w:trPr>
              <w:tc>
                <w:tcPr>
                  <w:tcW w:w="518" w:type="dxa"/>
                  <w:tcBorders>
                    <w:left w:val="single" w:color="000000" w:sz="2" w:space="0"/>
                  </w:tcBorders>
                  <w:vAlign w:val="center"/>
                </w:tcPr>
                <w:p w14:paraId="5DABD48E">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6</w:t>
                  </w:r>
                </w:p>
              </w:tc>
              <w:tc>
                <w:tcPr>
                  <w:tcW w:w="2712" w:type="dxa"/>
                  <w:vAlign w:val="center"/>
                </w:tcPr>
                <w:p w14:paraId="240620EE">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噪声排放应达到《工业企业厂界环境噪声排放标准》（GB12348）要求。</w:t>
                  </w:r>
                </w:p>
              </w:tc>
              <w:tc>
                <w:tcPr>
                  <w:tcW w:w="2986" w:type="dxa"/>
                  <w:vAlign w:val="center"/>
                </w:tcPr>
                <w:p w14:paraId="1A2A2008">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项目噪声排放应达到《工业企业厂界环境噪声排放标准》（GB12348-2008）要求。</w:t>
                  </w:r>
                </w:p>
              </w:tc>
              <w:tc>
                <w:tcPr>
                  <w:tcW w:w="502" w:type="dxa"/>
                  <w:vAlign w:val="center"/>
                </w:tcPr>
                <w:p w14:paraId="5D1B9704">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符合</w:t>
                  </w:r>
                </w:p>
              </w:tc>
            </w:tr>
            <w:tr w14:paraId="459B6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jc w:val="center"/>
              </w:trPr>
              <w:tc>
                <w:tcPr>
                  <w:tcW w:w="518" w:type="dxa"/>
                  <w:tcBorders>
                    <w:left w:val="single" w:color="000000" w:sz="2" w:space="0"/>
                  </w:tcBorders>
                  <w:vAlign w:val="center"/>
                </w:tcPr>
                <w:p w14:paraId="10D53D8D">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7</w:t>
                  </w:r>
                </w:p>
              </w:tc>
              <w:tc>
                <w:tcPr>
                  <w:tcW w:w="2712" w:type="dxa"/>
                  <w:vAlign w:val="center"/>
                </w:tcPr>
                <w:p w14:paraId="5FA6F887">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对拟退役的废弃井（站）场、管道、道路等工程设施应进行生态修复，生态修复前应对废弃油（气）井、管道进行封堵或设施拆除，确保无土壤及地下水环境污染遗留问题、废弃物得到妥善处置。</w:t>
                  </w:r>
                </w:p>
              </w:tc>
              <w:tc>
                <w:tcPr>
                  <w:tcW w:w="2986" w:type="dxa"/>
                  <w:vAlign w:val="center"/>
                </w:tcPr>
                <w:p w14:paraId="239936A0">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对拟退役的废弃井（站）场、道路等工程设施进行生态修复，生态修复前对废弃井进行封堵或设施拆除，确保无土壤及地下水环境污染遗留问题、废弃物得到妥善处置。</w:t>
                  </w:r>
                </w:p>
              </w:tc>
              <w:tc>
                <w:tcPr>
                  <w:tcW w:w="502" w:type="dxa"/>
                  <w:vAlign w:val="center"/>
                </w:tcPr>
                <w:p w14:paraId="47D15AF6">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符合</w:t>
                  </w:r>
                </w:p>
              </w:tc>
            </w:tr>
            <w:tr w14:paraId="00B68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jc w:val="center"/>
              </w:trPr>
              <w:tc>
                <w:tcPr>
                  <w:tcW w:w="518" w:type="dxa"/>
                  <w:tcBorders>
                    <w:left w:val="single" w:color="000000" w:sz="2" w:space="0"/>
                  </w:tcBorders>
                  <w:vAlign w:val="center"/>
                </w:tcPr>
                <w:p w14:paraId="277B35B3">
                  <w:pPr>
                    <w:widowControl w:val="0"/>
                    <w:kinsoku/>
                    <w:spacing w:line="300" w:lineRule="exact"/>
                    <w:jc w:val="center"/>
                    <w:textAlignment w:val="auto"/>
                    <w:rPr>
                      <w:rFonts w:hint="default" w:ascii="Times New Roman" w:hAnsi="Times New Roman" w:eastAsia="宋体" w:cs="Times New Roman"/>
                      <w:snapToGrid/>
                      <w:color w:val="000000" w:themeColor="text1"/>
                      <w:kern w:val="2"/>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lang w:val="en-US" w:eastAsia="zh-CN"/>
                      <w14:textFill>
                        <w14:solidFill>
                          <w14:schemeClr w14:val="tx1"/>
                        </w14:solidFill>
                      </w14:textFill>
                    </w:rPr>
                    <w:t>8</w:t>
                  </w:r>
                </w:p>
              </w:tc>
              <w:tc>
                <w:tcPr>
                  <w:tcW w:w="2712" w:type="dxa"/>
                  <w:vAlign w:val="center"/>
                </w:tcPr>
                <w:p w14:paraId="188455FD">
                  <w:pPr>
                    <w:widowControl w:val="0"/>
                    <w:kinsoku/>
                    <w:spacing w:line="300" w:lineRule="exact"/>
                    <w:jc w:val="both"/>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加强油气开采土壤及地下水污染防治。涉油、涉危废、涉井下作业废水等高污染风险区域应当严格落实重点防渗措施，严防油品及有害物质滴漏渗漏污染土壤环境。</w:t>
                  </w:r>
                </w:p>
              </w:tc>
              <w:tc>
                <w:tcPr>
                  <w:tcW w:w="2986" w:type="dxa"/>
                  <w:vAlign w:val="center"/>
                </w:tcPr>
                <w:p w14:paraId="5C754BF9">
                  <w:pPr>
                    <w:widowControl w:val="0"/>
                    <w:kinsoku/>
                    <w:spacing w:line="300" w:lineRule="exact"/>
                    <w:jc w:val="both"/>
                    <w:textAlignment w:val="auto"/>
                    <w:rPr>
                      <w:rFonts w:hint="eastAsia" w:ascii="Times New Roman" w:hAnsi="Times New Roman" w:eastAsia="宋体" w:cs="Times New Roman"/>
                      <w:b w:val="0"/>
                      <w:bCs w:val="0"/>
                      <w:snapToGrid/>
                      <w:color w:val="000000" w:themeColor="text1"/>
                      <w:kern w:val="2"/>
                      <w:lang w:eastAsia="zh-CN"/>
                      <w14:textFill>
                        <w14:solidFill>
                          <w14:schemeClr w14:val="tx1"/>
                        </w14:solidFill>
                      </w14:textFill>
                    </w:rPr>
                  </w:pPr>
                  <w:r>
                    <w:rPr>
                      <w:rFonts w:hint="default" w:ascii="Times New Roman" w:hAnsi="Times New Roman" w:eastAsia="宋体" w:cs="Times New Roman"/>
                      <w:snapToGrid/>
                      <w:color w:val="000000" w:themeColor="text1"/>
                      <w:kern w:val="2"/>
                      <w:lang w:eastAsia="zh-CN"/>
                      <w14:textFill>
                        <w14:solidFill>
                          <w14:schemeClr w14:val="tx1"/>
                        </w14:solidFill>
                      </w14:textFill>
                    </w:rPr>
                    <w:t>本项目对井场实施严格的分区防渗管控。针对油品及化学品泄漏高风险区（柴油罐区、发电机房、泥浆及岩屑不落地系统区、危险废物暂存区、采出液及试油废水罐区等）全部划定为重点防渗区。重点防渗区地面均铺设HDPE防渗膜，防渗标准严格落实等效黏土防渗层Mb≥6.0m，渗透系数K≤1.0×10⁻⁷cm/s的技术要求</w:t>
                  </w:r>
                  <w:r>
                    <w:rPr>
                      <w:rFonts w:hint="eastAsia" w:ascii="Times New Roman" w:hAnsi="Times New Roman" w:eastAsia="宋体" w:cs="Times New Roman"/>
                      <w:snapToGrid/>
                      <w:color w:val="000000" w:themeColor="text1"/>
                      <w:kern w:val="2"/>
                      <w:lang w:eastAsia="zh-CN"/>
                      <w14:textFill>
                        <w14:solidFill>
                          <w14:schemeClr w14:val="tx1"/>
                        </w14:solidFill>
                      </w14:textFill>
                    </w:rPr>
                    <w:t>，</w:t>
                  </w:r>
                  <w:r>
                    <w:rPr>
                      <w:rFonts w:hint="default" w:ascii="Times New Roman" w:hAnsi="Times New Roman" w:eastAsia="宋体" w:cs="Times New Roman"/>
                      <w:snapToGrid/>
                      <w:color w:val="000000" w:themeColor="text1"/>
                      <w:kern w:val="2"/>
                      <w:lang w:eastAsia="zh-CN"/>
                      <w14:textFill>
                        <w14:solidFill>
                          <w14:schemeClr w14:val="tx1"/>
                        </w14:solidFill>
                      </w14:textFill>
                    </w:rPr>
                    <w:t>通过高标准的物理隔离防渗，从源头切断了污染物进入地表土壤及地下水的途径，符合土壤污染防治要求</w:t>
                  </w:r>
                  <w:r>
                    <w:rPr>
                      <w:rFonts w:hint="eastAsia" w:ascii="Times New Roman" w:hAnsi="Times New Roman" w:eastAsia="宋体" w:cs="Times New Roman"/>
                      <w:snapToGrid/>
                      <w:color w:val="000000" w:themeColor="text1"/>
                      <w:kern w:val="2"/>
                      <w:lang w:eastAsia="zh-CN"/>
                      <w14:textFill>
                        <w14:solidFill>
                          <w14:schemeClr w14:val="tx1"/>
                        </w14:solidFill>
                      </w14:textFill>
                    </w:rPr>
                    <w:t>。</w:t>
                  </w:r>
                </w:p>
              </w:tc>
              <w:tc>
                <w:tcPr>
                  <w:tcW w:w="502" w:type="dxa"/>
                  <w:vAlign w:val="center"/>
                </w:tcPr>
                <w:p w14:paraId="204E959E">
                  <w:pPr>
                    <w:widowControl w:val="0"/>
                    <w:kinsoku/>
                    <w:spacing w:line="300" w:lineRule="exact"/>
                    <w:jc w:val="center"/>
                    <w:textAlignment w:val="auto"/>
                    <w:rPr>
                      <w:rFonts w:hint="default" w:ascii="Times New Roman" w:hAnsi="Times New Roman" w:eastAsia="宋体" w:cs="Times New Roman"/>
                      <w:snapToGrid/>
                      <w:color w:val="000000" w:themeColor="text1"/>
                      <w:kern w:val="2"/>
                      <w:lang w:eastAsia="zh-CN"/>
                      <w14:textFill>
                        <w14:solidFill>
                          <w14:schemeClr w14:val="tx1"/>
                        </w14:solidFill>
                      </w14:textFill>
                    </w:rPr>
                  </w:pPr>
                </w:p>
              </w:tc>
            </w:tr>
          </w:tbl>
          <w:p w14:paraId="76AA7424">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.与《新疆维吾尔自治区大气污染防治条例》符合性分析</w:t>
            </w:r>
          </w:p>
          <w:p w14:paraId="04367E58">
            <w:pPr>
              <w:pStyle w:val="22"/>
              <w:widowControl w:val="0"/>
              <w:kinsoku/>
              <w:spacing w:before="35" w:line="359" w:lineRule="auto"/>
              <w:ind w:left="3" w:right="87" w:firstLine="486"/>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新疆维吾尔自治区大气污染防治条例》第三十七条规定：各级人民政府应当加强对建设施工、矿产资源开采、物料运输的扬尘和沙尘污染的治理，保持道路清洁、控制堆料和渣土堆放，科学合理扩大绿地、水面、湿地、地面铺装和防风固沙绿化面积</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,防治扬尘污染。第四十四条矿山开采产生的废石、废</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渣、泥土</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等应当堆放到专门存放地，并采取围挡、设置防尘网或者防尘布等防尘措施；施工便道应当硬化。</w:t>
            </w:r>
          </w:p>
          <w:p w14:paraId="3999B3C9">
            <w:pPr>
              <w:pStyle w:val="22"/>
              <w:widowControl w:val="0"/>
              <w:kinsoku/>
              <w:spacing w:before="7" w:line="359" w:lineRule="auto"/>
              <w:ind w:left="4" w:right="3"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期严格落实扬尘污染防治措施，施工便道采取压实硬化处理，运输车辆采取密闭或遮盖措施；针对钻井岩屑，项目采用“泥浆不落地”工艺进行分类收集与精细化处置，从源头杜绝扬尘污染。其中，一开阶段产生的岩屑（水基）经不落地设备处理并检测达到《油气田钻井固体废物综合利用污染控制要求》（DB 65/T3997-2017）等相关标准限值后，用于铺设通井路、铺垫钻井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井场</w:t>
            </w:r>
            <w:r>
              <w:rPr>
                <w:rFonts w:hint="default" w:ascii="Times New Roman" w:hAnsi="Times New Roman" w:eastAsia="宋体" w:cs="Times New Roman"/>
                <w:color w:val="000000" w:themeColor="text1"/>
                <w:sz w:val="24"/>
                <w:szCs w:val="24"/>
                <w14:textFill>
                  <w14:solidFill>
                    <w14:schemeClr w14:val="tx1"/>
                  </w14:solidFill>
                </w14:textFill>
              </w:rPr>
              <w:t>基础材料，既实现了资源化利用又起到了地面覆盖防尘的作用；</w:t>
            </w:r>
            <w:r>
              <w:rPr>
                <w:rFonts w:hint="default" w:ascii="Times New Roman" w:hAnsi="Times New Roman" w:eastAsia="宋体" w:cs="Times New Roman"/>
                <w:color w:val="000000" w:themeColor="text1"/>
                <w:sz w:val="24"/>
                <w:szCs w:val="24"/>
                <w:highlight w:val="none"/>
                <w14:textFill>
                  <w14:solidFill>
                    <w14:schemeClr w14:val="tx1"/>
                  </w14:solidFill>
                </w14:textFill>
              </w:rPr>
              <w:t>二开阶段产生的岩屑（油基）属于危险废物，严格暂存于现场专用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方罐内</w:t>
            </w:r>
            <w:r>
              <w:rPr>
                <w:rFonts w:hint="default" w:ascii="Times New Roman" w:hAnsi="Times New Roman" w:eastAsia="宋体" w:cs="Times New Roman"/>
                <w:color w:val="000000" w:themeColor="text1"/>
                <w:sz w:val="24"/>
                <w:szCs w:val="24"/>
                <w:highlight w:val="none"/>
                <w14:textFill>
                  <w14:solidFill>
                    <w14:schemeClr w14:val="tx1"/>
                  </w14:solidFill>
                </w14:textFill>
              </w:rPr>
              <w:t>，严禁露天散堆，建设单位采取及时转运机制，委托有资质单位进行无害化处置，无扬尘产生；</w:t>
            </w:r>
            <w:r>
              <w:rPr>
                <w:rFonts w:hint="default" w:ascii="Times New Roman" w:hAnsi="Times New Roman" w:eastAsia="宋体" w:cs="Times New Roman"/>
                <w:color w:val="000000" w:themeColor="text1"/>
                <w:sz w:val="24"/>
                <w:szCs w:val="24"/>
                <w14:textFill>
                  <w14:solidFill>
                    <w14:schemeClr w14:val="tx1"/>
                  </w14:solidFill>
                </w14:textFill>
              </w:rPr>
              <w:t>三开阶段产生的岩屑（水基）鉴于存在沾染油类物质的风险，在产生后先暂按危险废物管理，待对其含油量进行检测后，若检测结果显示属于危险废物，则继续按危废管理要求委托有资质单位密闭运输处置，若含油量检测结果满足相关标准（不属于危险废物）</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则按照一般固废进行处置</w:t>
            </w:r>
            <w:r>
              <w:rPr>
                <w:rFonts w:hint="default" w:ascii="Times New Roman" w:hAnsi="Times New Roman" w:eastAsia="宋体" w:cs="Times New Roman"/>
                <w:color w:val="000000" w:themeColor="text1"/>
                <w:sz w:val="24"/>
                <w:szCs w:val="24"/>
                <w14:textFill>
                  <w14:solidFill>
                    <w14:schemeClr w14:val="tx1"/>
                  </w14:solidFill>
                </w14:textFill>
              </w:rPr>
              <w:t>。此外，项目施工结束后拟对临时占地（包括井场及临时道路）进行平整和生态恢复治理，可有效减少长期扬尘影响。综上所述，项目建设符合《新疆维吾尔自治区大气污染防治条例》的相关要求</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p>
          <w:p w14:paraId="5892FA3D">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.与《钻前工程及井场布置技术要求》（SY/T5466-2013)符合性分析</w:t>
            </w:r>
          </w:p>
          <w:p w14:paraId="1996D64C">
            <w:pPr>
              <w:pStyle w:val="22"/>
              <w:widowControl/>
              <w:kinsoku/>
              <w:spacing w:line="360" w:lineRule="auto"/>
              <w:ind w:left="5" w:firstLine="485"/>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《钻前工程及井场布置技术要求》（</w:t>
            </w:r>
            <w:r>
              <w:rPr>
                <w:rFonts w:hint="default" w:ascii="Times New Roman" w:hAnsi="Times New Roman" w:eastAsia="宋体" w:cs="Times New Roman"/>
                <w:color w:val="000000" w:themeColor="text1"/>
                <w:sz w:val="24"/>
                <w:szCs w:val="24"/>
                <w:lang w:eastAsia="zh-CN"/>
                <w14:textFill>
                  <w14:solidFill>
                    <w14:schemeClr w14:val="tx1"/>
                  </w14:solidFill>
                </w14:textFill>
              </w:rPr>
              <w:t>SY</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/T5466-2013）中“油</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气井井口距高压线及其他永久性设施应不小于75m；距民宅应不小</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于100m；距铁路、高速公路应不小于200m；距学校、医院和大型</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油库等人口密集性、高危型场所应不小于500m”的要求。</w:t>
            </w:r>
          </w:p>
          <w:p w14:paraId="4AA7D6CF">
            <w:pPr>
              <w:pStyle w:val="22"/>
              <w:widowControl/>
              <w:kinsoku/>
              <w:spacing w:line="360" w:lineRule="auto"/>
              <w:ind w:left="21" w:firstLine="465"/>
              <w:jc w:val="both"/>
              <w:rPr>
                <w:rFonts w:hint="default" w:ascii="Times New Roman" w:hAnsi="Times New Roman" w:eastAsia="宋体" w:cs="Times New Roman"/>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经现场踏勘，本项目100m范围内无民宅；200m范围内无</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铁路</w:t>
            </w:r>
            <w:r>
              <w:rPr>
                <w:rFonts w:hint="default" w:ascii="Times New Roman" w:hAnsi="Times New Roman" w:eastAsia="宋体" w:cs="Times New Roman"/>
                <w:color w:val="000000" w:themeColor="text1"/>
                <w:sz w:val="24"/>
                <w:szCs w:val="24"/>
                <w:lang w:eastAsia="zh-CN"/>
                <w14:textFill>
                  <w14:solidFill>
                    <w14:schemeClr w14:val="tx1"/>
                  </w14:solidFill>
                </w14:textFill>
              </w:rPr>
              <w:t>、高速公路；500m范围内无学校、医院和</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大型油库等人口密集型</w:t>
            </w:r>
            <w:r>
              <w:rPr>
                <w:rFonts w:hint="default" w:ascii="Times New Roman" w:hAnsi="Times New Roman" w:eastAsia="宋体" w:cs="Times New Roman"/>
                <w:color w:val="000000" w:themeColor="text1"/>
                <w:spacing w:val="-16"/>
                <w:sz w:val="24"/>
                <w:szCs w:val="24"/>
                <w:lang w:eastAsia="zh-CN"/>
                <w14:textFill>
                  <w14:solidFill>
                    <w14:schemeClr w14:val="tx1"/>
                  </w14:solidFill>
                </w14:textFill>
              </w:rPr>
              <w:t>、高危型</w:t>
            </w:r>
            <w:r>
              <w:rPr>
                <w:rFonts w:hint="default" w:ascii="Times New Roman" w:hAnsi="Times New Roman" w:eastAsia="宋体" w:cs="Times New Roman"/>
                <w:color w:val="000000" w:themeColor="text1"/>
                <w:spacing w:val="-15"/>
                <w:sz w:val="24"/>
                <w:szCs w:val="24"/>
                <w:lang w:eastAsia="zh-CN"/>
                <w14:textFill>
                  <w14:solidFill>
                    <w14:schemeClr w14:val="tx1"/>
                  </w14:solidFill>
                </w14:textFill>
              </w:rPr>
              <w:t>场所，满足《钻前工程及井场布置技术要求》（SY/T546</w:t>
            </w:r>
            <w:r>
              <w:rPr>
                <w:rFonts w:hint="default" w:ascii="Times New Roman" w:hAnsi="Times New Roman" w:eastAsia="宋体" w:cs="Times New Roman"/>
                <w:color w:val="000000" w:themeColor="text1"/>
                <w:spacing w:val="-16"/>
                <w:sz w:val="24"/>
                <w:szCs w:val="24"/>
                <w:lang w:eastAsia="zh-CN"/>
                <w14:textFill>
                  <w14:solidFill>
                    <w14:schemeClr w14:val="tx1"/>
                  </w14:solidFill>
                </w14:textFill>
              </w:rPr>
              <w:t>6-2</w:t>
            </w:r>
            <w:r>
              <w:rPr>
                <w:rFonts w:hint="default" w:ascii="Times New Roman" w:hAnsi="Times New Roman" w:eastAsia="宋体" w:cs="Times New Roman"/>
                <w:color w:val="000000" w:themeColor="text1"/>
                <w:spacing w:val="-12"/>
                <w:sz w:val="24"/>
                <w:szCs w:val="24"/>
                <w:lang w:eastAsia="zh-CN"/>
                <w14:textFill>
                  <w14:solidFill>
                    <w14:schemeClr w14:val="tx1"/>
                  </w14:solidFill>
                </w14:textFill>
              </w:rPr>
              <w:t>0</w:t>
            </w: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 </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13）的相关要求。</w:t>
            </w:r>
          </w:p>
          <w:p w14:paraId="35053889">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与《石油天然气开采业固体废物污染控制技术规范（试行）》（HJ1461-2026）符合性分析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7"/>
              <w:gridCol w:w="3128"/>
              <w:gridCol w:w="510"/>
            </w:tblGrid>
            <w:tr w14:paraId="1ECE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pct"/>
                  <w:vAlign w:val="center"/>
                </w:tcPr>
                <w:p w14:paraId="587B2A6E">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b/>
                      <w:bCs/>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b/>
                      <w:bCs/>
                      <w:snapToGrid w:val="0"/>
                      <w:color w:val="000000" w:themeColor="text1"/>
                      <w:kern w:val="0"/>
                      <w:sz w:val="21"/>
                      <w:szCs w:val="21"/>
                      <w:lang w:val="en-US" w:eastAsia="zh-CN" w:bidi="ar"/>
                      <w14:textFill>
                        <w14:solidFill>
                          <w14:schemeClr w14:val="tx1"/>
                        </w14:solidFill>
                      </w14:textFill>
                    </w:rPr>
                    <w:t>规范要求（HJ1461-2026）</w:t>
                  </w:r>
                </w:p>
              </w:tc>
              <w:tc>
                <w:tcPr>
                  <w:tcW w:w="2232" w:type="pct"/>
                  <w:vAlign w:val="center"/>
                </w:tcPr>
                <w:p w14:paraId="18B458DE">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b/>
                      <w:bCs/>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b/>
                      <w:bCs/>
                      <w:snapToGrid w:val="0"/>
                      <w:color w:val="000000" w:themeColor="text1"/>
                      <w:kern w:val="0"/>
                      <w:sz w:val="21"/>
                      <w:szCs w:val="21"/>
                      <w:lang w:val="en-US" w:eastAsia="zh-CN" w:bidi="ar"/>
                      <w14:textFill>
                        <w14:solidFill>
                          <w14:schemeClr w14:val="tx1"/>
                        </w14:solidFill>
                      </w14:textFill>
                    </w:rPr>
                    <w:t>本项目情况</w:t>
                  </w:r>
                </w:p>
              </w:tc>
              <w:tc>
                <w:tcPr>
                  <w:tcW w:w="364" w:type="pct"/>
                  <w:vAlign w:val="center"/>
                </w:tcPr>
                <w:p w14:paraId="1D7304C5">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b/>
                      <w:bCs/>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b/>
                      <w:bCs/>
                      <w:snapToGrid w:val="0"/>
                      <w:color w:val="000000" w:themeColor="text1"/>
                      <w:kern w:val="0"/>
                      <w:sz w:val="21"/>
                      <w:szCs w:val="21"/>
                      <w:lang w:val="en-US" w:eastAsia="zh-CN" w:bidi="ar"/>
                      <w14:textFill>
                        <w14:solidFill>
                          <w14:schemeClr w14:val="tx1"/>
                        </w14:solidFill>
                      </w14:textFill>
                    </w:rPr>
                    <w:t>符合性</w:t>
                  </w:r>
                </w:p>
              </w:tc>
            </w:tr>
            <w:tr w14:paraId="3EF1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pct"/>
                  <w:vAlign w:val="center"/>
                </w:tcPr>
                <w:p w14:paraId="45CF15BE">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收集与贮存</w:t>
                  </w:r>
                  <w:r>
                    <w:rPr>
                      <w:rFonts w:hint="eastAsia"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w:t>
                  </w: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水基钻井泥浆和岩屑应采用收集罐或防渗池收集，贮存设施应满足防渗、防雨、防流失要求。</w:t>
                  </w:r>
                </w:p>
              </w:tc>
              <w:tc>
                <w:tcPr>
                  <w:tcW w:w="2232" w:type="pct"/>
                  <w:vAlign w:val="center"/>
                </w:tcPr>
                <w:p w14:paraId="42B679BE">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项目采用“泥浆不落地”工艺，配置专用岩屑罐贮存，井场设置防渗临时贮存点，满足防雨防渗要求 。</w:t>
                  </w:r>
                </w:p>
              </w:tc>
              <w:tc>
                <w:tcPr>
                  <w:tcW w:w="364" w:type="pct"/>
                  <w:vAlign w:val="center"/>
                </w:tcPr>
                <w:p w14:paraId="38B0623B">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w:t>
                  </w:r>
                </w:p>
              </w:tc>
            </w:tr>
            <w:tr w14:paraId="669B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pct"/>
                  <w:vAlign w:val="center"/>
                </w:tcPr>
                <w:p w14:paraId="634BDF43">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转移管理</w:t>
                  </w:r>
                  <w:r>
                    <w:rPr>
                      <w:rFonts w:hint="eastAsia"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w:t>
                  </w: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转移水基岩屑应建立管理台账，如实记录产生量、流向、处置方式等。</w:t>
                  </w:r>
                </w:p>
              </w:tc>
              <w:tc>
                <w:tcPr>
                  <w:tcW w:w="2232" w:type="pct"/>
                  <w:vAlign w:val="center"/>
                </w:tcPr>
                <w:p w14:paraId="6B4DE557">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已提出建立工业固体废物管理台账，如实记录种类、数量及流向 。</w:t>
                  </w:r>
                </w:p>
              </w:tc>
              <w:tc>
                <w:tcPr>
                  <w:tcW w:w="364" w:type="pct"/>
                  <w:vAlign w:val="center"/>
                </w:tcPr>
                <w:p w14:paraId="2F6CE334">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w:t>
                  </w:r>
                </w:p>
              </w:tc>
            </w:tr>
            <w:tr w14:paraId="53D1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pct"/>
                  <w:vAlign w:val="center"/>
                </w:tcPr>
                <w:p w14:paraId="22A2C8D9">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利用与处置：鼓励水基岩屑经处理后用于铺路、垫仓等综合利用，但须满足污染物控制标准；不利用的应进入一般固废填埋场。</w:t>
                  </w:r>
                </w:p>
              </w:tc>
              <w:tc>
                <w:tcPr>
                  <w:tcW w:w="2232" w:type="pct"/>
                  <w:vAlign w:val="center"/>
                </w:tcPr>
                <w:p w14:paraId="492FA7F7">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由建设单位负责监管，及时联系并委托具有相应环保处理能力的第三方单位。物料在井场暂存期间均处于密闭储罐内，随后由第三方单位采用密封车辆外运至其处理基地</w:t>
                  </w:r>
                  <w:r>
                    <w:rPr>
                      <w:rFonts w:hint="eastAsia"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w:t>
                  </w: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后续的检测、资源化利用或最终处置均由第三方单位依法依规在场外实施</w:t>
                  </w:r>
                </w:p>
              </w:tc>
              <w:tc>
                <w:tcPr>
                  <w:tcW w:w="364" w:type="pct"/>
                  <w:vAlign w:val="center"/>
                </w:tcPr>
                <w:p w14:paraId="4FEAA08E">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w:t>
                  </w:r>
                </w:p>
              </w:tc>
            </w:tr>
          </w:tbl>
          <w:p w14:paraId="02A3D459">
            <w:pPr>
              <w:widowControl w:val="0"/>
              <w:kinsoku/>
              <w:spacing w:line="360" w:lineRule="auto"/>
              <w:jc w:val="both"/>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与《一般工业固体废物环境管理工作指南》</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环办固体函</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〔2024〕18</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8"/>
              <w:gridCol w:w="3483"/>
              <w:gridCol w:w="604"/>
            </w:tblGrid>
            <w:tr w14:paraId="3C57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2082" w:type="pct"/>
                  <w:vAlign w:val="center"/>
                </w:tcPr>
                <w:p w14:paraId="7C47CF83">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指南相关要求</w:t>
                  </w:r>
                </w:p>
              </w:tc>
              <w:tc>
                <w:tcPr>
                  <w:tcW w:w="2485" w:type="pct"/>
                  <w:vAlign w:val="center"/>
                </w:tcPr>
                <w:p w14:paraId="0759EAC3">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本项目落实情况</w:t>
                  </w:r>
                </w:p>
              </w:tc>
              <w:tc>
                <w:tcPr>
                  <w:tcW w:w="431" w:type="pct"/>
                  <w:vAlign w:val="center"/>
                </w:tcPr>
                <w:p w14:paraId="668C56EE">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符合性</w:t>
                  </w:r>
                </w:p>
              </w:tc>
            </w:tr>
            <w:tr w14:paraId="2C01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vAlign w:val="center"/>
                </w:tcPr>
                <w:p w14:paraId="59787C4F">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源头分类</w:t>
                  </w:r>
                  <w:r>
                    <w:rPr>
                      <w:rFonts w:hint="eastAsia"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w:t>
                  </w: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产生工业固废的单位应当建立健全源头分类制度。</w:t>
                  </w:r>
                </w:p>
              </w:tc>
              <w:tc>
                <w:tcPr>
                  <w:tcW w:w="2485" w:type="pct"/>
                  <w:vAlign w:val="center"/>
                </w:tcPr>
                <w:p w14:paraId="4C39F184">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项目对水基泥浆/岩屑、油基泥浆/岩屑实行严格的分类收集和分段处置 。</w:t>
                  </w:r>
                </w:p>
              </w:tc>
              <w:tc>
                <w:tcPr>
                  <w:tcW w:w="431" w:type="pct"/>
                  <w:vAlign w:val="center"/>
                </w:tcPr>
                <w:p w14:paraId="6D0755F6">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w:t>
                  </w:r>
                </w:p>
              </w:tc>
            </w:tr>
            <w:tr w14:paraId="53FF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vAlign w:val="center"/>
                </w:tcPr>
                <w:p w14:paraId="75820AD4">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信息公开与台账：建立台账，实现固废可追溯、可查询。</w:t>
                  </w:r>
                </w:p>
              </w:tc>
              <w:tc>
                <w:tcPr>
                  <w:tcW w:w="2485" w:type="pct"/>
                  <w:vAlign w:val="center"/>
                </w:tcPr>
                <w:p w14:paraId="3320EC44">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报告已明确要求建立全过程管理台账。</w:t>
                  </w:r>
                </w:p>
              </w:tc>
              <w:tc>
                <w:tcPr>
                  <w:tcW w:w="431" w:type="pct"/>
                  <w:vAlign w:val="center"/>
                </w:tcPr>
                <w:p w14:paraId="1E63734C">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w:t>
                  </w:r>
                </w:p>
              </w:tc>
            </w:tr>
          </w:tbl>
          <w:p w14:paraId="0CF318E6">
            <w:pPr>
              <w:pStyle w:val="22"/>
              <w:widowControl/>
              <w:kinsoku/>
              <w:spacing w:line="360" w:lineRule="auto"/>
              <w:jc w:val="both"/>
              <w:rPr>
                <w:rFonts w:hint="default" w:ascii="Times New Roman" w:hAnsi="Times New Roman" w:eastAsia="宋体" w:cs="Times New Roman"/>
                <w:color w:val="000000" w:themeColor="text1"/>
                <w:spacing w:val="-3"/>
                <w:sz w:val="24"/>
                <w:szCs w:val="24"/>
                <w:lang w:eastAsia="zh-CN"/>
                <w14:textFill>
                  <w14:solidFill>
                    <w14:schemeClr w14:val="tx1"/>
                  </w14:solidFill>
                </w14:textFill>
              </w:rPr>
            </w:pPr>
          </w:p>
          <w:p w14:paraId="23E89BB1">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.与《新疆维吾尔自治区2025年空气质量持续改善行动实施方案》（新政办发〔2024〕58号）符合性分析</w:t>
            </w:r>
          </w:p>
          <w:p w14:paraId="2DA99CA2">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项目与《新疆维吾尔自治区2025年空气质量持续改善行动实施方案》（新政办发〔2024〕58号）符合性分析见表1-10。</w:t>
            </w:r>
          </w:p>
          <w:p w14:paraId="5EEAC9B1">
            <w:pPr>
              <w:widowControl w:val="0"/>
              <w:kinsoku/>
              <w:spacing w:line="360"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表1-10与《新疆维吾尔自治区2025年空气质量持续改善行动实施方案》符合性分析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3138"/>
              <w:gridCol w:w="2967"/>
              <w:gridCol w:w="457"/>
            </w:tblGrid>
            <w:tr w14:paraId="5AA7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6" w:type="pct"/>
                  <w:vAlign w:val="center"/>
                </w:tcPr>
                <w:p w14:paraId="70487925">
                  <w:pPr>
                    <w:widowControl w:val="0"/>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序号</w:t>
                  </w:r>
                </w:p>
              </w:tc>
              <w:tc>
                <w:tcPr>
                  <w:tcW w:w="2239" w:type="pct"/>
                  <w:vAlign w:val="center"/>
                </w:tcPr>
                <w:p w14:paraId="275C6539">
                  <w:pPr>
                    <w:widowControl w:val="0"/>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方案内容</w:t>
                  </w:r>
                </w:p>
              </w:tc>
              <w:tc>
                <w:tcPr>
                  <w:tcW w:w="2117" w:type="pct"/>
                  <w:vAlign w:val="center"/>
                </w:tcPr>
                <w:p w14:paraId="1EA3FB06">
                  <w:pPr>
                    <w:widowControl w:val="0"/>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项目情况</w:t>
                  </w:r>
                </w:p>
              </w:tc>
              <w:tc>
                <w:tcPr>
                  <w:tcW w:w="326" w:type="pct"/>
                  <w:vAlign w:val="center"/>
                </w:tcPr>
                <w:p w14:paraId="13E1DB51">
                  <w:pPr>
                    <w:widowControl w:val="0"/>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符合性</w:t>
                  </w:r>
                </w:p>
              </w:tc>
            </w:tr>
            <w:tr w14:paraId="665F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16" w:type="pct"/>
                  <w:vAlign w:val="center"/>
                </w:tcPr>
                <w:p w14:paraId="63141F8E">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c>
                <w:tcPr>
                  <w:tcW w:w="2239" w:type="pct"/>
                  <w:vAlign w:val="center"/>
                </w:tcPr>
                <w:p w14:paraId="160B6960">
                  <w:pPr>
                    <w:widowControl w:val="0"/>
                    <w:kinsoku/>
                    <w:spacing w:line="240" w:lineRule="atLeas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严格落实钢铁产能置换，联防联控区严禁新增钢铁产能。推行钢铁、焦化、烧结一体化布局，大幅减少独立焦化、烧结、球团和热轧企业及工序。到2025年，短流程炼钢产量占比力争提升至15%</w:t>
                  </w:r>
                </w:p>
              </w:tc>
              <w:tc>
                <w:tcPr>
                  <w:tcW w:w="2117" w:type="pct"/>
                  <w:vAlign w:val="center"/>
                </w:tcPr>
                <w:p w14:paraId="4ED632BC">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本项目不属于钢铁行业及高排放、高耗能、低水平的工业项目，符合国家产业政策</w:t>
                  </w:r>
                </w:p>
              </w:tc>
              <w:tc>
                <w:tcPr>
                  <w:tcW w:w="326" w:type="pct"/>
                  <w:vAlign w:val="center"/>
                </w:tcPr>
                <w:p w14:paraId="0A652C3E">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4CC9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16" w:type="pct"/>
                  <w:vAlign w:val="center"/>
                </w:tcPr>
                <w:p w14:paraId="66A0AD0A">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w:t>
                  </w:r>
                </w:p>
              </w:tc>
              <w:tc>
                <w:tcPr>
                  <w:tcW w:w="2239" w:type="pct"/>
                  <w:vAlign w:val="center"/>
                </w:tcPr>
                <w:p w14:paraId="3D1B39BE">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172阜康油田康探 1 区块二叠系上乌尔禾组砾岩油藏康探 1 断块开发试验步进式烧结机和球团竖炉以及半封闭式硅锰合金、镍铁、高碳铬铁、高碳锰铁电炉。</w:t>
                  </w:r>
                  <w:r>
                    <w:rPr>
                      <w:rFonts w:hint="default" w:ascii="Times New Roman" w:hAnsi="Times New Roman" w:eastAsia="宋体" w:cs="Times New Roman"/>
                      <w:color w:val="000000" w:themeColor="text1"/>
                      <w:lang w:val="zh-CN" w:eastAsia="zh-CN"/>
                      <w14:textFill>
                        <w14:solidFill>
                          <w14:schemeClr w14:val="tx1"/>
                        </w14:solidFill>
                      </w14:textFill>
                    </w:rPr>
                    <w:t>引导重点区域钢铁、焦化、电解铝等产业有序调整优化</w:t>
                  </w:r>
                </w:p>
              </w:tc>
              <w:tc>
                <w:tcPr>
                  <w:tcW w:w="2117" w:type="pct"/>
                  <w:vAlign w:val="center"/>
                </w:tcPr>
                <w:p w14:paraId="5882F115">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本项目为陆地石油</w:t>
                  </w:r>
                  <w:r>
                    <w:rPr>
                      <w:rFonts w:hint="default" w:ascii="Times New Roman" w:hAnsi="Times New Roman" w:eastAsia="宋体" w:cs="Times New Roman"/>
                      <w:color w:val="000000" w:themeColor="text1"/>
                      <w:lang w:eastAsia="zh-CN"/>
                      <w14:textFill>
                        <w14:solidFill>
                          <w14:schemeClr w14:val="tx1"/>
                        </w14:solidFill>
                      </w14:textFill>
                    </w:rPr>
                    <w:t>勘探</w:t>
                  </w:r>
                  <w:r>
                    <w:rPr>
                      <w:rFonts w:hint="default" w:ascii="Times New Roman" w:hAnsi="Times New Roman" w:eastAsia="宋体" w:cs="Times New Roman"/>
                      <w:color w:val="000000" w:themeColor="text1"/>
                      <w:lang w:val="en-US" w:eastAsia="zh-CN"/>
                      <w14:textFill>
                        <w14:solidFill>
                          <w14:schemeClr w14:val="tx1"/>
                        </w14:solidFill>
                      </w14:textFill>
                    </w:rPr>
                    <w:t>评价井钻试工程</w:t>
                  </w:r>
                  <w:r>
                    <w:rPr>
                      <w:rFonts w:hint="default" w:ascii="Times New Roman" w:hAnsi="Times New Roman" w:eastAsia="宋体" w:cs="Times New Roman"/>
                      <w:color w:val="000000" w:themeColor="text1"/>
                      <w:lang w:val="zh-CN" w:eastAsia="zh-CN"/>
                      <w14:textFill>
                        <w14:solidFill>
                          <w14:schemeClr w14:val="tx1"/>
                        </w14:solidFill>
                      </w14:textFill>
                    </w:rPr>
                    <w:t>项目，属于鼓励类</w:t>
                  </w:r>
                  <w:r>
                    <w:rPr>
                      <w:rFonts w:hint="default" w:ascii="Times New Roman" w:hAnsi="Times New Roman" w:eastAsia="宋体" w:cs="Times New Roman"/>
                      <w:color w:val="000000" w:themeColor="text1"/>
                      <w:lang w:eastAsia="zh-CN"/>
                      <w14:textFill>
                        <w14:solidFill>
                          <w14:schemeClr w14:val="tx1"/>
                        </w14:solidFill>
                      </w14:textFill>
                    </w:rPr>
                    <w:t>项</w:t>
                  </w:r>
                  <w:r>
                    <w:rPr>
                      <w:rFonts w:hint="default" w:ascii="Times New Roman" w:hAnsi="Times New Roman" w:eastAsia="宋体" w:cs="Times New Roman"/>
                      <w:color w:val="000000" w:themeColor="text1"/>
                      <w:lang w:val="zh-CN" w:eastAsia="zh-CN"/>
                      <w14:textFill>
                        <w14:solidFill>
                          <w14:schemeClr w14:val="tx1"/>
                        </w14:solidFill>
                      </w14:textFill>
                    </w:rPr>
                    <w:t>目，不在淘汰类工业项目名录中</w:t>
                  </w:r>
                </w:p>
              </w:tc>
              <w:tc>
                <w:tcPr>
                  <w:tcW w:w="326" w:type="pct"/>
                  <w:vAlign w:val="center"/>
                </w:tcPr>
                <w:p w14:paraId="3267A246">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3CFF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16" w:type="pct"/>
                  <w:vAlign w:val="center"/>
                </w:tcPr>
                <w:p w14:paraId="5B68CD46">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p>
              </w:tc>
              <w:tc>
                <w:tcPr>
                  <w:tcW w:w="2239" w:type="pct"/>
                  <w:vAlign w:val="center"/>
                </w:tcPr>
                <w:p w14:paraId="5E97E4F3">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推进传统产业集群升级改造。</w:t>
                  </w:r>
                  <w:r>
                    <w:rPr>
                      <w:rFonts w:hint="default" w:ascii="Times New Roman" w:hAnsi="Times New Roman" w:eastAsia="宋体" w:cs="Times New Roman"/>
                      <w:color w:val="000000" w:themeColor="text1"/>
                      <w:lang w:val="zh-CN" w:eastAsia="zh-CN"/>
                      <w14:textFill>
                        <w14:solidFill>
                          <w14:schemeClr w14:val="tx1"/>
                        </w14:solidFill>
                      </w14:textFill>
                    </w:rPr>
                    <w:t>推动传统产业集群升级发展，开展产业集群专项治理，依法淘汰关停一批、搬迁入园一批、就地改造一批、做优做强一批，因地制宜建设集中供热中心、集中喷涂中心、活性炭集中再生中心和有机溶剂集中回收处置中心</w:t>
                  </w:r>
                </w:p>
              </w:tc>
              <w:tc>
                <w:tcPr>
                  <w:tcW w:w="2117" w:type="pct"/>
                  <w:vAlign w:val="center"/>
                </w:tcPr>
                <w:p w14:paraId="0437150C">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本项目为分散式油气勘探作业，不属于传统产业集群。生活区采暖采用电采暖，生物质锅炉仅用于</w:t>
                  </w:r>
                  <w:r>
                    <w:rPr>
                      <w:rFonts w:hint="default" w:ascii="Times New Roman" w:hAnsi="Times New Roman" w:eastAsia="宋体" w:cs="Times New Roman"/>
                      <w:color w:val="000000" w:themeColor="text1"/>
                      <w:lang w:val="en-US" w:eastAsia="zh-CN"/>
                      <w14:textFill>
                        <w14:solidFill>
                          <w14:schemeClr w14:val="tx1"/>
                        </w14:solidFill>
                      </w14:textFill>
                    </w:rPr>
                    <w:t>冬季</w:t>
                  </w:r>
                  <w:r>
                    <w:rPr>
                      <w:rFonts w:hint="default" w:ascii="Times New Roman" w:hAnsi="Times New Roman" w:eastAsia="宋体" w:cs="Times New Roman"/>
                      <w:color w:val="000000" w:themeColor="text1"/>
                      <w:lang w:val="zh-CN" w:eastAsia="zh-CN"/>
                      <w14:textFill>
                        <w14:solidFill>
                          <w14:schemeClr w14:val="tx1"/>
                        </w14:solidFill>
                      </w14:textFill>
                    </w:rPr>
                    <w:t>生产设施保温，不涉及大规模集中供热、喷涂或有机溶剂使用环节。</w:t>
                  </w:r>
                </w:p>
              </w:tc>
              <w:tc>
                <w:tcPr>
                  <w:tcW w:w="326" w:type="pct"/>
                  <w:vAlign w:val="center"/>
                </w:tcPr>
                <w:p w14:paraId="502F2DDF">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0A63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16" w:type="pct"/>
                  <w:vAlign w:val="center"/>
                </w:tcPr>
                <w:p w14:paraId="37994BE0">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4</w:t>
                  </w:r>
                </w:p>
              </w:tc>
              <w:tc>
                <w:tcPr>
                  <w:tcW w:w="2239" w:type="pct"/>
                  <w:vAlign w:val="center"/>
                </w:tcPr>
                <w:p w14:paraId="0F009311">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大力发展新能源和清洁能源。推进风电光伏等清洁能源基地建设，构建新型电力系统。推进新能源与优势产业联动发展，加大高载能行业和自备电厂清洁能源替代力度。非化石能源消费比重和电能占终端能源消费比重达到相关规划要求。</w:t>
                  </w:r>
                  <w:r>
                    <w:rPr>
                      <w:rFonts w:hint="default" w:ascii="Times New Roman" w:hAnsi="Times New Roman" w:eastAsia="宋体" w:cs="Times New Roman"/>
                      <w:color w:val="000000" w:themeColor="text1"/>
                      <w:lang w:val="zh-CN" w:eastAsia="zh-CN"/>
                      <w14:textFill>
                        <w14:solidFill>
                          <w14:schemeClr w14:val="tx1"/>
                        </w14:solidFill>
                      </w14:textFill>
                    </w:rPr>
                    <w:t>持续增加天然气生产供应，优先保障居民生活和清洁取暖、农业散煤治理等需求</w:t>
                  </w:r>
                </w:p>
              </w:tc>
              <w:tc>
                <w:tcPr>
                  <w:tcW w:w="2117" w:type="pct"/>
                  <w:vAlign w:val="center"/>
                </w:tcPr>
                <w:p w14:paraId="2416999E">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本项目为陆地石油</w:t>
                  </w:r>
                  <w:r>
                    <w:rPr>
                      <w:rFonts w:hint="default" w:ascii="Times New Roman" w:hAnsi="Times New Roman" w:eastAsia="宋体" w:cs="Times New Roman"/>
                      <w:color w:val="000000" w:themeColor="text1"/>
                      <w:lang w:eastAsia="zh-CN"/>
                      <w14:textFill>
                        <w14:solidFill>
                          <w14:schemeClr w14:val="tx1"/>
                        </w14:solidFill>
                      </w14:textFill>
                    </w:rPr>
                    <w:t>勘探</w:t>
                  </w:r>
                  <w:r>
                    <w:rPr>
                      <w:rFonts w:hint="default" w:ascii="Times New Roman" w:hAnsi="Times New Roman" w:eastAsia="宋体" w:cs="Times New Roman"/>
                      <w:color w:val="000000" w:themeColor="text1"/>
                      <w:lang w:val="en-US" w:eastAsia="zh-CN"/>
                      <w14:textFill>
                        <w14:solidFill>
                          <w14:schemeClr w14:val="tx1"/>
                        </w14:solidFill>
                      </w14:textFill>
                    </w:rPr>
                    <w:t>评价井钻试工程</w:t>
                  </w:r>
                  <w:r>
                    <w:rPr>
                      <w:rFonts w:hint="default" w:ascii="Times New Roman" w:hAnsi="Times New Roman" w:eastAsia="宋体" w:cs="Times New Roman"/>
                      <w:color w:val="000000" w:themeColor="text1"/>
                      <w:lang w:val="zh-CN" w:eastAsia="zh-CN"/>
                      <w14:textFill>
                        <w14:solidFill>
                          <w14:schemeClr w14:val="tx1"/>
                        </w14:solidFill>
                      </w14:textFill>
                    </w:rPr>
                    <w:t>项目，属于国家能源项目</w:t>
                  </w:r>
                </w:p>
              </w:tc>
              <w:tc>
                <w:tcPr>
                  <w:tcW w:w="326" w:type="pct"/>
                  <w:vAlign w:val="center"/>
                </w:tcPr>
                <w:p w14:paraId="120FFCD8">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5B11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16" w:type="pct"/>
                  <w:vAlign w:val="center"/>
                </w:tcPr>
                <w:p w14:paraId="2E977195">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w:t>
                  </w:r>
                </w:p>
              </w:tc>
              <w:tc>
                <w:tcPr>
                  <w:tcW w:w="2239" w:type="pct"/>
                  <w:vAlign w:val="center"/>
                </w:tcPr>
                <w:p w14:paraId="02ED2BD6">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w:t>
                  </w:r>
                  <w:r>
                    <w:rPr>
                      <w:rFonts w:hint="default" w:ascii="Times New Roman" w:hAnsi="Times New Roman" w:eastAsia="宋体" w:cs="Times New Roman"/>
                      <w:color w:val="000000" w:themeColor="text1"/>
                      <w:lang w:val="zh-CN" w:eastAsia="zh-CN"/>
                      <w14:textFill>
                        <w14:solidFill>
                          <w14:schemeClr w14:val="tx1"/>
                        </w14:solidFill>
                      </w14:textFill>
                    </w:rPr>
                    <w:t>完善联防联控区骨干电网建设，保障冬季生产用电需求</w:t>
                  </w:r>
                </w:p>
              </w:tc>
              <w:tc>
                <w:tcPr>
                  <w:tcW w:w="2117" w:type="pct"/>
                  <w:vAlign w:val="center"/>
                </w:tcPr>
                <w:p w14:paraId="5FB767E3">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本项目施工动力主要依靠</w:t>
                  </w:r>
                  <w:r>
                    <w:rPr>
                      <w:rFonts w:hint="default" w:ascii="Times New Roman" w:hAnsi="Times New Roman" w:eastAsia="宋体" w:cs="Times New Roman"/>
                      <w:color w:val="000000" w:themeColor="text1"/>
                      <w:lang w:val="en-US" w:eastAsia="zh-CN"/>
                      <w14:textFill>
                        <w14:solidFill>
                          <w14:schemeClr w14:val="tx1"/>
                        </w14:solidFill>
                      </w14:textFill>
                    </w:rPr>
                    <w:t>工业用电</w:t>
                  </w:r>
                  <w:r>
                    <w:rPr>
                      <w:rFonts w:hint="default" w:ascii="Times New Roman" w:hAnsi="Times New Roman" w:eastAsia="宋体" w:cs="Times New Roman"/>
                      <w:color w:val="000000" w:themeColor="text1"/>
                      <w:lang w:val="zh-CN" w:eastAsia="zh-CN"/>
                      <w14:textFill>
                        <w14:solidFill>
                          <w14:schemeClr w14:val="tx1"/>
                        </w14:solidFill>
                      </w14:textFill>
                    </w:rPr>
                    <w:t>，柴油发电机仅作为备用电源；冬季人员供暖采用电采暖，生物质锅炉仅用于生产管线保温，施工及试油全过程均不使用煤炭及其制品，不新增煤炭消费量。</w:t>
                  </w:r>
                </w:p>
              </w:tc>
              <w:tc>
                <w:tcPr>
                  <w:tcW w:w="326" w:type="pct"/>
                  <w:vAlign w:val="center"/>
                </w:tcPr>
                <w:p w14:paraId="1A1963AF">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r w14:paraId="1090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16" w:type="pct"/>
                  <w:vAlign w:val="center"/>
                </w:tcPr>
                <w:p w14:paraId="5A43C2ED">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w:t>
                  </w:r>
                </w:p>
              </w:tc>
              <w:tc>
                <w:tcPr>
                  <w:tcW w:w="2239" w:type="pct"/>
                  <w:vAlign w:val="center"/>
                </w:tcPr>
                <w:p w14:paraId="7499DDEE">
                  <w:pPr>
                    <w:widowControl w:val="0"/>
                    <w:kinsoku/>
                    <w:spacing w:line="240" w:lineRule="atLeast"/>
                    <w:jc w:val="center"/>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持续强化扬尘污染综合管控。施工场地严格落实“六个百分百”要求。扬尘污染防治费用纳入工程造价，3000m</w:t>
                  </w:r>
                  <w:r>
                    <w:rPr>
                      <w:rFonts w:hint="default" w:ascii="Times New Roman" w:hAnsi="Times New Roman" w:eastAsia="宋体" w:cs="Times New Roman"/>
                      <w:color w:val="000000" w:themeColor="text1"/>
                      <w:vertAlign w:val="superscript"/>
                      <w:lang w:val="zh-CN"/>
                      <w14:textFill>
                        <w14:solidFill>
                          <w14:schemeClr w14:val="tx1"/>
                        </w14:solidFill>
                      </w14:textFill>
                    </w:rPr>
                    <w:t>2</w:t>
                  </w:r>
                  <w:r>
                    <w:rPr>
                      <w:rFonts w:hint="default" w:ascii="Times New Roman" w:hAnsi="Times New Roman" w:eastAsia="宋体" w:cs="Times New Roman"/>
                      <w:color w:val="000000" w:themeColor="text1"/>
                      <w:lang w:val="zh-CN"/>
                      <w14:textFill>
                        <w14:solidFill>
                          <w14:schemeClr w14:val="tx1"/>
                        </w14:solidFill>
                      </w14:textFill>
                    </w:rPr>
                    <w:t>及以上建筑工地安装视频监控并接入当地监管平台。道路、水务等长距离线性工程实行分段施工。城市建成区主次干道机械化清扫率达到80%。加强城市及周边公共裸地、物料堆场等易产尘区域抑尘管理。到2025年，装配式建筑占新建建筑面积比例达到 30%</w:t>
                  </w:r>
                </w:p>
              </w:tc>
              <w:tc>
                <w:tcPr>
                  <w:tcW w:w="2117" w:type="pct"/>
                  <w:vAlign w:val="center"/>
                </w:tcPr>
                <w:p w14:paraId="4DE3D983">
                  <w:pPr>
                    <w:widowControl w:val="0"/>
                    <w:kinsoku/>
                    <w:spacing w:line="240" w:lineRule="atLeast"/>
                    <w:jc w:val="center"/>
                    <w:rPr>
                      <w:rFonts w:hint="default" w:ascii="Times New Roman" w:hAnsi="Times New Roman" w:eastAsia="宋体" w:cs="Times New Roman"/>
                      <w:color w:val="000000" w:themeColor="text1"/>
                      <w:lang w:val="zh-CN" w:eastAsia="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本项目严格落实“六个百分之百”扬尘防控措施，扬尘治理费用已纳入工程造价。通过洒水抑尘、物料覆盖等措施有效控制扬尘；钻井岩屑采用不落地工艺处理，避免了露天堆放产生的扬尘污染。</w:t>
                  </w:r>
                </w:p>
              </w:tc>
              <w:tc>
                <w:tcPr>
                  <w:tcW w:w="326" w:type="pct"/>
                  <w:vAlign w:val="center"/>
                </w:tcPr>
                <w:p w14:paraId="391C5FB7">
                  <w:pPr>
                    <w:widowControl w:val="0"/>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符合</w:t>
                  </w:r>
                </w:p>
              </w:tc>
            </w:tr>
          </w:tbl>
          <w:p w14:paraId="1C9F4AF0">
            <w:pPr>
              <w:widowControl w:val="0"/>
              <w:kinsoku/>
              <w:spacing w:line="360" w:lineRule="auto"/>
              <w:jc w:val="both"/>
              <w:rPr>
                <w:rFonts w:hint="default" w:ascii="Times New Roman" w:hAnsi="Times New Roman" w:eastAsia="宋体" w:cs="Times New Roman"/>
                <w:color w:val="000000" w:themeColor="text1"/>
                <w:sz w:val="24"/>
                <w:szCs w:val="24"/>
                <w14:textFill>
                  <w14:solidFill>
                    <w14:schemeClr w14:val="tx1"/>
                  </w14:solidFill>
                </w14:textFill>
              </w:rPr>
            </w:pPr>
          </w:p>
        </w:tc>
      </w:tr>
    </w:tbl>
    <w:p w14:paraId="01B9D9C8">
      <w:pPr>
        <w:kinsoku/>
        <w:spacing w:line="219" w:lineRule="auto"/>
        <w:rPr>
          <w:rFonts w:ascii="Times New Roman" w:hAnsi="Times New Roman" w:eastAsia="宋体" w:cs="Times New Roman"/>
          <w:color w:val="000000" w:themeColor="text1"/>
          <w:sz w:val="24"/>
          <w:szCs w:val="24"/>
          <w14:textFill>
            <w14:solidFill>
              <w14:schemeClr w14:val="tx1"/>
            </w14:solidFill>
          </w14:textFill>
        </w:rPr>
      </w:pPr>
    </w:p>
    <w:p w14:paraId="51E483C1">
      <w:pPr>
        <w:kinsoku/>
        <w:rPr>
          <w:rFonts w:ascii="Times New Roman" w:hAnsi="Times New Roman" w:eastAsia="宋体" w:cs="Times New Roman"/>
          <w:b/>
          <w:bCs/>
          <w:color w:val="000000" w:themeColor="text1"/>
          <w:spacing w:val="4"/>
          <w:sz w:val="31"/>
          <w:szCs w:val="31"/>
          <w:lang w:eastAsia="zh-CN"/>
          <w14:textFill>
            <w14:solidFill>
              <w14:schemeClr w14:val="tx1"/>
            </w14:solidFill>
          </w14:textFill>
        </w:rPr>
      </w:pPr>
      <w:r>
        <w:rPr>
          <w:rFonts w:ascii="Times New Roman" w:hAnsi="Times New Roman" w:eastAsia="宋体" w:cs="Times New Roman"/>
          <w:b/>
          <w:bCs/>
          <w:color w:val="000000" w:themeColor="text1"/>
          <w:spacing w:val="4"/>
          <w:sz w:val="31"/>
          <w:szCs w:val="31"/>
          <w:lang w:eastAsia="zh-CN"/>
          <w14:textFill>
            <w14:solidFill>
              <w14:schemeClr w14:val="tx1"/>
            </w14:solidFill>
          </w14:textFill>
        </w:rPr>
        <w:br w:type="page"/>
      </w:r>
    </w:p>
    <w:p w14:paraId="469F6280">
      <w:pPr>
        <w:kinsoku/>
        <w:spacing w:before="101" w:line="360" w:lineRule="auto"/>
        <w:jc w:val="center"/>
        <w:outlineLvl w:val="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pacing w:val="4"/>
          <w:sz w:val="31"/>
          <w:szCs w:val="31"/>
          <w:lang w:eastAsia="zh-CN"/>
          <w14:textFill>
            <w14:solidFill>
              <w14:schemeClr w14:val="tx1"/>
            </w14:solidFill>
          </w14:textFill>
        </w:rPr>
        <w:t>二、</w:t>
      </w:r>
      <w:r>
        <w:rPr>
          <w:rFonts w:ascii="Times New Roman" w:hAnsi="Times New Roman" w:eastAsia="宋体" w:cs="Times New Roman"/>
          <w:b/>
          <w:bCs/>
          <w:color w:val="000000" w:themeColor="text1"/>
          <w:spacing w:val="4"/>
          <w:sz w:val="31"/>
          <w:szCs w:val="31"/>
          <w14:textFill>
            <w14:solidFill>
              <w14:schemeClr w14:val="tx1"/>
            </w14:solidFill>
          </w14:textFill>
        </w:rPr>
        <w:t>建设内容</w:t>
      </w:r>
    </w:p>
    <w:tbl>
      <w:tblPr>
        <w:tblStyle w:val="17"/>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86"/>
      </w:tblGrid>
      <w:tr w14:paraId="301F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B929BBE">
            <w:pPr>
              <w:widowControl w:val="0"/>
              <w:kinsoku/>
              <w:spacing w:line="360"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地理位置</w:t>
            </w:r>
          </w:p>
        </w:tc>
        <w:tc>
          <w:tcPr>
            <w:tcW w:w="8394" w:type="dxa"/>
          </w:tcPr>
          <w:p w14:paraId="726DC0A8">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本项目行政隶属于昌吉回族自治州</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吉木萨尔县</w:t>
            </w:r>
            <w:r>
              <w:rPr>
                <w:rFonts w:hint="default" w:ascii="Times New Roman" w:hAnsi="Times New Roman" w:eastAsia="宋体" w:cs="Times New Roman"/>
                <w:color w:val="000000" w:themeColor="text1"/>
                <w:sz w:val="24"/>
                <w:szCs w:val="24"/>
                <w:lang w:eastAsia="zh-CN"/>
                <w14:textFill>
                  <w14:solidFill>
                    <w14:schemeClr w14:val="tx1"/>
                  </w14:solidFill>
                </w14:textFill>
              </w:rPr>
              <w:t>。项目井口坐标见表2-1，项目地理位置图见附图2，项目钻试场位置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分布</w:t>
            </w:r>
            <w:r>
              <w:rPr>
                <w:rFonts w:hint="default" w:ascii="Times New Roman" w:hAnsi="Times New Roman" w:eastAsia="宋体" w:cs="Times New Roman"/>
                <w:color w:val="000000" w:themeColor="text1"/>
                <w:sz w:val="24"/>
                <w:szCs w:val="24"/>
                <w:lang w:eastAsia="zh-CN"/>
                <w14:textFill>
                  <w14:solidFill>
                    <w14:schemeClr w14:val="tx1"/>
                  </w14:solidFill>
                </w14:textFill>
              </w:rPr>
              <w:t>图见附图3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-1，本项目与老区快萨15试验区位置关系图见附图3-2</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w:t>
            </w:r>
          </w:p>
          <w:p w14:paraId="7784D7F3">
            <w:pPr>
              <w:widowControl w:val="0"/>
              <w:kinsoku/>
              <w:spacing w:line="5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表2-1 井位坐标及位置一览表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289"/>
              <w:gridCol w:w="1400"/>
              <w:gridCol w:w="1621"/>
              <w:gridCol w:w="1625"/>
              <w:gridCol w:w="1342"/>
            </w:tblGrid>
            <w:tr w14:paraId="2BF0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7" w:type="pct"/>
                  <w:vMerge w:val="restart"/>
                  <w:vAlign w:val="center"/>
                </w:tcPr>
                <w:p w14:paraId="3E5D8D46">
                  <w:pPr>
                    <w:kinsoku/>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井号</w:t>
                  </w:r>
                </w:p>
              </w:tc>
              <w:tc>
                <w:tcPr>
                  <w:tcW w:w="3426" w:type="pct"/>
                  <w:gridSpan w:val="4"/>
                  <w:vAlign w:val="center"/>
                </w:tcPr>
                <w:p w14:paraId="260183FB">
                  <w:pPr>
                    <w:kinsoku/>
                    <w:jc w:val="center"/>
                    <w:textAlignment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井位坐标</w:t>
                  </w:r>
                </w:p>
              </w:tc>
              <w:tc>
                <w:tcPr>
                  <w:tcW w:w="775" w:type="pct"/>
                  <w:vMerge w:val="restart"/>
                  <w:vAlign w:val="center"/>
                </w:tcPr>
                <w:p w14:paraId="23310DF3">
                  <w:pPr>
                    <w:kinsoku/>
                    <w:jc w:val="center"/>
                    <w:textAlignment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位置</w:t>
                  </w:r>
                </w:p>
              </w:tc>
            </w:tr>
            <w:tr w14:paraId="7572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7" w:type="pct"/>
                  <w:vMerge w:val="continue"/>
                  <w:vAlign w:val="center"/>
                </w:tcPr>
                <w:p w14:paraId="54E693B1">
                  <w:pPr>
                    <w:kinsoku/>
                    <w:jc w:val="center"/>
                    <w:rPr>
                      <w:rFonts w:hint="default" w:ascii="Times New Roman" w:hAnsi="Times New Roman" w:eastAsia="宋体" w:cs="Times New Roman"/>
                      <w:b/>
                      <w:bCs/>
                      <w:color w:val="000000" w:themeColor="text1"/>
                      <w14:textFill>
                        <w14:solidFill>
                          <w14:schemeClr w14:val="tx1"/>
                        </w14:solidFill>
                      </w14:textFill>
                    </w:rPr>
                  </w:pPr>
                </w:p>
              </w:tc>
              <w:tc>
                <w:tcPr>
                  <w:tcW w:w="744" w:type="pct"/>
                  <w:vAlign w:val="center"/>
                </w:tcPr>
                <w:p w14:paraId="2CBCE184">
                  <w:pPr>
                    <w:kinsoku/>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X</w:t>
                  </w:r>
                </w:p>
              </w:tc>
              <w:tc>
                <w:tcPr>
                  <w:tcW w:w="808" w:type="pct"/>
                  <w:vAlign w:val="center"/>
                </w:tcPr>
                <w:p w14:paraId="6524543A">
                  <w:pPr>
                    <w:kinsoku/>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Y</w:t>
                  </w:r>
                </w:p>
              </w:tc>
              <w:tc>
                <w:tcPr>
                  <w:tcW w:w="936" w:type="pct"/>
                  <w:vAlign w:val="center"/>
                </w:tcPr>
                <w:p w14:paraId="3DC015A7">
                  <w:pPr>
                    <w:kinsoku/>
                    <w:jc w:val="center"/>
                    <w:textAlignment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经度（E）</w:t>
                  </w:r>
                </w:p>
              </w:tc>
              <w:tc>
                <w:tcPr>
                  <w:tcW w:w="937" w:type="pct"/>
                  <w:vAlign w:val="center"/>
                </w:tcPr>
                <w:p w14:paraId="0D0B86AE">
                  <w:pPr>
                    <w:kinsoku/>
                    <w:jc w:val="center"/>
                    <w:textAlignment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纬度（N）</w:t>
                  </w:r>
                </w:p>
              </w:tc>
              <w:tc>
                <w:tcPr>
                  <w:tcW w:w="775" w:type="pct"/>
                  <w:vMerge w:val="continue"/>
                  <w:vAlign w:val="center"/>
                </w:tcPr>
                <w:p w14:paraId="0E3A80FA">
                  <w:pPr>
                    <w:kinsoku/>
                    <w:jc w:val="center"/>
                    <w:textAlignment w:val="center"/>
                    <w:rPr>
                      <w:rFonts w:hint="default" w:ascii="Times New Roman" w:hAnsi="Times New Roman" w:eastAsia="宋体" w:cs="Times New Roman"/>
                      <w:color w:val="000000" w:themeColor="text1"/>
                      <w:lang w:eastAsia="zh-CN" w:bidi="ar"/>
                      <w14:textFill>
                        <w14:solidFill>
                          <w14:schemeClr w14:val="tx1"/>
                        </w14:solidFill>
                      </w14:textFill>
                    </w:rPr>
                  </w:pPr>
                </w:p>
              </w:tc>
            </w:tr>
            <w:tr w14:paraId="66A2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7" w:type="pct"/>
                  <w:vAlign w:val="center"/>
                </w:tcPr>
                <w:p w14:paraId="4E4BF121">
                  <w:pPr>
                    <w:kinsoku/>
                    <w:jc w:val="center"/>
                    <w:textAlignment w:val="top"/>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萨L1501H</w:t>
                  </w:r>
                </w:p>
              </w:tc>
              <w:tc>
                <w:tcPr>
                  <w:tcW w:w="744" w:type="pct"/>
                  <w:vAlign w:val="center"/>
                </w:tcPr>
                <w:p w14:paraId="526E645E">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4858957.14 </w:t>
                  </w:r>
                </w:p>
              </w:tc>
              <w:tc>
                <w:tcPr>
                  <w:tcW w:w="808" w:type="pct"/>
                  <w:vAlign w:val="center"/>
                </w:tcPr>
                <w:p w14:paraId="700D3AC5">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15681931.47</w:t>
                  </w:r>
                </w:p>
              </w:tc>
              <w:tc>
                <w:tcPr>
                  <w:tcW w:w="936" w:type="pct"/>
                  <w:vAlign w:val="center"/>
                </w:tcPr>
                <w:p w14:paraId="4694827D">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89</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15'54.53</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37" w:type="pct"/>
                  <w:vAlign w:val="center"/>
                </w:tcPr>
                <w:p w14:paraId="6EA223E9">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50'42.7</w:t>
                  </w:r>
                  <w:r>
                    <w:rPr>
                      <w:rFonts w:hint="eastAsia" w:ascii="Times New Roman" w:hAnsi="Times New Roman" w:eastAsia="宋体" w:cs="Times New Roman"/>
                      <w:color w:val="000000" w:themeColor="text1"/>
                      <w:lang w:val="en-US" w:eastAsia="zh-CN"/>
                      <w14:textFill>
                        <w14:solidFill>
                          <w14:schemeClr w14:val="tx1"/>
                        </w14:solidFill>
                      </w14:textFill>
                    </w:rPr>
                    <w:t>60</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775" w:type="pct"/>
                  <w:vMerge w:val="restart"/>
                  <w:vAlign w:val="center"/>
                </w:tcPr>
                <w:p w14:paraId="336C8E79">
                  <w:pPr>
                    <w:pStyle w:val="6"/>
                    <w:widowControl w:val="0"/>
                    <w:kinsoku/>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吉木萨尔县</w:t>
                  </w:r>
                </w:p>
              </w:tc>
            </w:tr>
            <w:tr w14:paraId="7282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7" w:type="pct"/>
                  <w:vAlign w:val="center"/>
                </w:tcPr>
                <w:p w14:paraId="04B1DCF1">
                  <w:pPr>
                    <w:kinsoku/>
                    <w:jc w:val="center"/>
                    <w:textAlignment w:val="top"/>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萨L1501H-1</w:t>
                  </w:r>
                </w:p>
              </w:tc>
              <w:tc>
                <w:tcPr>
                  <w:tcW w:w="744" w:type="pct"/>
                  <w:vAlign w:val="center"/>
                </w:tcPr>
                <w:p w14:paraId="3675C053">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4858955.68 </w:t>
                  </w:r>
                </w:p>
              </w:tc>
              <w:tc>
                <w:tcPr>
                  <w:tcW w:w="808" w:type="pct"/>
                  <w:vAlign w:val="center"/>
                </w:tcPr>
                <w:p w14:paraId="5E600186">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15681935.89</w:t>
                  </w:r>
                </w:p>
              </w:tc>
              <w:tc>
                <w:tcPr>
                  <w:tcW w:w="936" w:type="pct"/>
                  <w:vAlign w:val="center"/>
                </w:tcPr>
                <w:p w14:paraId="24275590">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89</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15'54.72</w:t>
                  </w:r>
                  <w:r>
                    <w:rPr>
                      <w:rFonts w:hint="eastAsia" w:ascii="Times New Roman" w:hAnsi="Times New Roman" w:eastAsia="宋体"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937" w:type="pct"/>
                  <w:vAlign w:val="center"/>
                </w:tcPr>
                <w:p w14:paraId="140A2DA9">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50'42.70</w:t>
                  </w:r>
                  <w:r>
                    <w:rPr>
                      <w:rFonts w:hint="eastAsia" w:ascii="Times New Roman" w:hAnsi="Times New Roman" w:eastAsia="宋体"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775" w:type="pct"/>
                  <w:vMerge w:val="continue"/>
                  <w:vAlign w:val="center"/>
                </w:tcPr>
                <w:p w14:paraId="658676A6">
                  <w:pPr>
                    <w:pStyle w:val="6"/>
                    <w:widowControl w:val="0"/>
                    <w:kinsoku/>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p>
              </w:tc>
            </w:tr>
          </w:tbl>
          <w:p w14:paraId="171C34BA">
            <w:pPr>
              <w:pStyle w:val="6"/>
              <w:widowControl w:val="0"/>
              <w:kinsoku/>
              <w:ind w:firstLine="0" w:firstLineChars="0"/>
              <w:jc w:val="both"/>
              <w:rPr>
                <w:rFonts w:hint="default" w:ascii="Times New Roman" w:hAnsi="Times New Roman" w:eastAsia="宋体" w:cs="Times New Roman"/>
                <w:color w:val="000000" w:themeColor="text1"/>
                <w14:textFill>
                  <w14:solidFill>
                    <w14:schemeClr w14:val="tx1"/>
                  </w14:solidFill>
                </w14:textFill>
              </w:rPr>
            </w:pPr>
          </w:p>
        </w:tc>
      </w:tr>
      <w:tr w14:paraId="68A8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4" w:type="dxa"/>
            <w:vAlign w:val="center"/>
          </w:tcPr>
          <w:p w14:paraId="45FDECCD">
            <w:pPr>
              <w:widowControl w:val="0"/>
              <w:kinsoku/>
              <w:spacing w:line="360" w:lineRule="auto"/>
              <w:jc w:val="center"/>
              <w:rPr>
                <w:rFonts w:hint="default" w:ascii="Times New Roman" w:hAnsi="Times New Roman" w:eastAsia="宋体" w:cs="Times New Roman"/>
                <w:color w:val="000000" w:themeColor="text1"/>
                <w:sz w:val="24"/>
                <w:szCs w:val="24"/>
                <w14:textFill>
                  <w14:solidFill>
                    <w14:schemeClr w14:val="tx1"/>
                  </w14:solidFill>
                </w14:textFill>
              </w:rPr>
            </w:pPr>
            <w:bookmarkStart w:id="2" w:name="OLE_LINK38"/>
            <w:bookmarkStart w:id="3" w:name="_Hlk136793942"/>
            <w:r>
              <w:rPr>
                <w:rFonts w:hint="default" w:ascii="Times New Roman" w:hAnsi="Times New Roman" w:eastAsia="宋体" w:cs="Times New Roman"/>
                <w:color w:val="000000" w:themeColor="text1"/>
                <w:sz w:val="24"/>
                <w:szCs w:val="24"/>
                <w14:textFill>
                  <w14:solidFill>
                    <w14:schemeClr w14:val="tx1"/>
                  </w14:solidFill>
                </w14:textFill>
              </w:rPr>
              <w:t>项目组成及规模</w:t>
            </w:r>
            <w:bookmarkEnd w:id="2"/>
          </w:p>
        </w:tc>
        <w:tc>
          <w:tcPr>
            <w:tcW w:w="8394" w:type="dxa"/>
            <w:tcBorders>
              <w:bottom w:val="single" w:color="auto" w:sz="4" w:space="0"/>
            </w:tcBorders>
          </w:tcPr>
          <w:p w14:paraId="397257E7">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1.项目概况</w:t>
            </w:r>
          </w:p>
          <w:p w14:paraId="72A3142E">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项目名称：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准噶尔盆地吉南油田萨L1501H井、萨L1501H-1井钻试工程项目</w:t>
            </w:r>
          </w:p>
          <w:p w14:paraId="754A0BB0">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建设单位：中国石油天然气股份有限公司吐哈油田分公司准东采油管理区</w:t>
            </w:r>
          </w:p>
          <w:p w14:paraId="34AF5D31">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建设地点：新疆昌吉回族自治州</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吉木萨尔县二工镇红山子村东南方位</w:t>
            </w:r>
          </w:p>
          <w:p w14:paraId="4696FD30">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建设性质：新建</w:t>
            </w:r>
          </w:p>
          <w:p w14:paraId="297BF2DB">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工程投资及环保投资：项目总投资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5866</w:t>
            </w:r>
            <w:r>
              <w:rPr>
                <w:rFonts w:hint="default" w:ascii="Times New Roman" w:hAnsi="Times New Roman" w:eastAsia="宋体" w:cs="Times New Roman"/>
                <w:color w:val="000000" w:themeColor="text1"/>
                <w:sz w:val="24"/>
                <w:szCs w:val="24"/>
                <w:lang w:eastAsia="zh-CN"/>
                <w14:textFill>
                  <w14:solidFill>
                    <w14:schemeClr w14:val="tx1"/>
                  </w14:solidFill>
                </w14:textFill>
              </w:rPr>
              <w:t>万元，其中环保投资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eastAsia="zh-CN"/>
                <w14:textFill>
                  <w14:solidFill>
                    <w14:schemeClr w14:val="tx1"/>
                  </w14:solidFill>
                </w14:textFill>
              </w:rPr>
              <w:t>万元，占工程总投资的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13207BED">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2.建设内容及规模</w:t>
            </w:r>
          </w:p>
          <w:p w14:paraId="603EE7B2">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工程建设内容为新钻2口评价井，完井后进行试油，获取有关技术参数。项目主要建设内容包括钻前工程、钻井工程、试油工程。项目环评仅适用于工程钻试期，钻试结束后即封井或转为开发井。纳入区块产能开发工程中的，须另行组织区块及运营期环境影响评价。</w:t>
            </w:r>
            <w:r>
              <w:rPr>
                <w:rFonts w:hint="default" w:ascii="Times New Roman" w:hAnsi="Times New Roman" w:eastAsia="宋体" w:cs="Times New Roman"/>
                <w:color w:val="000000" w:themeColor="text1"/>
                <w:sz w:val="24"/>
                <w:szCs w:val="24"/>
                <w14:textFill>
                  <w14:solidFill>
                    <w14:schemeClr w14:val="tx1"/>
                  </w14:solidFill>
                </w14:textFill>
              </w:rPr>
              <w:t>本项目工程组成详见表2-</w:t>
            </w:r>
            <w:r>
              <w:rPr>
                <w:rFonts w:hint="default" w:ascii="Times New Roman" w:hAnsi="Times New Roman" w:eastAsia="宋体" w:cs="Times New Roman"/>
                <w:color w:val="000000" w:themeColor="text1"/>
                <w:sz w:val="24"/>
                <w:szCs w:val="24"/>
                <w:lang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bookmarkStart w:id="4" w:name="OLE_LINK39"/>
          </w:p>
          <w:p w14:paraId="684B8522">
            <w:pPr>
              <w:widowControl w:val="0"/>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eastAsia="zh-CN"/>
                <w14:textFill>
                  <w14:solidFill>
                    <w14:schemeClr w14:val="tx1"/>
                  </w14:solidFill>
                </w14:textFill>
              </w:rPr>
              <w:t xml:space="preserve">2-2 </w:t>
            </w:r>
            <w:r>
              <w:rPr>
                <w:rFonts w:hint="default" w:ascii="Times New Roman" w:hAnsi="Times New Roman" w:eastAsia="宋体" w:cs="Times New Roman"/>
                <w:b/>
                <w:bCs/>
                <w:color w:val="000000" w:themeColor="text1"/>
                <w14:textFill>
                  <w14:solidFill>
                    <w14:schemeClr w14:val="tx1"/>
                  </w14:solidFill>
                </w14:textFill>
              </w:rPr>
              <w:t>工程组成一览表</w:t>
            </w:r>
          </w:p>
          <w:bookmarkEnd w:id="4"/>
          <w:tbl>
            <w:tblPr>
              <w:tblStyle w:val="16"/>
              <w:tblW w:w="491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35"/>
              <w:gridCol w:w="652"/>
              <w:gridCol w:w="1370"/>
              <w:gridCol w:w="5871"/>
            </w:tblGrid>
            <w:tr w14:paraId="49C050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373" w:type="pct"/>
                  <w:tcBorders>
                    <w:top w:val="single" w:color="auto" w:sz="4" w:space="0"/>
                    <w:left w:val="single" w:color="auto" w:sz="0" w:space="0"/>
                    <w:bottom w:val="single" w:color="auto" w:sz="4" w:space="0"/>
                    <w:right w:val="single" w:color="auto" w:sz="4" w:space="0"/>
                  </w:tcBorders>
                  <w:vAlign w:val="center"/>
                </w:tcPr>
                <w:p w14:paraId="343F51A7">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bookmarkStart w:id="5" w:name="OLE_LINK54"/>
                  <w:bookmarkStart w:id="6" w:name="_Hlk176172371"/>
                  <w:bookmarkStart w:id="7" w:name="_Ref19637151"/>
                  <w:r>
                    <w:rPr>
                      <w:rFonts w:hint="default" w:ascii="Times New Roman" w:hAnsi="Times New Roman" w:eastAsia="宋体" w:cs="Times New Roman"/>
                      <w:b/>
                      <w:bCs/>
                      <w:color w:val="000000" w:themeColor="text1"/>
                      <w14:textFill>
                        <w14:solidFill>
                          <w14:schemeClr w14:val="tx1"/>
                        </w14:solidFill>
                      </w14:textFill>
                    </w:rPr>
                    <w:t>工程组成</w:t>
                  </w:r>
                </w:p>
              </w:tc>
              <w:tc>
                <w:tcPr>
                  <w:tcW w:w="4627" w:type="pct"/>
                  <w:gridSpan w:val="3"/>
                  <w:tcBorders>
                    <w:top w:val="single" w:color="auto" w:sz="4" w:space="0"/>
                    <w:left w:val="single" w:color="auto" w:sz="4" w:space="0"/>
                    <w:bottom w:val="single" w:color="auto" w:sz="4" w:space="0"/>
                    <w:right w:val="single" w:color="auto" w:sz="4" w:space="0"/>
                  </w:tcBorders>
                  <w:vAlign w:val="center"/>
                </w:tcPr>
                <w:p w14:paraId="7C2C4782">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工程内容</w:t>
                  </w:r>
                </w:p>
              </w:tc>
            </w:tr>
            <w:tr w14:paraId="7250A5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bottom w:val="single" w:color="auto" w:sz="4" w:space="0"/>
                    <w:right w:val="single" w:color="auto" w:sz="4" w:space="0"/>
                  </w:tcBorders>
                  <w:vAlign w:val="center"/>
                </w:tcPr>
                <w:p w14:paraId="71D34AD7">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主体工程</w:t>
                  </w: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51EAFEA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钻前工程</w:t>
                  </w:r>
                </w:p>
              </w:tc>
              <w:tc>
                <w:tcPr>
                  <w:tcW w:w="3442" w:type="pct"/>
                  <w:tcBorders>
                    <w:top w:val="single" w:color="auto" w:sz="4" w:space="0"/>
                    <w:left w:val="single" w:color="auto" w:sz="4" w:space="0"/>
                    <w:bottom w:val="single" w:color="auto" w:sz="4" w:space="0"/>
                    <w:right w:val="single" w:color="auto" w:sz="4" w:space="0"/>
                  </w:tcBorders>
                  <w:vAlign w:val="center"/>
                </w:tcPr>
                <w:p w14:paraId="3F386A3E">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进行“三通一平”，修建钻井设备基础、场地平整及临时场区划分；生活营地搭建（将营地建设纳入钻前统筹规划）；钻机及其配套设备搬迁、安装等。</w:t>
                  </w:r>
                </w:p>
              </w:tc>
            </w:tr>
            <w:tr w14:paraId="665DC0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1AFCB01B">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bookmarkStart w:id="8" w:name="_Hlk186369386"/>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6AFCC383">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钻井工程</w:t>
                  </w:r>
                </w:p>
              </w:tc>
              <w:tc>
                <w:tcPr>
                  <w:tcW w:w="3442" w:type="pct"/>
                  <w:tcBorders>
                    <w:top w:val="single" w:color="auto" w:sz="4" w:space="0"/>
                    <w:left w:val="single" w:color="auto" w:sz="4" w:space="0"/>
                    <w:bottom w:val="single" w:color="auto" w:sz="4" w:space="0"/>
                    <w:right w:val="single" w:color="auto" w:sz="4" w:space="0"/>
                  </w:tcBorders>
                  <w:vAlign w:val="center"/>
                </w:tcPr>
                <w:p w14:paraId="7DE57245">
                  <w:pPr>
                    <w:kinsoku/>
                    <w:spacing w:line="300" w:lineRule="exact"/>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新钻评价井</w:t>
                  </w: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萨L1501H</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萨L1501H-1</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，井型均为水平井，三开井身结构，设计井深</w:t>
                  </w: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为</w:t>
                  </w: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5000</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m。单井</w:t>
                  </w:r>
                  <w:r>
                    <w:rPr>
                      <w:rFonts w:hint="default" w:ascii="Times New Roman" w:hAnsi="Times New Roman" w:eastAsia="宋体" w:cs="Times New Roman"/>
                      <w:color w:val="000000" w:themeColor="text1"/>
                      <w:highlight w:val="none"/>
                      <w:lang w:eastAsia="zh-CN"/>
                      <w14:textFill>
                        <w14:solidFill>
                          <w14:schemeClr w14:val="tx1"/>
                        </w14:solidFill>
                      </w14:textFill>
                    </w:rPr>
                    <w:t>钻井期为90天</w:t>
                  </w:r>
                </w:p>
              </w:tc>
            </w:tr>
            <w:bookmarkEnd w:id="8"/>
            <w:tr w14:paraId="7D0770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35B546D9">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66BCDCC">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试油工程</w:t>
                  </w:r>
                </w:p>
              </w:tc>
              <w:tc>
                <w:tcPr>
                  <w:tcW w:w="3442" w:type="pct"/>
                  <w:tcBorders>
                    <w:top w:val="single" w:color="auto" w:sz="4" w:space="0"/>
                    <w:left w:val="single" w:color="auto" w:sz="4" w:space="0"/>
                    <w:bottom w:val="single" w:color="auto" w:sz="4" w:space="0"/>
                    <w:right w:val="single" w:color="auto" w:sz="4" w:space="0"/>
                  </w:tcBorders>
                  <w:vAlign w:val="center"/>
                </w:tcPr>
                <w:p w14:paraId="70C2D237">
                  <w:pPr>
                    <w:kinsoku/>
                    <w:spacing w:line="300" w:lineRule="exact"/>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主要包括试油准备、储层改造和试油，对完钻井进行通井、洗井、试压、射孔、诱喷、压裂、求产等工序，并配套洗井液注入泵等试油设备，记录油气产量；试油期为300天</w:t>
                  </w:r>
                </w:p>
              </w:tc>
            </w:tr>
            <w:tr w14:paraId="6C7F71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16B4E0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C9C39BB">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完井</w:t>
                  </w:r>
                  <w:r>
                    <w:rPr>
                      <w:rFonts w:hint="default" w:ascii="Times New Roman" w:hAnsi="Times New Roman" w:eastAsia="宋体" w:cs="Times New Roman"/>
                      <w:color w:val="000000" w:themeColor="text1"/>
                      <w:lang w:eastAsia="zh-CN"/>
                      <w14:textFill>
                        <w14:solidFill>
                          <w14:schemeClr w14:val="tx1"/>
                        </w14:solidFill>
                      </w14:textFill>
                    </w:rPr>
                    <w:t>工程</w:t>
                  </w:r>
                </w:p>
              </w:tc>
              <w:tc>
                <w:tcPr>
                  <w:tcW w:w="3442" w:type="pct"/>
                  <w:tcBorders>
                    <w:top w:val="single" w:color="auto" w:sz="4" w:space="0"/>
                    <w:left w:val="single" w:color="auto" w:sz="4" w:space="0"/>
                    <w:bottom w:val="single" w:color="auto" w:sz="4" w:space="0"/>
                    <w:right w:val="single" w:color="auto" w:sz="4" w:space="0"/>
                  </w:tcBorders>
                  <w:vAlign w:val="center"/>
                </w:tcPr>
                <w:p w14:paraId="005F8BB6">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根据试油结果进行关井或封井作业，最后撤去所有生产设施，清理、平整井场及场地恢复</w:t>
                  </w:r>
                </w:p>
              </w:tc>
            </w:tr>
            <w:tr w14:paraId="482AC3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right w:val="single" w:color="auto" w:sz="4" w:space="0"/>
                  </w:tcBorders>
                  <w:vAlign w:val="center"/>
                </w:tcPr>
                <w:p w14:paraId="70287D90">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辅助工程</w:t>
                  </w: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5C65F951">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放喷设施</w:t>
                  </w:r>
                </w:p>
              </w:tc>
              <w:tc>
                <w:tcPr>
                  <w:tcW w:w="3442" w:type="pct"/>
                  <w:tcBorders>
                    <w:top w:val="single" w:color="auto" w:sz="4" w:space="0"/>
                    <w:left w:val="single" w:color="auto" w:sz="4" w:space="0"/>
                    <w:bottom w:val="single" w:color="auto" w:sz="4" w:space="0"/>
                    <w:right w:val="single" w:color="auto" w:sz="4" w:space="0"/>
                  </w:tcBorders>
                  <w:vAlign w:val="center"/>
                </w:tcPr>
                <w:p w14:paraId="4F1A89F1">
                  <w:pPr>
                    <w:kinsoku/>
                    <w:spacing w:line="300" w:lineRule="exact"/>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钻井左右两侧各设置1条放喷管线，试油井口两侧分别设置放喷、压井管线。</w:t>
                  </w:r>
                </w:p>
              </w:tc>
            </w:tr>
            <w:tr w14:paraId="513444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2B9B2DB7">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7B359700">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井控系统</w:t>
                  </w:r>
                </w:p>
              </w:tc>
              <w:tc>
                <w:tcPr>
                  <w:tcW w:w="3442" w:type="pct"/>
                  <w:tcBorders>
                    <w:top w:val="single" w:color="auto" w:sz="4" w:space="0"/>
                    <w:left w:val="single" w:color="auto" w:sz="4" w:space="0"/>
                    <w:bottom w:val="single" w:color="auto" w:sz="4" w:space="0"/>
                    <w:right w:val="single" w:color="auto" w:sz="4" w:space="0"/>
                  </w:tcBorders>
                  <w:vAlign w:val="center"/>
                </w:tcPr>
                <w:p w14:paraId="51EECCD1">
                  <w:pPr>
                    <w:kinsoku/>
                    <w:spacing w:line="300" w:lineRule="exact"/>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钻井、试油井口设置1套井控系统，防止钻井及试油时产生井喷。</w:t>
                  </w:r>
                </w:p>
              </w:tc>
            </w:tr>
            <w:tr w14:paraId="0BBDBD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5D33819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1BFE669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钻井动力系统</w:t>
                  </w:r>
                </w:p>
              </w:tc>
              <w:tc>
                <w:tcPr>
                  <w:tcW w:w="3442" w:type="pct"/>
                  <w:tcBorders>
                    <w:top w:val="single" w:color="auto" w:sz="4" w:space="0"/>
                    <w:left w:val="single" w:color="auto" w:sz="4" w:space="0"/>
                    <w:bottom w:val="single" w:color="auto" w:sz="4" w:space="0"/>
                    <w:right w:val="single" w:color="auto" w:sz="4" w:space="0"/>
                  </w:tcBorders>
                  <w:vAlign w:val="center"/>
                </w:tcPr>
                <w:p w14:paraId="09B1F983">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本项目施工动力主要依靠</w:t>
                  </w:r>
                  <w:r>
                    <w:rPr>
                      <w:rFonts w:hint="default" w:ascii="Times New Roman" w:hAnsi="Times New Roman" w:eastAsia="宋体" w:cs="Times New Roman"/>
                      <w:color w:val="000000" w:themeColor="text1"/>
                      <w:lang w:val="en-US" w:eastAsia="zh-CN"/>
                      <w14:textFill>
                        <w14:solidFill>
                          <w14:schemeClr w14:val="tx1"/>
                        </w14:solidFill>
                      </w14:textFill>
                    </w:rPr>
                    <w:t>工业用电</w:t>
                  </w:r>
                  <w:r>
                    <w:rPr>
                      <w:rFonts w:hint="default" w:ascii="Times New Roman" w:hAnsi="Times New Roman" w:eastAsia="宋体" w:cs="Times New Roman"/>
                      <w:color w:val="000000" w:themeColor="text1"/>
                      <w:lang w:eastAsia="zh-CN"/>
                      <w14:textFill>
                        <w14:solidFill>
                          <w14:schemeClr w14:val="tx1"/>
                        </w14:solidFill>
                      </w14:textFill>
                    </w:rPr>
                    <w:t>，柴油发电机仅作为备用电源</w:t>
                  </w:r>
                </w:p>
              </w:tc>
            </w:tr>
            <w:tr w14:paraId="1BA5C7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091AD59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65804397">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不落地系统</w:t>
                  </w:r>
                </w:p>
              </w:tc>
              <w:tc>
                <w:tcPr>
                  <w:tcW w:w="3442" w:type="pct"/>
                  <w:tcBorders>
                    <w:top w:val="single" w:color="auto" w:sz="4" w:space="0"/>
                    <w:left w:val="single" w:color="auto" w:sz="4" w:space="0"/>
                    <w:bottom w:val="single" w:color="auto" w:sz="4" w:space="0"/>
                    <w:right w:val="single" w:color="auto" w:sz="4" w:space="0"/>
                  </w:tcBorders>
                  <w:vAlign w:val="center"/>
                </w:tcPr>
                <w:p w14:paraId="04ADD3DF">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各钻井设置1套钻井液不落地设备</w:t>
                  </w:r>
                </w:p>
              </w:tc>
            </w:tr>
            <w:tr w14:paraId="44D763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41E69A7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46C079F5">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生活营地</w:t>
                  </w:r>
                </w:p>
              </w:tc>
              <w:tc>
                <w:tcPr>
                  <w:tcW w:w="3442" w:type="pct"/>
                  <w:tcBorders>
                    <w:top w:val="single" w:color="auto" w:sz="4" w:space="0"/>
                    <w:left w:val="single" w:color="auto" w:sz="4" w:space="0"/>
                    <w:bottom w:val="single" w:color="auto" w:sz="4" w:space="0"/>
                    <w:right w:val="single" w:color="auto" w:sz="4" w:space="0"/>
                  </w:tcBorders>
                  <w:vAlign w:val="center"/>
                </w:tcPr>
                <w:p w14:paraId="611384B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钻井井场</w:t>
                  </w:r>
                  <w:r>
                    <w:rPr>
                      <w:rFonts w:hint="default" w:ascii="Times New Roman" w:hAnsi="Times New Roman" w:eastAsia="宋体" w:cs="Times New Roman"/>
                      <w:color w:val="000000" w:themeColor="text1"/>
                      <w:lang w:eastAsia="zh-CN"/>
                      <w14:textFill>
                        <w14:solidFill>
                          <w14:schemeClr w14:val="tx1"/>
                        </w14:solidFill>
                      </w14:textFill>
                    </w:rPr>
                    <w:t>设1个生活营地，临时占地2400m</w:t>
                  </w:r>
                  <w:r>
                    <w:rPr>
                      <w:rFonts w:hint="default" w:ascii="Times New Roman" w:hAnsi="Times New Roman" w:eastAsia="宋体" w:cs="Times New Roman"/>
                      <w:color w:val="000000" w:themeColor="text1"/>
                      <w:vertAlign w:val="superscript"/>
                      <w:lang w:eastAsia="zh-CN"/>
                      <w14:textFill>
                        <w14:solidFill>
                          <w14:schemeClr w14:val="tx1"/>
                        </w14:solidFill>
                      </w14:textFill>
                    </w:rPr>
                    <w:t>2</w:t>
                  </w:r>
                </w:p>
              </w:tc>
            </w:tr>
            <w:tr w14:paraId="258B92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1600E71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3BAEE5C7">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油品储存区</w:t>
                  </w:r>
                </w:p>
              </w:tc>
              <w:tc>
                <w:tcPr>
                  <w:tcW w:w="3442" w:type="pct"/>
                  <w:tcBorders>
                    <w:top w:val="single" w:color="auto" w:sz="4" w:space="0"/>
                    <w:left w:val="single" w:color="auto" w:sz="4" w:space="0"/>
                    <w:bottom w:val="single" w:color="auto" w:sz="4" w:space="0"/>
                    <w:right w:val="single" w:color="auto" w:sz="4" w:space="0"/>
                  </w:tcBorders>
                  <w:vAlign w:val="center"/>
                </w:tcPr>
                <w:p w14:paraId="3FB1DD82">
                  <w:pPr>
                    <w:kinsoku/>
                    <w:spacing w:line="300" w:lineRule="exact"/>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钻井井场</w:t>
                  </w:r>
                  <w:r>
                    <w:rPr>
                      <w:rFonts w:hint="default" w:ascii="Times New Roman" w:hAnsi="Times New Roman" w:eastAsia="宋体" w:cs="Times New Roman"/>
                      <w:color w:val="000000" w:themeColor="text1"/>
                      <w:highlight w:val="none"/>
                      <w:lang w:eastAsia="zh-CN"/>
                      <w14:textFill>
                        <w14:solidFill>
                          <w14:schemeClr w14:val="tx1"/>
                        </w14:solidFill>
                      </w14:textFill>
                    </w:rPr>
                    <w:t>设置一处油品储存区，油品储存区进行重点防渗</w:t>
                  </w:r>
                </w:p>
              </w:tc>
            </w:tr>
            <w:bookmarkEnd w:id="5"/>
            <w:tr w14:paraId="4C88D3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bottom w:val="single" w:color="auto" w:sz="4" w:space="0"/>
                    <w:right w:val="single" w:color="auto" w:sz="4" w:space="0"/>
                  </w:tcBorders>
                  <w:vAlign w:val="center"/>
                </w:tcPr>
                <w:p w14:paraId="767B5805">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公用工程</w:t>
                  </w: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74ECAE46">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供配电</w:t>
                  </w:r>
                </w:p>
              </w:tc>
              <w:tc>
                <w:tcPr>
                  <w:tcW w:w="3442" w:type="pct"/>
                  <w:tcBorders>
                    <w:top w:val="single" w:color="auto" w:sz="4" w:space="0"/>
                    <w:left w:val="single" w:color="auto" w:sz="4" w:space="0"/>
                    <w:bottom w:val="single" w:color="auto" w:sz="4" w:space="0"/>
                    <w:right w:val="single" w:color="auto" w:sz="4" w:space="0"/>
                  </w:tcBorders>
                  <w:vAlign w:val="center"/>
                </w:tcPr>
                <w:p w14:paraId="36E6BA60">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钻井井场钻机、办公等主要依靠工业用电供电，配备柴油发电机作为应急备用</w:t>
                  </w:r>
                </w:p>
              </w:tc>
            </w:tr>
            <w:tr w14:paraId="518B9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38384B1A">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62A5E9E7">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给水</w:t>
                  </w:r>
                </w:p>
              </w:tc>
              <w:tc>
                <w:tcPr>
                  <w:tcW w:w="3442" w:type="pct"/>
                  <w:tcBorders>
                    <w:top w:val="single" w:color="auto" w:sz="4" w:space="0"/>
                    <w:left w:val="single" w:color="auto" w:sz="4" w:space="0"/>
                    <w:bottom w:val="single" w:color="auto" w:sz="4" w:space="0"/>
                    <w:right w:val="single" w:color="auto" w:sz="4" w:space="0"/>
                  </w:tcBorders>
                  <w:vAlign w:val="center"/>
                </w:tcPr>
                <w:p w14:paraId="120B2B5F">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钻井井场</w:t>
                  </w:r>
                  <w:r>
                    <w:rPr>
                      <w:rFonts w:hint="default" w:ascii="Times New Roman" w:hAnsi="Times New Roman" w:eastAsia="宋体" w:cs="Times New Roman"/>
                      <w:color w:val="000000" w:themeColor="text1"/>
                      <w:lang w:eastAsia="zh-CN"/>
                      <w14:textFill>
                        <w14:solidFill>
                          <w14:schemeClr w14:val="tx1"/>
                        </w14:solidFill>
                      </w14:textFill>
                    </w:rPr>
                    <w:t>用水从就近村庄拉运至钻试场</w:t>
                  </w:r>
                </w:p>
              </w:tc>
            </w:tr>
            <w:tr w14:paraId="2E87E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732A03DF">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DE372EE">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供热</w:t>
                  </w:r>
                </w:p>
              </w:tc>
              <w:tc>
                <w:tcPr>
                  <w:tcW w:w="3442" w:type="pct"/>
                  <w:tcBorders>
                    <w:top w:val="single" w:color="auto" w:sz="4" w:space="0"/>
                    <w:left w:val="single" w:color="auto" w:sz="4" w:space="0"/>
                    <w:bottom w:val="single" w:color="auto" w:sz="4" w:space="0"/>
                    <w:right w:val="single" w:color="auto" w:sz="4" w:space="0"/>
                  </w:tcBorders>
                  <w:vAlign w:val="center"/>
                </w:tcPr>
                <w:p w14:paraId="09BCE41D">
                  <w:pPr>
                    <w:kinsoku/>
                    <w:spacing w:line="300" w:lineRule="exact"/>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遇</w:t>
                  </w:r>
                  <w:r>
                    <w:rPr>
                      <w:rFonts w:hint="default" w:ascii="Times New Roman" w:hAnsi="Times New Roman" w:eastAsia="宋体" w:cs="Times New Roman"/>
                      <w:color w:val="000000" w:themeColor="text1"/>
                      <w:highlight w:val="none"/>
                      <w:lang w:eastAsia="zh-CN"/>
                      <w14:textFill>
                        <w14:solidFill>
                          <w14:schemeClr w14:val="tx1"/>
                        </w14:solidFill>
                      </w14:textFill>
                    </w:rPr>
                    <w:t>冬季施工阶段，本项目新建1台2.5t/h的生物质蒸汽锅炉，对井口、泥浆罐、水罐、钻井</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highlight w:val="none"/>
                      <w:lang w:eastAsia="zh-CN"/>
                      <w14:textFill>
                        <w14:solidFill>
                          <w14:schemeClr w14:val="tx1"/>
                        </w14:solidFill>
                      </w14:textFill>
                    </w:rPr>
                    <w:t>通过管线进行保温；生活办公区冬季供暖采用电采暖</w:t>
                  </w:r>
                </w:p>
              </w:tc>
            </w:tr>
            <w:tr w14:paraId="2F4793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E253F3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65F66F87">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道路</w:t>
                  </w:r>
                </w:p>
              </w:tc>
              <w:tc>
                <w:tcPr>
                  <w:tcW w:w="3442" w:type="pct"/>
                  <w:tcBorders>
                    <w:top w:val="single" w:color="auto" w:sz="4" w:space="0"/>
                    <w:left w:val="single" w:color="auto" w:sz="4" w:space="0"/>
                    <w:bottom w:val="single" w:color="auto" w:sz="4" w:space="0"/>
                    <w:right w:val="single" w:color="auto" w:sz="4" w:space="0"/>
                  </w:tcBorders>
                  <w:vAlign w:val="center"/>
                </w:tcPr>
                <w:p w14:paraId="3A216C61">
                  <w:pPr>
                    <w:kinsoku/>
                    <w:spacing w:line="300" w:lineRule="exact"/>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本项目依托既有道路，不新建临时道路。</w:t>
                  </w:r>
                </w:p>
              </w:tc>
            </w:tr>
            <w:tr w14:paraId="2C26C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67DFC8C2">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F259F2F">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消防</w:t>
                  </w:r>
                </w:p>
              </w:tc>
              <w:tc>
                <w:tcPr>
                  <w:tcW w:w="3442" w:type="pct"/>
                  <w:tcBorders>
                    <w:top w:val="single" w:color="auto" w:sz="4" w:space="0"/>
                    <w:left w:val="single" w:color="auto" w:sz="4" w:space="0"/>
                    <w:bottom w:val="single" w:color="auto" w:sz="4" w:space="0"/>
                    <w:right w:val="single" w:color="auto" w:sz="4" w:space="0"/>
                  </w:tcBorders>
                  <w:vAlign w:val="center"/>
                </w:tcPr>
                <w:p w14:paraId="31588659">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钻井井场</w:t>
                  </w:r>
                  <w:r>
                    <w:rPr>
                      <w:rFonts w:hint="default" w:ascii="Times New Roman" w:hAnsi="Times New Roman" w:eastAsia="宋体" w:cs="Times New Roman"/>
                      <w:color w:val="000000" w:themeColor="text1"/>
                      <w:lang w:eastAsia="zh-CN"/>
                      <w14:textFill>
                        <w14:solidFill>
                          <w14:schemeClr w14:val="tx1"/>
                        </w14:solidFill>
                      </w14:textFill>
                    </w:rPr>
                    <w:t>按规范配置一定数量的消防器材</w:t>
                  </w:r>
                </w:p>
              </w:tc>
            </w:tr>
            <w:tr w14:paraId="7FD62A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right w:val="single" w:color="auto" w:sz="4" w:space="0"/>
                  </w:tcBorders>
                  <w:vAlign w:val="center"/>
                </w:tcPr>
                <w:p w14:paraId="66C4D695">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储运工程</w:t>
                  </w: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868F85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钻井、固井材料储存区</w:t>
                  </w:r>
                </w:p>
              </w:tc>
              <w:tc>
                <w:tcPr>
                  <w:tcW w:w="3442" w:type="pct"/>
                  <w:tcBorders>
                    <w:top w:val="single" w:color="auto" w:sz="4" w:space="0"/>
                    <w:left w:val="single" w:color="auto" w:sz="4" w:space="0"/>
                    <w:bottom w:val="single" w:color="auto" w:sz="4" w:space="0"/>
                    <w:right w:val="single" w:color="auto" w:sz="4" w:space="0"/>
                  </w:tcBorders>
                  <w:vAlign w:val="center"/>
                </w:tcPr>
                <w:p w14:paraId="5E0BA56D">
                  <w:pPr>
                    <w:kinsoku/>
                    <w:spacing w:line="300" w:lineRule="exact"/>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钻井井场</w:t>
                  </w:r>
                  <w:r>
                    <w:rPr>
                      <w:rFonts w:hint="default" w:ascii="Times New Roman" w:hAnsi="Times New Roman" w:eastAsia="宋体" w:cs="Times New Roman"/>
                      <w:color w:val="000000" w:themeColor="text1"/>
                      <w:highlight w:val="none"/>
                      <w:lang w:eastAsia="zh-CN"/>
                      <w14:textFill>
                        <w14:solidFill>
                          <w14:schemeClr w14:val="tx1"/>
                        </w14:solidFill>
                      </w14:textFill>
                    </w:rPr>
                    <w:t>设置1处材料堆存区，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冬季</w:t>
                  </w:r>
                  <w:r>
                    <w:rPr>
                      <w:rFonts w:hint="default" w:ascii="Times New Roman" w:hAnsi="Times New Roman" w:eastAsia="宋体" w:cs="Times New Roman"/>
                      <w:color w:val="000000" w:themeColor="text1"/>
                      <w:highlight w:val="none"/>
                      <w:lang w:eastAsia="zh-CN"/>
                      <w14:textFill>
                        <w14:solidFill>
                          <w14:schemeClr w14:val="tx1"/>
                        </w14:solidFill>
                      </w14:textFill>
                    </w:rPr>
                    <w:t>修建保温棚，泥浆材料下铺上盖，地面防渗处理</w:t>
                  </w:r>
                </w:p>
              </w:tc>
            </w:tr>
            <w:tr w14:paraId="5849D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562B48E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55988C2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危险废物临时贮存间</w:t>
                  </w:r>
                </w:p>
              </w:tc>
              <w:tc>
                <w:tcPr>
                  <w:tcW w:w="3442" w:type="pct"/>
                  <w:tcBorders>
                    <w:top w:val="single" w:color="auto" w:sz="4" w:space="0"/>
                    <w:left w:val="single" w:color="auto" w:sz="4" w:space="0"/>
                    <w:bottom w:val="single" w:color="auto" w:sz="4" w:space="0"/>
                    <w:right w:val="single" w:color="auto" w:sz="4" w:space="0"/>
                  </w:tcBorders>
                  <w:vAlign w:val="center"/>
                </w:tcPr>
                <w:p w14:paraId="5844890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按照《危险废物贮存污染控制标准》（GB18597-2023）等的相关要求在</w:t>
                  </w:r>
                  <w:r>
                    <w:rPr>
                      <w:rFonts w:hint="default" w:ascii="Times New Roman" w:hAnsi="Times New Roman" w:eastAsia="宋体" w:cs="Times New Roman"/>
                      <w:color w:val="000000" w:themeColor="text1"/>
                      <w:lang w:val="en-US" w:eastAsia="zh-CN"/>
                      <w14:textFill>
                        <w14:solidFill>
                          <w14:schemeClr w14:val="tx1"/>
                        </w14:solidFill>
                      </w14:textFill>
                    </w:rPr>
                    <w:t>钻井井场</w:t>
                  </w:r>
                  <w:r>
                    <w:rPr>
                      <w:rFonts w:hint="default" w:ascii="Times New Roman" w:hAnsi="Times New Roman" w:eastAsia="宋体" w:cs="Times New Roman"/>
                      <w:color w:val="000000" w:themeColor="text1"/>
                      <w:lang w:eastAsia="zh-CN"/>
                      <w14:textFill>
                        <w14:solidFill>
                          <w14:schemeClr w14:val="tx1"/>
                        </w14:solidFill>
                      </w14:textFill>
                    </w:rPr>
                    <w:t>设置的1座危险废物临时贮存间，其内部有效容积不低于50m³；地面防渗性能按重点防渗区执行，严格采用2mm厚HDPE防渗膜（满足等效黏土防渗层Mb≥6.0m，K≤1.0×10⁻⁷cm/s）；内部针对不同类别的危险废物，设置防渗导流隔挡进行分区隔离，分区隔离高度不低于0.5m。</w:t>
                  </w:r>
                </w:p>
              </w:tc>
            </w:tr>
            <w:tr w14:paraId="2A1599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23C3D54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AD95F68">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油</w:t>
                  </w:r>
                  <w:r>
                    <w:rPr>
                      <w:rFonts w:hint="default" w:ascii="Times New Roman" w:hAnsi="Times New Roman" w:eastAsia="宋体" w:cs="Times New Roman"/>
                      <w:color w:val="000000" w:themeColor="text1"/>
                      <w14:textFill>
                        <w14:solidFill>
                          <w14:schemeClr w14:val="tx1"/>
                        </w14:solidFill>
                      </w14:textFill>
                    </w:rPr>
                    <w:t>罐区</w:t>
                  </w:r>
                </w:p>
              </w:tc>
              <w:tc>
                <w:tcPr>
                  <w:tcW w:w="3442" w:type="pct"/>
                  <w:tcBorders>
                    <w:top w:val="single" w:color="auto" w:sz="4" w:space="0"/>
                    <w:left w:val="single" w:color="auto" w:sz="4" w:space="0"/>
                    <w:bottom w:val="single" w:color="auto" w:sz="4" w:space="0"/>
                    <w:right w:val="single" w:color="auto" w:sz="4" w:space="0"/>
                  </w:tcBorders>
                  <w:vAlign w:val="center"/>
                </w:tcPr>
                <w:p w14:paraId="702DDA1E">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钻井井场</w:t>
                  </w:r>
                  <w:r>
                    <w:rPr>
                      <w:rFonts w:hint="default" w:ascii="Times New Roman" w:hAnsi="Times New Roman" w:eastAsia="宋体" w:cs="Times New Roman"/>
                      <w:color w:val="000000" w:themeColor="text1"/>
                      <w:lang w:eastAsia="zh-CN"/>
                      <w14:textFill>
                        <w14:solidFill>
                          <w14:schemeClr w14:val="tx1"/>
                        </w14:solidFill>
                      </w14:textFill>
                    </w:rPr>
                    <w:t>设置</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个</w:t>
                  </w:r>
                  <w:r>
                    <w:rPr>
                      <w:rFonts w:hint="default"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eastAsia="zh-CN"/>
                      <w14:textFill>
                        <w14:solidFill>
                          <w14:schemeClr w14:val="tx1"/>
                        </w14:solidFill>
                      </w14:textFill>
                    </w:rPr>
                    <w:t>0m</w:t>
                  </w:r>
                  <w:r>
                    <w:rPr>
                      <w:rFonts w:hint="default" w:ascii="Times New Roman" w:hAnsi="Times New Roman" w:eastAsia="宋体" w:cs="Times New Roman"/>
                      <w:color w:val="000000" w:themeColor="text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原油临时储罐，设置围堰；底部防渗，防渗性能不应低于6.0m厚渗透系数为1.0×10</w:t>
                  </w:r>
                  <w:r>
                    <w:rPr>
                      <w:rFonts w:hint="default" w:ascii="Times New Roman" w:hAnsi="Times New Roman" w:eastAsia="宋体" w:cs="Times New Roman"/>
                      <w:color w:val="000000" w:themeColor="text1"/>
                      <w:vertAlign w:val="superscript"/>
                      <w:lang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cm/s的黏土层</w:t>
                  </w:r>
                </w:p>
              </w:tc>
            </w:tr>
            <w:tr w14:paraId="45D130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bottom w:val="single" w:color="auto" w:sz="4" w:space="0"/>
                    <w:right w:val="single" w:color="auto" w:sz="4" w:space="0"/>
                  </w:tcBorders>
                  <w:vAlign w:val="center"/>
                </w:tcPr>
                <w:p w14:paraId="19B72C8B">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3349E4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泥浆储备罐区</w:t>
                  </w:r>
                </w:p>
              </w:tc>
              <w:tc>
                <w:tcPr>
                  <w:tcW w:w="3442" w:type="pct"/>
                  <w:tcBorders>
                    <w:top w:val="single" w:color="auto" w:sz="4" w:space="0"/>
                    <w:left w:val="single" w:color="auto" w:sz="4" w:space="0"/>
                    <w:bottom w:val="single" w:color="auto" w:sz="4" w:space="0"/>
                    <w:right w:val="single" w:color="auto" w:sz="4" w:space="0"/>
                  </w:tcBorders>
                  <w:vAlign w:val="center"/>
                </w:tcPr>
                <w:p w14:paraId="34A8ABBD">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位于泥浆循环系统区域，配备4个40m³泥浆净化罐，1个60m³套装水罐，用于钻井液及施工用水的循环与储存。周边设置围堰及重点防渗。</w:t>
                  </w:r>
                </w:p>
              </w:tc>
            </w:tr>
            <w:tr w14:paraId="39F6E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bottom w:val="single" w:color="auto" w:sz="4" w:space="0"/>
                    <w:right w:val="single" w:color="auto" w:sz="4" w:space="0"/>
                  </w:tcBorders>
                  <w:vAlign w:val="center"/>
                </w:tcPr>
                <w:p w14:paraId="052B4EA3">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环保工程</w:t>
                  </w:r>
                </w:p>
              </w:tc>
              <w:tc>
                <w:tcPr>
                  <w:tcW w:w="382" w:type="pct"/>
                  <w:vMerge w:val="restart"/>
                  <w:tcBorders>
                    <w:top w:val="single" w:color="auto" w:sz="4" w:space="0"/>
                    <w:left w:val="single" w:color="auto" w:sz="4" w:space="0"/>
                    <w:bottom w:val="single" w:color="auto" w:sz="4" w:space="0"/>
                    <w:right w:val="single" w:color="auto" w:sz="4" w:space="0"/>
                  </w:tcBorders>
                  <w:vAlign w:val="center"/>
                </w:tcPr>
                <w:p w14:paraId="69748680">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w:t>
                  </w:r>
                </w:p>
              </w:tc>
              <w:tc>
                <w:tcPr>
                  <w:tcW w:w="803" w:type="pct"/>
                  <w:tcBorders>
                    <w:top w:val="single" w:color="auto" w:sz="4" w:space="0"/>
                    <w:left w:val="single" w:color="auto" w:sz="4" w:space="0"/>
                    <w:bottom w:val="single" w:color="auto" w:sz="4" w:space="0"/>
                    <w:right w:val="single" w:color="auto" w:sz="4" w:space="0"/>
                  </w:tcBorders>
                  <w:vAlign w:val="center"/>
                </w:tcPr>
                <w:p w14:paraId="3658BAB0">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伴生气</w:t>
                  </w:r>
                </w:p>
              </w:tc>
              <w:tc>
                <w:tcPr>
                  <w:tcW w:w="3442" w:type="pct"/>
                  <w:tcBorders>
                    <w:top w:val="single" w:color="auto" w:sz="4" w:space="0"/>
                    <w:left w:val="single" w:color="auto" w:sz="4" w:space="0"/>
                    <w:bottom w:val="single" w:color="auto" w:sz="4" w:space="0"/>
                    <w:right w:val="single" w:color="auto" w:sz="4" w:space="0"/>
                  </w:tcBorders>
                  <w:vAlign w:val="center"/>
                </w:tcPr>
                <w:p w14:paraId="04FEB1C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伴生气通过排气管线充分燃烧后放空</w:t>
                  </w:r>
                </w:p>
              </w:tc>
            </w:tr>
            <w:tr w14:paraId="4B8929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515BEF0F">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4EEEF82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803" w:type="pct"/>
                  <w:tcBorders>
                    <w:top w:val="single" w:color="auto" w:sz="4" w:space="0"/>
                    <w:left w:val="single" w:color="auto" w:sz="4" w:space="0"/>
                    <w:bottom w:val="single" w:color="auto" w:sz="4" w:space="0"/>
                    <w:right w:val="single" w:color="auto" w:sz="4" w:space="0"/>
                  </w:tcBorders>
                  <w:vAlign w:val="center"/>
                </w:tcPr>
                <w:p w14:paraId="40B1D01F">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施工扬尘</w:t>
                  </w:r>
                </w:p>
              </w:tc>
              <w:tc>
                <w:tcPr>
                  <w:tcW w:w="3442" w:type="pct"/>
                  <w:tcBorders>
                    <w:top w:val="single" w:color="auto" w:sz="4" w:space="0"/>
                    <w:left w:val="single" w:color="auto" w:sz="4" w:space="0"/>
                    <w:bottom w:val="single" w:color="auto" w:sz="4" w:space="0"/>
                    <w:right w:val="single" w:color="auto" w:sz="4" w:space="0"/>
                  </w:tcBorders>
                  <w:vAlign w:val="center"/>
                </w:tcPr>
                <w:p w14:paraId="008A0FB4">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对易起尘物料进行遮盖；加强车辆管理等措施；场区洒水抑尘措施</w:t>
                  </w:r>
                </w:p>
              </w:tc>
            </w:tr>
            <w:tr w14:paraId="6DB337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E5A42F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677CBF3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803" w:type="pct"/>
                  <w:tcBorders>
                    <w:top w:val="single" w:color="auto" w:sz="4" w:space="0"/>
                    <w:left w:val="single" w:color="auto" w:sz="4" w:space="0"/>
                    <w:bottom w:val="single" w:color="auto" w:sz="4" w:space="0"/>
                    <w:right w:val="single" w:color="auto" w:sz="4" w:space="0"/>
                  </w:tcBorders>
                  <w:vAlign w:val="center"/>
                </w:tcPr>
                <w:p w14:paraId="14B10049">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锅炉废气</w:t>
                  </w:r>
                </w:p>
              </w:tc>
              <w:tc>
                <w:tcPr>
                  <w:tcW w:w="3442" w:type="pct"/>
                  <w:tcBorders>
                    <w:top w:val="single" w:color="auto" w:sz="4" w:space="0"/>
                    <w:left w:val="single" w:color="auto" w:sz="4" w:space="0"/>
                    <w:bottom w:val="single" w:color="auto" w:sz="4" w:space="0"/>
                    <w:right w:val="single" w:color="auto" w:sz="4" w:space="0"/>
                  </w:tcBorders>
                  <w:vAlign w:val="center"/>
                </w:tcPr>
                <w:p w14:paraId="2735141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生物质锅炉配备“水幕预除尘+耐高温布袋除尘器”及低氮燃烧技术，废气经30m高排气筒排放</w:t>
                  </w:r>
                </w:p>
              </w:tc>
            </w:tr>
            <w:tr w14:paraId="058A8F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2380483">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797C643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803" w:type="pct"/>
                  <w:tcBorders>
                    <w:top w:val="single" w:color="auto" w:sz="4" w:space="0"/>
                    <w:left w:val="single" w:color="auto" w:sz="4" w:space="0"/>
                    <w:bottom w:val="single" w:color="auto" w:sz="4" w:space="0"/>
                    <w:right w:val="single" w:color="auto" w:sz="4" w:space="0"/>
                  </w:tcBorders>
                  <w:vAlign w:val="center"/>
                </w:tcPr>
                <w:p w14:paraId="341CA017">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柴油发电</w:t>
                  </w:r>
                </w:p>
                <w:p w14:paraId="4936689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机废气</w:t>
                  </w:r>
                </w:p>
              </w:tc>
              <w:tc>
                <w:tcPr>
                  <w:tcW w:w="3442" w:type="pct"/>
                  <w:tcBorders>
                    <w:top w:val="single" w:color="auto" w:sz="4" w:space="0"/>
                    <w:left w:val="single" w:color="auto" w:sz="4" w:space="0"/>
                    <w:bottom w:val="single" w:color="auto" w:sz="4" w:space="0"/>
                    <w:right w:val="single" w:color="auto" w:sz="4" w:space="0"/>
                  </w:tcBorders>
                  <w:vAlign w:val="center"/>
                </w:tcPr>
                <w:p w14:paraId="4757920B">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废气产生量较少，属无组织排放</w:t>
                  </w:r>
                </w:p>
              </w:tc>
            </w:tr>
            <w:tr w14:paraId="2EDA0F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FAB5ED8">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restart"/>
                  <w:tcBorders>
                    <w:top w:val="single" w:color="auto" w:sz="4" w:space="0"/>
                    <w:left w:val="single" w:color="auto" w:sz="4" w:space="0"/>
                    <w:bottom w:val="single" w:color="auto" w:sz="4" w:space="0"/>
                    <w:right w:val="single" w:color="auto" w:sz="4" w:space="0"/>
                  </w:tcBorders>
                  <w:vAlign w:val="center"/>
                </w:tcPr>
                <w:p w14:paraId="5C625FCE">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废水</w:t>
                  </w:r>
                </w:p>
              </w:tc>
              <w:tc>
                <w:tcPr>
                  <w:tcW w:w="803" w:type="pct"/>
                  <w:tcBorders>
                    <w:top w:val="single" w:color="auto" w:sz="4" w:space="0"/>
                    <w:left w:val="single" w:color="auto" w:sz="4" w:space="0"/>
                    <w:bottom w:val="single" w:color="auto" w:sz="4" w:space="0"/>
                    <w:right w:val="single" w:color="auto" w:sz="4" w:space="0"/>
                  </w:tcBorders>
                  <w:vAlign w:val="center"/>
                </w:tcPr>
                <w:p w14:paraId="45024BC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生活污水</w:t>
                  </w:r>
                </w:p>
              </w:tc>
              <w:tc>
                <w:tcPr>
                  <w:tcW w:w="3442" w:type="pct"/>
                  <w:tcBorders>
                    <w:top w:val="single" w:color="auto" w:sz="4" w:space="0"/>
                    <w:left w:val="single" w:color="auto" w:sz="4" w:space="0"/>
                    <w:bottom w:val="single" w:color="auto" w:sz="4" w:space="0"/>
                    <w:right w:val="single" w:color="auto" w:sz="4" w:space="0"/>
                  </w:tcBorders>
                  <w:vAlign w:val="center"/>
                </w:tcPr>
                <w:p w14:paraId="042231B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井场设1个</w:t>
                  </w:r>
                  <w:r>
                    <w:rPr>
                      <w:rFonts w:hint="eastAsia" w:ascii="Times New Roman" w:hAnsi="Times New Roman" w:eastAsia="宋体" w:cs="Times New Roman"/>
                      <w:color w:val="000000" w:themeColor="text1"/>
                      <w:lang w:val="en-US" w:eastAsia="zh-CN"/>
                      <w14:textFill>
                        <w14:solidFill>
                          <w14:schemeClr w14:val="tx1"/>
                        </w14:solidFill>
                      </w14:textFill>
                    </w:rPr>
                    <w:t>污水防渗收集池</w:t>
                  </w:r>
                  <w:r>
                    <w:rPr>
                      <w:rFonts w:hint="default" w:ascii="Times New Roman" w:hAnsi="Times New Roman" w:eastAsia="宋体" w:cs="Times New Roman"/>
                      <w:color w:val="000000" w:themeColor="text1"/>
                      <w:lang w:eastAsia="zh-CN"/>
                      <w14:textFill>
                        <w14:solidFill>
                          <w14:schemeClr w14:val="tx1"/>
                        </w14:solidFill>
                      </w14:textFill>
                    </w:rPr>
                    <w:t>，生活污水排入</w:t>
                  </w:r>
                  <w:r>
                    <w:rPr>
                      <w:rFonts w:hint="eastAsia" w:ascii="Times New Roman" w:hAnsi="Times New Roman" w:eastAsia="宋体" w:cs="Times New Roman"/>
                      <w:color w:val="000000" w:themeColor="text1"/>
                      <w:lang w:val="en-US" w:eastAsia="zh-CN"/>
                      <w14:textFill>
                        <w14:solidFill>
                          <w14:schemeClr w14:val="tx1"/>
                        </w14:solidFill>
                      </w14:textFill>
                    </w:rPr>
                    <w:t>污水防渗收集池</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污水防渗收集池</w:t>
                  </w:r>
                  <w:r>
                    <w:rPr>
                      <w:rFonts w:hint="default" w:ascii="Times New Roman" w:hAnsi="Times New Roman" w:eastAsia="宋体" w:cs="Times New Roman"/>
                      <w:color w:val="000000" w:themeColor="text1"/>
                      <w:lang w:eastAsia="zh-CN"/>
                      <w14:textFill>
                        <w14:solidFill>
                          <w14:schemeClr w14:val="tx1"/>
                        </w14:solidFill>
                      </w14:textFill>
                    </w:rPr>
                    <w:t>下铺防渗膜，防</w:t>
                  </w:r>
                  <w:r>
                    <w:rPr>
                      <w:rFonts w:hint="default" w:ascii="Times New Roman" w:hAnsi="Times New Roman" w:eastAsia="宋体" w:cs="Times New Roman"/>
                      <w:color w:val="000000" w:themeColor="text1"/>
                      <w:highlight w:val="none"/>
                      <w:lang w:eastAsia="zh-CN"/>
                      <w14:textFill>
                        <w14:solidFill>
                          <w14:schemeClr w14:val="tx1"/>
                        </w14:solidFill>
                      </w14:textFill>
                    </w:rPr>
                    <w:t>渗材料为HDPE防渗膜，厚度2mm，渗透系数≤10</w:t>
                  </w:r>
                  <w:r>
                    <w:rPr>
                      <w:rFonts w:hint="default" w:ascii="Times New Roman" w:hAnsi="Times New Roman" w:eastAsia="宋体" w:cs="Times New Roman"/>
                      <w:color w:val="000000" w:themeColor="text1"/>
                      <w:highlight w:val="none"/>
                      <w:vertAlign w:val="superscript"/>
                      <w:lang w:eastAsia="zh-CN"/>
                      <w14:textFill>
                        <w14:solidFill>
                          <w14:schemeClr w14:val="tx1"/>
                        </w14:solidFill>
                      </w14:textFill>
                    </w:rPr>
                    <w:t>-7</w:t>
                  </w:r>
                  <w:r>
                    <w:rPr>
                      <w:rFonts w:hint="default" w:ascii="Times New Roman" w:hAnsi="Times New Roman" w:eastAsia="宋体" w:cs="Times New Roman"/>
                      <w:color w:val="000000" w:themeColor="text1"/>
                      <w:highlight w:val="none"/>
                      <w:lang w:eastAsia="zh-CN"/>
                      <w14:textFill>
                        <w14:solidFill>
                          <w14:schemeClr w14:val="tx1"/>
                        </w14:solidFill>
                      </w14:textFill>
                    </w:rPr>
                    <w:t>cm/s，拉运至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highlight w:val="none"/>
                      <w:lang w:eastAsia="zh-CN"/>
                      <w14:textFill>
                        <w14:solidFill>
                          <w14:schemeClr w14:val="tx1"/>
                        </w14:solidFill>
                      </w14:textFill>
                    </w:rPr>
                    <w:t>市政污水处理厂进行处理，确</w:t>
                  </w:r>
                  <w:r>
                    <w:rPr>
                      <w:rFonts w:hint="default" w:ascii="Times New Roman" w:hAnsi="Times New Roman" w:eastAsia="宋体" w:cs="Times New Roman"/>
                      <w:color w:val="000000" w:themeColor="text1"/>
                      <w:lang w:eastAsia="zh-CN"/>
                      <w14:textFill>
                        <w14:solidFill>
                          <w14:schemeClr w14:val="tx1"/>
                        </w14:solidFill>
                      </w14:textFill>
                    </w:rPr>
                    <w:t>保生活污水不外排</w:t>
                  </w:r>
                </w:p>
              </w:tc>
            </w:tr>
            <w:tr w14:paraId="25C363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7E85E992">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725E824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803" w:type="pct"/>
                  <w:tcBorders>
                    <w:top w:val="single" w:color="auto" w:sz="4" w:space="0"/>
                    <w:left w:val="single" w:color="auto" w:sz="4" w:space="0"/>
                    <w:bottom w:val="single" w:color="auto" w:sz="4" w:space="0"/>
                    <w:right w:val="single" w:color="auto" w:sz="4" w:space="0"/>
                  </w:tcBorders>
                  <w:vAlign w:val="center"/>
                </w:tcPr>
                <w:p w14:paraId="2EB87133">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洗井废水和压裂返排液</w:t>
                  </w:r>
                </w:p>
              </w:tc>
              <w:tc>
                <w:tcPr>
                  <w:tcW w:w="3442" w:type="pct"/>
                  <w:tcBorders>
                    <w:top w:val="single" w:color="auto" w:sz="4" w:space="0"/>
                    <w:left w:val="single" w:color="auto" w:sz="4" w:space="0"/>
                    <w:bottom w:val="single" w:color="auto" w:sz="4" w:space="0"/>
                    <w:right w:val="single" w:color="auto" w:sz="4" w:space="0"/>
                  </w:tcBorders>
                  <w:vAlign w:val="center"/>
                </w:tcPr>
                <w:p w14:paraId="74DB8D29">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项目井下作业废水采取带罐作业，井下作业废水全部回收，拉运到</w:t>
                  </w:r>
                  <w:r>
                    <w:rPr>
                      <w:rFonts w:hint="default" w:ascii="Times New Roman" w:hAnsi="Times New Roman" w:eastAsia="宋体" w:cs="Times New Roman"/>
                      <w:color w:val="000000" w:themeColor="text1"/>
                      <w:lang w:val="en-US" w:eastAsia="zh-CN"/>
                      <w14:textFill>
                        <w14:solidFill>
                          <w14:schemeClr w14:val="tx1"/>
                        </w14:solidFill>
                      </w14:textFill>
                    </w:rPr>
                    <w:t>吉康</w:t>
                  </w:r>
                  <w:r>
                    <w:rPr>
                      <w:rFonts w:hint="default" w:ascii="Times New Roman" w:hAnsi="Times New Roman" w:eastAsia="宋体" w:cs="Times New Roman"/>
                      <w:color w:val="000000" w:themeColor="text1"/>
                      <w:lang w:eastAsia="zh-CN"/>
                      <w14:textFill>
                        <w14:solidFill>
                          <w14:schemeClr w14:val="tx1"/>
                        </w14:solidFill>
                      </w14:textFill>
                    </w:rPr>
                    <w:t>脱水站并处理达标后，全部回注油藏</w:t>
                  </w:r>
                </w:p>
              </w:tc>
            </w:tr>
            <w:tr w14:paraId="5D89B6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53D54D3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tcBorders>
                    <w:top w:val="single" w:color="auto" w:sz="4" w:space="0"/>
                    <w:left w:val="single" w:color="auto" w:sz="4" w:space="0"/>
                    <w:bottom w:val="single" w:color="auto" w:sz="4" w:space="0"/>
                    <w:right w:val="single" w:color="auto" w:sz="4" w:space="0"/>
                  </w:tcBorders>
                  <w:vAlign w:val="center"/>
                </w:tcPr>
                <w:p w14:paraId="38FFA90B">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w:t>
                  </w:r>
                </w:p>
              </w:tc>
              <w:tc>
                <w:tcPr>
                  <w:tcW w:w="803" w:type="pct"/>
                  <w:tcBorders>
                    <w:top w:val="single" w:color="auto" w:sz="4" w:space="0"/>
                    <w:left w:val="single" w:color="auto" w:sz="4" w:space="0"/>
                    <w:bottom w:val="single" w:color="auto" w:sz="4" w:space="0"/>
                    <w:right w:val="single" w:color="auto" w:sz="4" w:space="0"/>
                  </w:tcBorders>
                  <w:vAlign w:val="center"/>
                </w:tcPr>
                <w:p w14:paraId="4304ED1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钻试设备运行噪声</w:t>
                  </w:r>
                </w:p>
              </w:tc>
              <w:tc>
                <w:tcPr>
                  <w:tcW w:w="3442" w:type="pct"/>
                  <w:tcBorders>
                    <w:top w:val="single" w:color="auto" w:sz="4" w:space="0"/>
                    <w:left w:val="single" w:color="auto" w:sz="4" w:space="0"/>
                    <w:bottom w:val="single" w:color="auto" w:sz="4" w:space="0"/>
                    <w:right w:val="single" w:color="auto" w:sz="4" w:space="0"/>
                  </w:tcBorders>
                  <w:vAlign w:val="center"/>
                </w:tcPr>
                <w:p w14:paraId="2F07E931">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减振、隔声降噪措施，加强设备维护</w:t>
                  </w:r>
                </w:p>
              </w:tc>
            </w:tr>
            <w:tr w14:paraId="4DB14A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07395A17">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restart"/>
                  <w:tcBorders>
                    <w:top w:val="single" w:color="auto" w:sz="4" w:space="0"/>
                    <w:left w:val="single" w:color="auto" w:sz="4" w:space="0"/>
                    <w:bottom w:val="single" w:color="auto" w:sz="4" w:space="0"/>
                    <w:right w:val="single" w:color="auto" w:sz="4" w:space="0"/>
                  </w:tcBorders>
                  <w:vAlign w:val="center"/>
                </w:tcPr>
                <w:p w14:paraId="3E41C600">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固体废物</w:t>
                  </w:r>
                </w:p>
              </w:tc>
              <w:tc>
                <w:tcPr>
                  <w:tcW w:w="803" w:type="pct"/>
                  <w:tcBorders>
                    <w:top w:val="single" w:color="auto" w:sz="4" w:space="0"/>
                    <w:left w:val="single" w:color="auto" w:sz="4" w:space="0"/>
                    <w:bottom w:val="single" w:color="auto" w:sz="4" w:space="0"/>
                    <w:right w:val="single" w:color="auto" w:sz="4" w:space="0"/>
                  </w:tcBorders>
                  <w:vAlign w:val="center"/>
                </w:tcPr>
                <w:p w14:paraId="7C55B6D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落地油</w:t>
                  </w:r>
                </w:p>
              </w:tc>
              <w:tc>
                <w:tcPr>
                  <w:tcW w:w="3442" w:type="pct"/>
                  <w:tcBorders>
                    <w:top w:val="single" w:color="auto" w:sz="4" w:space="0"/>
                    <w:left w:val="single" w:color="auto" w:sz="4" w:space="0"/>
                    <w:bottom w:val="single" w:color="auto" w:sz="4" w:space="0"/>
                    <w:right w:val="single" w:color="auto" w:sz="4" w:space="0"/>
                  </w:tcBorders>
                  <w:vAlign w:val="center"/>
                </w:tcPr>
                <w:p w14:paraId="7F53D221">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本项目井下作业时带罐作业，落地油100%回收</w:t>
                  </w:r>
                </w:p>
              </w:tc>
            </w:tr>
            <w:tr w14:paraId="2045AF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586DCB8">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continue"/>
                  <w:tcBorders>
                    <w:left w:val="single" w:color="auto" w:sz="4" w:space="0"/>
                    <w:right w:val="single" w:color="auto" w:sz="4" w:space="0"/>
                  </w:tcBorders>
                  <w:vAlign w:val="center"/>
                </w:tcPr>
                <w:p w14:paraId="41CE473A">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803" w:type="pct"/>
                  <w:tcBorders>
                    <w:top w:val="single" w:color="auto" w:sz="4" w:space="0"/>
                    <w:left w:val="single" w:color="auto" w:sz="4" w:space="0"/>
                    <w:right w:val="single" w:color="auto" w:sz="4" w:space="0"/>
                  </w:tcBorders>
                  <w:vAlign w:val="center"/>
                </w:tcPr>
                <w:p w14:paraId="218F4162">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钻井岩屑</w:t>
                  </w:r>
                </w:p>
              </w:tc>
              <w:tc>
                <w:tcPr>
                  <w:tcW w:w="3442" w:type="pct"/>
                  <w:tcBorders>
                    <w:top w:val="single" w:color="auto" w:sz="4" w:space="0"/>
                    <w:left w:val="single" w:color="auto" w:sz="4" w:space="0"/>
                    <w:bottom w:val="single" w:color="auto" w:sz="4" w:space="0"/>
                    <w:right w:val="single" w:color="auto" w:sz="4" w:space="0"/>
                  </w:tcBorders>
                  <w:vAlign w:val="center"/>
                </w:tcPr>
                <w:p w14:paraId="12A92098">
                  <w:pPr>
                    <w:keepNext w:val="0"/>
                    <w:keepLines w:val="0"/>
                    <w:widowControl/>
                    <w:suppressLineNumbers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萨L1501H井及萨L1501H-1井钻井过程中，一开段采用水基钻井液，产生的水基钻井岩屑不属于危险废物，经“泥浆不落地”系统处理，</w:t>
                  </w:r>
                  <w:r>
                    <w:rPr>
                      <w:rFonts w:hint="default" w:ascii="Times New Roman" w:hAnsi="Times New Roman" w:eastAsia="宋体" w:cs="Times New Roman"/>
                      <w:color w:val="000000" w:themeColor="text1"/>
                      <w:lang w:val="en-US" w:eastAsia="zh-CN"/>
                      <w14:textFill>
                        <w14:solidFill>
                          <w14:schemeClr w14:val="tx1"/>
                        </w14:solidFill>
                      </w14:textFill>
                    </w:rPr>
                    <w:t>固相物料暂存于井场专用水基岩屑储罐内，全量委托给具备资质的第三方环保处理单位及时清运。由第三方单位负责检测及后续处置，符合标准后由其综合利用，不符合的由其进行无害化填埋。本项目不涉及井场就地利用</w:t>
                  </w:r>
                  <w:r>
                    <w:rPr>
                      <w:rFonts w:hint="default" w:ascii="Times New Roman" w:hAnsi="Times New Roman" w:eastAsia="宋体" w:cs="Times New Roman"/>
                      <w:color w:val="000000" w:themeColor="text1"/>
                      <w:lang w:eastAsia="zh-CN"/>
                      <w14:textFill>
                        <w14:solidFill>
                          <w14:schemeClr w14:val="tx1"/>
                        </w14:solidFill>
                      </w14:textFill>
                    </w:rPr>
                    <w:t>；二开段采用油基钻井液，产生的油基钻井岩屑属于危险废物，须严格分类收集，委托有危废处置资质的单位进行处置；</w:t>
                  </w:r>
                  <w:r>
                    <w:rPr>
                      <w:rFonts w:hint="default" w:ascii="Times New Roman" w:hAnsi="Times New Roman" w:eastAsia="宋体" w:cs="Times New Roman"/>
                      <w:snapToGrid/>
                      <w:color w:val="000000" w:themeColor="text1"/>
                      <w:kern w:val="2"/>
                      <w:lang w:eastAsia="zh-CN"/>
                      <w14:textFill>
                        <w14:solidFill>
                          <w14:schemeClr w14:val="tx1"/>
                        </w14:solidFill>
                      </w14:textFill>
                    </w:rPr>
                    <w:t>三开阶段虽使用水基钻井液，但考虑到存在沾染二开阶段油类物质的风险，在对含油量进行检测之前，其产生的泥浆及岩屑须暂按危险废物进行严格管理和处置</w:t>
                  </w:r>
                  <w:r>
                    <w:rPr>
                      <w:rFonts w:hint="eastAsia" w:ascii="Times New Roman" w:hAnsi="Times New Roman" w:eastAsia="宋体" w:cs="Times New Roman"/>
                      <w:snapToGrid/>
                      <w:color w:val="000000" w:themeColor="text1"/>
                      <w:kern w:val="2"/>
                      <w:lang w:eastAsia="zh-CN"/>
                      <w14:textFill>
                        <w14:solidFill>
                          <w14:schemeClr w14:val="tx1"/>
                        </w14:solidFill>
                      </w14:textFill>
                    </w:rPr>
                    <w:t>，</w:t>
                  </w:r>
                  <w:r>
                    <w:rPr>
                      <w:rFonts w:hint="default" w:ascii="Times New Roman" w:hAnsi="Times New Roman" w:eastAsia="宋体" w:cs="Times New Roman"/>
                      <w:snapToGrid/>
                      <w:color w:val="000000" w:themeColor="text1"/>
                      <w:kern w:val="2"/>
                      <w:lang w:val="en-US" w:eastAsia="zh-CN"/>
                      <w14:textFill>
                        <w14:solidFill>
                          <w14:schemeClr w14:val="tx1"/>
                        </w14:solidFill>
                      </w14:textFill>
                    </w:rPr>
                    <w:t>由具备资质的单位全量拉走后，在受托方处理场址进行固相属性检测</w:t>
                  </w:r>
                  <w:r>
                    <w:rPr>
                      <w:rFonts w:hint="eastAsia" w:ascii="Times New Roman" w:hAnsi="Times New Roman" w:eastAsia="宋体" w:cs="Times New Roman"/>
                      <w:snapToGrid/>
                      <w:color w:val="000000" w:themeColor="text1"/>
                      <w:kern w:val="2"/>
                      <w:lang w:val="en-US" w:eastAsia="zh-CN"/>
                      <w14:textFill>
                        <w14:solidFill>
                          <w14:schemeClr w14:val="tx1"/>
                        </w14:solidFill>
                      </w14:textFill>
                    </w:rPr>
                    <w:t>，</w:t>
                  </w:r>
                  <w:r>
                    <w:rPr>
                      <w:rFonts w:hint="default" w:ascii="Times New Roman" w:hAnsi="Times New Roman" w:eastAsia="宋体" w:cs="Times New Roman"/>
                      <w:snapToGrid/>
                      <w:color w:val="000000" w:themeColor="text1"/>
                      <w:kern w:val="2"/>
                      <w:lang w:eastAsia="zh-CN"/>
                      <w14:textFill>
                        <w14:solidFill>
                          <w14:schemeClr w14:val="tx1"/>
                        </w14:solidFill>
                      </w14:textFill>
                    </w:rPr>
                    <w:t>待检测结果出具后，若含油量检测结果显示属于危险废物，则继续按照危险废物进行合规处置；若含油量检测结果满足相关标准（不属于危险废物），则按照一般工业固体废物进行处置</w:t>
                  </w:r>
                  <w:r>
                    <w:rPr>
                      <w:rFonts w:hint="default" w:ascii="Times New Roman" w:hAnsi="Times New Roman" w:eastAsia="宋体" w:cs="Times New Roman"/>
                      <w:color w:val="000000" w:themeColor="text1"/>
                      <w:lang w:eastAsia="zh-CN"/>
                      <w14:textFill>
                        <w14:solidFill>
                          <w14:schemeClr w14:val="tx1"/>
                        </w14:solidFill>
                      </w14:textFill>
                    </w:rPr>
                    <w:t>。</w:t>
                  </w:r>
                </w:p>
              </w:tc>
            </w:tr>
            <w:tr w14:paraId="44EE0B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C751998">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2363ADD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803" w:type="pct"/>
                  <w:tcBorders>
                    <w:top w:val="single" w:color="auto" w:sz="4" w:space="0"/>
                    <w:left w:val="single" w:color="auto" w:sz="4" w:space="0"/>
                    <w:bottom w:val="single" w:color="auto" w:sz="4" w:space="0"/>
                    <w:right w:val="single" w:color="auto" w:sz="4" w:space="0"/>
                  </w:tcBorders>
                  <w:vAlign w:val="center"/>
                </w:tcPr>
                <w:p w14:paraId="420FFD59">
                  <w:pPr>
                    <w:widowControl w:val="0"/>
                    <w:kinsoku/>
                    <w:spacing w:line="24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废防渗材料、废润滑油、废润滑油桶</w:t>
                  </w:r>
                </w:p>
              </w:tc>
              <w:tc>
                <w:tcPr>
                  <w:tcW w:w="3442" w:type="pct"/>
                  <w:tcBorders>
                    <w:top w:val="single" w:color="auto" w:sz="4" w:space="0"/>
                    <w:left w:val="single" w:color="auto" w:sz="4" w:space="0"/>
                    <w:bottom w:val="single" w:color="auto" w:sz="4" w:space="0"/>
                    <w:right w:val="single" w:color="auto" w:sz="4" w:space="0"/>
                  </w:tcBorders>
                  <w:vAlign w:val="center"/>
                </w:tcPr>
                <w:p w14:paraId="7A7711AD">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过程中产生的沾油废防渗材料、设备检修与维护过程中产生的废润滑油及废润滑油桶均属于危险废物，沾油废防渗材料、废润滑油和废润滑油桶分区暂存在井场设置的危险废物贮存库，定期由具有相应危险废物处置资质的单位进行接收、转运和处置</w:t>
                  </w:r>
                </w:p>
              </w:tc>
            </w:tr>
            <w:tr w14:paraId="5F77B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7B3F6F8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4BA584ED">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803" w:type="pct"/>
                  <w:tcBorders>
                    <w:top w:val="single" w:color="auto" w:sz="4" w:space="0"/>
                    <w:left w:val="single" w:color="auto" w:sz="4" w:space="0"/>
                    <w:bottom w:val="single" w:color="auto" w:sz="4" w:space="0"/>
                    <w:right w:val="single" w:color="auto" w:sz="4" w:space="0"/>
                  </w:tcBorders>
                  <w:vAlign w:val="center"/>
                </w:tcPr>
                <w:p w14:paraId="27E942A7">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生活垃圾</w:t>
                  </w:r>
                </w:p>
              </w:tc>
              <w:tc>
                <w:tcPr>
                  <w:tcW w:w="3442" w:type="pct"/>
                  <w:tcBorders>
                    <w:top w:val="single" w:color="auto" w:sz="4" w:space="0"/>
                    <w:left w:val="single" w:color="auto" w:sz="4" w:space="0"/>
                    <w:bottom w:val="single" w:color="auto" w:sz="4" w:space="0"/>
                    <w:right w:val="single" w:color="auto" w:sz="4" w:space="0"/>
                  </w:tcBorders>
                  <w:vAlign w:val="center"/>
                </w:tcPr>
                <w:p w14:paraId="3AAED03E">
                  <w:pPr>
                    <w:kinsoku/>
                    <w:spacing w:line="300" w:lineRule="exact"/>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井场和生活营地均设有垃圾箱暂存生活垃圾，集中收集后委托第三方拉运至</w:t>
                  </w:r>
                  <w:r>
                    <w:rPr>
                      <w:rFonts w:hint="default" w:ascii="Times New Roman" w:hAnsi="Times New Roman" w:eastAsia="宋体" w:cs="Times New Roman"/>
                      <w:color w:val="000000" w:themeColor="text1"/>
                      <w:sz w:val="21"/>
                      <w:szCs w:val="21"/>
                      <w:highlight w:val="none"/>
                      <w14:textFill>
                        <w14:solidFill>
                          <w14:schemeClr w14:val="tx1"/>
                        </w14:solidFill>
                      </w14:textFill>
                    </w:rPr>
                    <w:t>吉木萨尔县生活垃圾填埋场处理</w:t>
                  </w:r>
                </w:p>
              </w:tc>
            </w:tr>
            <w:tr w14:paraId="6155E9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0DBF6BED">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39C245D">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生态措施</w:t>
                  </w:r>
                </w:p>
              </w:tc>
              <w:tc>
                <w:tcPr>
                  <w:tcW w:w="3442" w:type="pct"/>
                  <w:tcBorders>
                    <w:top w:val="single" w:color="auto" w:sz="4" w:space="0"/>
                    <w:left w:val="single" w:color="auto" w:sz="4" w:space="0"/>
                    <w:bottom w:val="single" w:color="auto" w:sz="4" w:space="0"/>
                    <w:right w:val="single" w:color="auto" w:sz="4" w:space="0"/>
                  </w:tcBorders>
                  <w:vAlign w:val="center"/>
                </w:tcPr>
                <w:p w14:paraId="182BBF48">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施工结束后及时对临时占地进行清理、平整，植被自然恢复</w:t>
                  </w:r>
                </w:p>
              </w:tc>
            </w:tr>
            <w:tr w14:paraId="2DB1C9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37DF29C8">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752AD9C">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H</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S监测</w:t>
                  </w:r>
                </w:p>
              </w:tc>
              <w:tc>
                <w:tcPr>
                  <w:tcW w:w="3442" w:type="pct"/>
                  <w:tcBorders>
                    <w:top w:val="single" w:color="auto" w:sz="4" w:space="0"/>
                    <w:left w:val="single" w:color="auto" w:sz="4" w:space="0"/>
                    <w:bottom w:val="single" w:color="auto" w:sz="4" w:space="0"/>
                    <w:right w:val="single" w:color="auto" w:sz="4" w:space="0"/>
                  </w:tcBorders>
                  <w:vAlign w:val="center"/>
                </w:tcPr>
                <w:p w14:paraId="09DAE5E2">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井场按规范设置H</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S监测仪</w:t>
                  </w:r>
                </w:p>
              </w:tc>
            </w:tr>
            <w:tr w14:paraId="2A460F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1879AE5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F2129AD">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w:t>
                  </w:r>
                </w:p>
              </w:tc>
              <w:tc>
                <w:tcPr>
                  <w:tcW w:w="3442" w:type="pct"/>
                  <w:tcBorders>
                    <w:top w:val="single" w:color="auto" w:sz="4" w:space="0"/>
                    <w:left w:val="single" w:color="auto" w:sz="4" w:space="0"/>
                    <w:bottom w:val="single" w:color="auto" w:sz="4" w:space="0"/>
                    <w:right w:val="single" w:color="auto" w:sz="4" w:space="0"/>
                  </w:tcBorders>
                  <w:vAlign w:val="center"/>
                </w:tcPr>
                <w:p w14:paraId="064899EF">
                  <w:pPr>
                    <w:kinsoku/>
                    <w:spacing w:line="30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安装井控装置；防止井喷；柴油罐、原油储罐等储罐底部铺设防渗材料或设置围堰，防止泄漏；硫化氢监测；对事故状态下，放喷液进行有效收集，防止污染周围地下水和土壤</w:t>
                  </w:r>
                </w:p>
              </w:tc>
            </w:tr>
            <w:tr w14:paraId="67AC36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tcBorders>
                    <w:left w:val="single" w:color="auto" w:sz="4" w:space="0"/>
                    <w:right w:val="single" w:color="auto" w:sz="4" w:space="0"/>
                  </w:tcBorders>
                  <w:vAlign w:val="center"/>
                </w:tcPr>
                <w:p w14:paraId="5CC441F9">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依托工程</w:t>
                  </w:r>
                </w:p>
              </w:tc>
              <w:tc>
                <w:tcPr>
                  <w:tcW w:w="1185" w:type="pct"/>
                  <w:gridSpan w:val="2"/>
                  <w:tcBorders>
                    <w:top w:val="single" w:color="auto" w:sz="4" w:space="0"/>
                    <w:left w:val="single" w:color="auto" w:sz="4" w:space="0"/>
                    <w:right w:val="single" w:color="auto" w:sz="4" w:space="0"/>
                  </w:tcBorders>
                  <w:vAlign w:val="center"/>
                </w:tcPr>
                <w:p w14:paraId="7023D5FB">
                  <w:pPr>
                    <w:pStyle w:val="22"/>
                    <w:kinsoku/>
                    <w:spacing w:before="65" w:line="228"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t>吉康</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脱水站</w:t>
                  </w:r>
                </w:p>
              </w:tc>
              <w:tc>
                <w:tcPr>
                  <w:tcW w:w="3442" w:type="pct"/>
                  <w:tcBorders>
                    <w:top w:val="single" w:color="auto" w:sz="4" w:space="0"/>
                    <w:left w:val="single" w:color="auto" w:sz="4" w:space="0"/>
                    <w:bottom w:val="single" w:color="auto" w:sz="4" w:space="0"/>
                    <w:right w:val="single" w:color="auto" w:sz="4" w:space="0"/>
                  </w:tcBorders>
                  <w:vAlign w:val="center"/>
                </w:tcPr>
                <w:p w14:paraId="29D4E6EF">
                  <w:pPr>
                    <w:pStyle w:val="22"/>
                    <w:kinsoku/>
                    <w:spacing w:before="33" w:line="228" w:lineRule="auto"/>
                    <w:ind w:left="126"/>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本项目试油期带罐作业，井下作业废水拉运到</w:t>
                  </w: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吉康</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脱水站并处理达标后，全部回注油藏。</w:t>
                  </w: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试油期原油入</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罐，拉运至</w:t>
                  </w:r>
                  <w:r>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t>吉康</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脱水站进行处理</w:t>
                  </w:r>
                </w:p>
              </w:tc>
            </w:tr>
            <w:bookmarkEnd w:id="6"/>
            <w:bookmarkEnd w:id="7"/>
          </w:tbl>
          <w:p w14:paraId="49C40CBF">
            <w:pPr>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3.钻前工程</w:t>
            </w:r>
          </w:p>
          <w:p w14:paraId="0129E5A4">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钻前工程包括井场平整、生活营地搭建等。主要工程占地详见表2-3。</w:t>
            </w:r>
          </w:p>
          <w:p w14:paraId="3F5B676C">
            <w:pPr>
              <w:widowControl w:val="0"/>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表2-3 主要工程占地情况一览表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973"/>
              <w:gridCol w:w="1335"/>
              <w:gridCol w:w="1067"/>
              <w:gridCol w:w="1335"/>
              <w:gridCol w:w="973"/>
              <w:gridCol w:w="1334"/>
            </w:tblGrid>
            <w:tr w14:paraId="28A9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vMerge w:val="restart"/>
                  <w:vAlign w:val="center"/>
                </w:tcPr>
                <w:p w14:paraId="309B5F78">
                  <w:pPr>
                    <w:kinsoku/>
                    <w:jc w:val="center"/>
                    <w:textAlignment w:val="top"/>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钻井名称</w:t>
                  </w:r>
                </w:p>
              </w:tc>
              <w:tc>
                <w:tcPr>
                  <w:tcW w:w="4044" w:type="pct"/>
                  <w:gridSpan w:val="6"/>
                  <w:noWrap/>
                  <w:vAlign w:val="center"/>
                </w:tcPr>
                <w:p w14:paraId="49D5C313">
                  <w:pPr>
                    <w:kinsoku/>
                    <w:jc w:val="center"/>
                    <w:textAlignment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占地类型</w:t>
                  </w:r>
                </w:p>
              </w:tc>
            </w:tr>
            <w:tr w14:paraId="20E4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vMerge w:val="continue"/>
                  <w:vAlign w:val="center"/>
                </w:tcPr>
                <w:p w14:paraId="08A64BC3">
                  <w:pPr>
                    <w:kinsoku/>
                    <w:jc w:val="center"/>
                    <w:textAlignment w:val="top"/>
                    <w:rPr>
                      <w:rFonts w:hint="default" w:ascii="Times New Roman" w:hAnsi="Times New Roman" w:eastAsia="宋体" w:cs="Times New Roman"/>
                      <w:b/>
                      <w:bCs/>
                      <w:color w:val="000000" w:themeColor="text1"/>
                      <w:lang w:eastAsia="zh-CN"/>
                      <w14:textFill>
                        <w14:solidFill>
                          <w14:schemeClr w14:val="tx1"/>
                        </w14:solidFill>
                      </w14:textFill>
                    </w:rPr>
                  </w:pPr>
                </w:p>
              </w:tc>
              <w:tc>
                <w:tcPr>
                  <w:tcW w:w="544" w:type="pct"/>
                  <w:noWrap/>
                  <w:vAlign w:val="center"/>
                </w:tcPr>
                <w:p w14:paraId="6EB536C7">
                  <w:pPr>
                    <w:kinsoku/>
                    <w:jc w:val="center"/>
                    <w:textAlignment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井场</w:t>
                  </w:r>
                </w:p>
              </w:tc>
              <w:tc>
                <w:tcPr>
                  <w:tcW w:w="778" w:type="pct"/>
                  <w:noWrap/>
                  <w:vAlign w:val="center"/>
                </w:tcPr>
                <w:p w14:paraId="39036050">
                  <w:pPr>
                    <w:kinsoku/>
                    <w:jc w:val="center"/>
                    <w:textAlignment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放喷管线</w:t>
                  </w:r>
                </w:p>
              </w:tc>
              <w:tc>
                <w:tcPr>
                  <w:tcW w:w="623" w:type="pct"/>
                  <w:noWrap/>
                  <w:vAlign w:val="center"/>
                </w:tcPr>
                <w:p w14:paraId="5192A5D1">
                  <w:pPr>
                    <w:kinsoku/>
                    <w:jc w:val="center"/>
                    <w:textAlignment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堆土区</w:t>
                  </w:r>
                </w:p>
              </w:tc>
              <w:tc>
                <w:tcPr>
                  <w:tcW w:w="778" w:type="pct"/>
                  <w:noWrap/>
                  <w:vAlign w:val="center"/>
                </w:tcPr>
                <w:p w14:paraId="01F02B15">
                  <w:pPr>
                    <w:kinsoku/>
                    <w:jc w:val="center"/>
                    <w:textAlignment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生活营地</w:t>
                  </w:r>
                </w:p>
              </w:tc>
              <w:tc>
                <w:tcPr>
                  <w:tcW w:w="544" w:type="pct"/>
                  <w:noWrap/>
                  <w:vAlign w:val="center"/>
                </w:tcPr>
                <w:p w14:paraId="315CD7E2">
                  <w:pPr>
                    <w:kinsoku/>
                    <w:jc w:val="center"/>
                    <w:textAlignment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合计</w:t>
                  </w:r>
                </w:p>
              </w:tc>
              <w:tc>
                <w:tcPr>
                  <w:tcW w:w="775" w:type="pct"/>
                  <w:noWrap/>
                  <w:vAlign w:val="center"/>
                </w:tcPr>
                <w:p w14:paraId="51D2D93C">
                  <w:pPr>
                    <w:kinsoku/>
                    <w:jc w:val="center"/>
                    <w:textAlignment w:val="center"/>
                    <w:rPr>
                      <w:rFonts w:hint="default" w:ascii="Times New Roman" w:hAnsi="Times New Roman" w:eastAsia="宋体" w:cs="Times New Roman"/>
                      <w:b/>
                      <w:bCs/>
                      <w:color w:val="000000" w:themeColor="text1"/>
                      <w:lang w:eastAsia="zh-CN"/>
                      <w14:textFill>
                        <w14:solidFill>
                          <w14:schemeClr w14:val="tx1"/>
                        </w14:solidFill>
                      </w14:textFill>
                    </w:rPr>
                  </w:pPr>
                </w:p>
              </w:tc>
            </w:tr>
            <w:tr w14:paraId="2D74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vAlign w:val="center"/>
                </w:tcPr>
                <w:p w14:paraId="0001D7EB">
                  <w:pPr>
                    <w:kinsoku/>
                    <w:jc w:val="center"/>
                    <w:textAlignment w:val="top"/>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萨L1501H</w:t>
                  </w:r>
                </w:p>
              </w:tc>
              <w:tc>
                <w:tcPr>
                  <w:tcW w:w="544" w:type="pct"/>
                  <w:vMerge w:val="restart"/>
                  <w:noWrap/>
                  <w:vAlign w:val="center"/>
                </w:tcPr>
                <w:p w14:paraId="61C4F356">
                  <w:pPr>
                    <w:kinsoku/>
                    <w:jc w:val="center"/>
                    <w:textAlignment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12660m</w:t>
                  </w:r>
                  <w:r>
                    <w:rPr>
                      <w:rFonts w:hint="default" w:ascii="Times New Roman" w:hAnsi="Times New Roman" w:eastAsia="宋体" w:cs="Times New Roman"/>
                      <w:color w:val="000000" w:themeColor="text1"/>
                      <w:vertAlign w:val="superscript"/>
                      <w:lang w:val="en-US" w:eastAsia="zh-CN" w:bidi="ar"/>
                      <w14:textFill>
                        <w14:solidFill>
                          <w14:schemeClr w14:val="tx1"/>
                        </w14:solidFill>
                      </w14:textFill>
                    </w:rPr>
                    <w:t>2</w:t>
                  </w:r>
                </w:p>
              </w:tc>
              <w:tc>
                <w:tcPr>
                  <w:tcW w:w="778" w:type="pct"/>
                  <w:vMerge w:val="restart"/>
                  <w:noWrap/>
                  <w:vAlign w:val="center"/>
                </w:tcPr>
                <w:p w14:paraId="5BB82773">
                  <w:pPr>
                    <w:kinsoku/>
                    <w:jc w:val="center"/>
                    <w:textAlignment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100m</w:t>
                  </w:r>
                  <w:r>
                    <w:rPr>
                      <w:rFonts w:hint="default" w:ascii="Times New Roman" w:hAnsi="Times New Roman" w:eastAsia="宋体" w:cs="Times New Roman"/>
                      <w:color w:val="000000" w:themeColor="text1"/>
                      <w:vertAlign w:val="superscript"/>
                      <w:lang w:val="en-US" w:eastAsia="zh-CN" w:bidi="ar"/>
                      <w14:textFill>
                        <w14:solidFill>
                          <w14:schemeClr w14:val="tx1"/>
                        </w14:solidFill>
                      </w14:textFill>
                    </w:rPr>
                    <w:t>2</w:t>
                  </w:r>
                </w:p>
              </w:tc>
              <w:tc>
                <w:tcPr>
                  <w:tcW w:w="623" w:type="pct"/>
                  <w:vMerge w:val="restart"/>
                  <w:noWrap/>
                  <w:vAlign w:val="center"/>
                </w:tcPr>
                <w:p w14:paraId="42CE3C1F">
                  <w:pPr>
                    <w:kinsoku/>
                    <w:jc w:val="center"/>
                    <w:textAlignment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2860m</w:t>
                  </w:r>
                  <w:r>
                    <w:rPr>
                      <w:rFonts w:hint="default" w:ascii="Times New Roman" w:hAnsi="Times New Roman" w:eastAsia="宋体" w:cs="Times New Roman"/>
                      <w:color w:val="000000" w:themeColor="text1"/>
                      <w:vertAlign w:val="superscript"/>
                      <w:lang w:val="en-US" w:eastAsia="zh-CN" w:bidi="ar"/>
                      <w14:textFill>
                        <w14:solidFill>
                          <w14:schemeClr w14:val="tx1"/>
                        </w14:solidFill>
                      </w14:textFill>
                    </w:rPr>
                    <w:t>2</w:t>
                  </w:r>
                </w:p>
              </w:tc>
              <w:tc>
                <w:tcPr>
                  <w:tcW w:w="778" w:type="pct"/>
                  <w:vMerge w:val="restart"/>
                  <w:noWrap/>
                  <w:vAlign w:val="center"/>
                </w:tcPr>
                <w:p w14:paraId="7CE546D4">
                  <w:pPr>
                    <w:kinsoku/>
                    <w:jc w:val="center"/>
                    <w:textAlignment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2400m</w:t>
                  </w:r>
                  <w:r>
                    <w:rPr>
                      <w:rFonts w:hint="default" w:ascii="Times New Roman" w:hAnsi="Times New Roman" w:eastAsia="宋体" w:cs="Times New Roman"/>
                      <w:color w:val="000000" w:themeColor="text1"/>
                      <w:vertAlign w:val="superscript"/>
                      <w:lang w:val="en-US" w:eastAsia="zh-CN" w:bidi="ar"/>
                      <w14:textFill>
                        <w14:solidFill>
                          <w14:schemeClr w14:val="tx1"/>
                        </w14:solidFill>
                      </w14:textFill>
                    </w:rPr>
                    <w:t>2</w:t>
                  </w:r>
                </w:p>
              </w:tc>
              <w:tc>
                <w:tcPr>
                  <w:tcW w:w="544" w:type="pct"/>
                  <w:vMerge w:val="restart"/>
                  <w:noWrap/>
                  <w:vAlign w:val="center"/>
                </w:tcPr>
                <w:p w14:paraId="2B072299">
                  <w:pPr>
                    <w:kinsoku/>
                    <w:jc w:val="center"/>
                    <w:textAlignment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18020m</w:t>
                  </w:r>
                  <w:r>
                    <w:rPr>
                      <w:rFonts w:hint="default" w:ascii="Times New Roman" w:hAnsi="Times New Roman" w:eastAsia="宋体" w:cs="Times New Roman"/>
                      <w:color w:val="000000" w:themeColor="text1"/>
                      <w:vertAlign w:val="superscript"/>
                      <w:lang w:val="en-US" w:eastAsia="zh-CN" w:bidi="ar"/>
                      <w14:textFill>
                        <w14:solidFill>
                          <w14:schemeClr w14:val="tx1"/>
                        </w14:solidFill>
                      </w14:textFill>
                    </w:rPr>
                    <w:t>2</w:t>
                  </w:r>
                </w:p>
              </w:tc>
              <w:tc>
                <w:tcPr>
                  <w:tcW w:w="775" w:type="pct"/>
                  <w:vMerge w:val="restart"/>
                  <w:noWrap/>
                  <w:vAlign w:val="center"/>
                </w:tcPr>
                <w:p w14:paraId="46BA6311">
                  <w:pPr>
                    <w:kinsoku/>
                    <w:jc w:val="center"/>
                    <w:textAlignment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其他草地</w:t>
                  </w:r>
                  <w:r>
                    <w:rPr>
                      <w:rFonts w:hint="default" w:ascii="Times New Roman" w:hAnsi="Times New Roman" w:eastAsia="宋体" w:cs="Times New Roman"/>
                      <w:color w:val="000000" w:themeColor="text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lang w:val="en-US" w:eastAsia="zh-CN" w:bidi="ar"/>
                      <w14:textFill>
                        <w14:solidFill>
                          <w14:schemeClr w14:val="tx1"/>
                        </w14:solidFill>
                      </w14:textFill>
                    </w:rPr>
                    <w:t>农村道路</w:t>
                  </w:r>
                </w:p>
              </w:tc>
            </w:tr>
            <w:tr w14:paraId="6026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pct"/>
                  <w:vAlign w:val="center"/>
                </w:tcPr>
                <w:p w14:paraId="6E6F76E8">
                  <w:pPr>
                    <w:kinsoku/>
                    <w:jc w:val="center"/>
                    <w:textAlignment w:val="top"/>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萨L1501H-1</w:t>
                  </w:r>
                </w:p>
              </w:tc>
              <w:tc>
                <w:tcPr>
                  <w:tcW w:w="544" w:type="pct"/>
                  <w:vMerge w:val="continue"/>
                  <w:noWrap/>
                  <w:vAlign w:val="center"/>
                </w:tcPr>
                <w:p w14:paraId="453188C8">
                  <w:pPr>
                    <w:kinsoku/>
                    <w:jc w:val="center"/>
                    <w:textAlignment w:val="center"/>
                    <w:rPr>
                      <w:rFonts w:hint="default" w:ascii="Times New Roman" w:hAnsi="Times New Roman" w:eastAsia="宋体" w:cs="Times New Roman"/>
                      <w:color w:val="000000" w:themeColor="text1"/>
                      <w:lang w:eastAsia="zh-CN" w:bidi="ar"/>
                      <w14:textFill>
                        <w14:solidFill>
                          <w14:schemeClr w14:val="tx1"/>
                        </w14:solidFill>
                      </w14:textFill>
                    </w:rPr>
                  </w:pPr>
                </w:p>
              </w:tc>
              <w:tc>
                <w:tcPr>
                  <w:tcW w:w="778" w:type="pct"/>
                  <w:vMerge w:val="continue"/>
                  <w:noWrap/>
                  <w:vAlign w:val="center"/>
                </w:tcPr>
                <w:p w14:paraId="18594D15">
                  <w:pPr>
                    <w:kinsoku/>
                    <w:jc w:val="center"/>
                    <w:textAlignment w:val="center"/>
                    <w:rPr>
                      <w:rFonts w:hint="default" w:ascii="Times New Roman" w:hAnsi="Times New Roman" w:eastAsia="宋体" w:cs="Times New Roman"/>
                      <w:color w:val="000000" w:themeColor="text1"/>
                      <w:lang w:eastAsia="zh-CN" w:bidi="ar"/>
                      <w14:textFill>
                        <w14:solidFill>
                          <w14:schemeClr w14:val="tx1"/>
                        </w14:solidFill>
                      </w14:textFill>
                    </w:rPr>
                  </w:pPr>
                </w:p>
              </w:tc>
              <w:tc>
                <w:tcPr>
                  <w:tcW w:w="623" w:type="pct"/>
                  <w:vMerge w:val="continue"/>
                  <w:noWrap/>
                  <w:vAlign w:val="center"/>
                </w:tcPr>
                <w:p w14:paraId="34EECBBD">
                  <w:pPr>
                    <w:kinsoku/>
                    <w:jc w:val="center"/>
                    <w:textAlignment w:val="center"/>
                    <w:rPr>
                      <w:rFonts w:hint="default" w:ascii="Times New Roman" w:hAnsi="Times New Roman" w:eastAsia="宋体" w:cs="Times New Roman"/>
                      <w:color w:val="000000" w:themeColor="text1"/>
                      <w:lang w:eastAsia="zh-CN" w:bidi="ar"/>
                      <w14:textFill>
                        <w14:solidFill>
                          <w14:schemeClr w14:val="tx1"/>
                        </w14:solidFill>
                      </w14:textFill>
                    </w:rPr>
                  </w:pPr>
                </w:p>
              </w:tc>
              <w:tc>
                <w:tcPr>
                  <w:tcW w:w="778" w:type="pct"/>
                  <w:vMerge w:val="continue"/>
                  <w:noWrap/>
                  <w:vAlign w:val="center"/>
                </w:tcPr>
                <w:p w14:paraId="480AD279">
                  <w:pPr>
                    <w:kinsoku/>
                    <w:jc w:val="center"/>
                    <w:textAlignment w:val="center"/>
                    <w:rPr>
                      <w:rFonts w:hint="default" w:ascii="Times New Roman" w:hAnsi="Times New Roman" w:eastAsia="宋体" w:cs="Times New Roman"/>
                      <w:color w:val="000000" w:themeColor="text1"/>
                      <w:lang w:eastAsia="zh-CN" w:bidi="ar"/>
                      <w14:textFill>
                        <w14:solidFill>
                          <w14:schemeClr w14:val="tx1"/>
                        </w14:solidFill>
                      </w14:textFill>
                    </w:rPr>
                  </w:pPr>
                </w:p>
              </w:tc>
              <w:tc>
                <w:tcPr>
                  <w:tcW w:w="544" w:type="pct"/>
                  <w:vMerge w:val="continue"/>
                  <w:noWrap/>
                  <w:vAlign w:val="center"/>
                </w:tcPr>
                <w:p w14:paraId="4AE6CCE4">
                  <w:pPr>
                    <w:kinsoku/>
                    <w:jc w:val="center"/>
                    <w:textAlignment w:val="center"/>
                    <w:rPr>
                      <w:rFonts w:hint="default" w:ascii="Times New Roman" w:hAnsi="Times New Roman" w:eastAsia="宋体" w:cs="Times New Roman"/>
                      <w:color w:val="000000" w:themeColor="text1"/>
                      <w:lang w:eastAsia="zh-CN" w:bidi="ar"/>
                      <w14:textFill>
                        <w14:solidFill>
                          <w14:schemeClr w14:val="tx1"/>
                        </w14:solidFill>
                      </w14:textFill>
                    </w:rPr>
                  </w:pPr>
                </w:p>
              </w:tc>
              <w:tc>
                <w:tcPr>
                  <w:tcW w:w="775" w:type="pct"/>
                  <w:vMerge w:val="continue"/>
                  <w:noWrap/>
                  <w:vAlign w:val="center"/>
                </w:tcPr>
                <w:p w14:paraId="134F3161">
                  <w:pPr>
                    <w:kinsoku/>
                    <w:jc w:val="center"/>
                    <w:textAlignment w:val="center"/>
                    <w:rPr>
                      <w:rFonts w:hint="default" w:ascii="Times New Roman" w:hAnsi="Times New Roman" w:eastAsia="宋体" w:cs="Times New Roman"/>
                      <w:color w:val="000000" w:themeColor="text1"/>
                      <w:lang w:eastAsia="zh-CN" w:bidi="ar"/>
                      <w14:textFill>
                        <w14:solidFill>
                          <w14:schemeClr w14:val="tx1"/>
                        </w14:solidFill>
                      </w14:textFill>
                    </w:rPr>
                  </w:pPr>
                </w:p>
              </w:tc>
            </w:tr>
          </w:tbl>
          <w:p w14:paraId="2BE0CF9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上述临时占地类型为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其他草地</w:t>
            </w:r>
            <w:r>
              <w:rPr>
                <w:rFonts w:hint="default" w:ascii="Times New Roman" w:hAnsi="Times New Roman" w:eastAsia="宋体" w:cs="Times New Roman"/>
                <w:color w:val="000000" w:themeColor="text1"/>
                <w:sz w:val="24"/>
                <w:szCs w:val="24"/>
                <w:lang w:eastAsia="zh-CN"/>
                <w14:textFill>
                  <w14:solidFill>
                    <w14:schemeClr w14:val="tx1"/>
                  </w14:solidFill>
                </w14:textFill>
              </w:rPr>
              <w:t>，单井临时占地征用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时间约为390天。探井钻试结束后根据试采结果确定后续是否进行开发，若无利用价值则永久</w:t>
            </w:r>
            <w:r>
              <w:rPr>
                <w:rFonts w:hint="default" w:ascii="Times New Roman" w:hAnsi="Times New Roman" w:eastAsia="宋体" w:cs="Times New Roman"/>
                <w:color w:val="000000" w:themeColor="text1"/>
                <w:sz w:val="24"/>
                <w:szCs w:val="24"/>
                <w:lang w:eastAsia="zh-CN"/>
                <w14:textFill>
                  <w14:solidFill>
                    <w14:schemeClr w14:val="tx1"/>
                  </w14:solidFill>
                </w14:textFill>
              </w:rPr>
              <w:t>封井，恢复地貌，若适宜开采，可转为生产井，则不进行封井，在井口安装采油树，并尽快开展产能开发建设环境影响评价工作，编制相应的环境影响评价文件，办理相应永久占地手续。</w:t>
            </w:r>
          </w:p>
          <w:p w14:paraId="6A8995BF">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4.钻井工程</w:t>
            </w:r>
          </w:p>
          <w:p w14:paraId="3B42A6D0">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4.1钻井基本参数</w:t>
            </w:r>
          </w:p>
          <w:p w14:paraId="07065F05">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本次拟钻井主要技术参数见表2-4。</w:t>
            </w:r>
          </w:p>
          <w:p w14:paraId="1A77F40C">
            <w:pPr>
              <w:widowControl w:val="0"/>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表2-4 钻井基本参数</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597"/>
              <w:gridCol w:w="1289"/>
              <w:gridCol w:w="1211"/>
              <w:gridCol w:w="1365"/>
              <w:gridCol w:w="1209"/>
              <w:gridCol w:w="1231"/>
            </w:tblGrid>
            <w:tr w14:paraId="32C0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36" w:type="pct"/>
                  <w:vAlign w:val="center"/>
                </w:tcPr>
                <w:p w14:paraId="06DA30CD">
                  <w:pPr>
                    <w:kinsoku/>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序号</w:t>
                  </w:r>
                </w:p>
              </w:tc>
              <w:tc>
                <w:tcPr>
                  <w:tcW w:w="922" w:type="pct"/>
                  <w:vAlign w:val="center"/>
                </w:tcPr>
                <w:p w14:paraId="7B8EE40A">
                  <w:pPr>
                    <w:kinsoku/>
                    <w:jc w:val="center"/>
                    <w:textAlignment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井号</w:t>
                  </w:r>
                </w:p>
              </w:tc>
              <w:tc>
                <w:tcPr>
                  <w:tcW w:w="744" w:type="pct"/>
                  <w:vAlign w:val="center"/>
                </w:tcPr>
                <w:p w14:paraId="33CF3CFC">
                  <w:pPr>
                    <w:kinsoku/>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井别</w:t>
                  </w:r>
                </w:p>
              </w:tc>
              <w:tc>
                <w:tcPr>
                  <w:tcW w:w="699" w:type="pct"/>
                  <w:vAlign w:val="center"/>
                </w:tcPr>
                <w:p w14:paraId="30635202">
                  <w:pPr>
                    <w:kinsoku/>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井型</w:t>
                  </w:r>
                </w:p>
              </w:tc>
              <w:tc>
                <w:tcPr>
                  <w:tcW w:w="788" w:type="pct"/>
                  <w:vAlign w:val="center"/>
                </w:tcPr>
                <w:p w14:paraId="6D4DF4FC">
                  <w:pPr>
                    <w:kinsoku/>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井深结构</w:t>
                  </w:r>
                </w:p>
              </w:tc>
              <w:tc>
                <w:tcPr>
                  <w:tcW w:w="698" w:type="pct"/>
                  <w:vAlign w:val="center"/>
                </w:tcPr>
                <w:p w14:paraId="62BC54B7">
                  <w:pPr>
                    <w:kinsoku/>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设计井深</w:t>
                  </w:r>
                </w:p>
              </w:tc>
              <w:tc>
                <w:tcPr>
                  <w:tcW w:w="710" w:type="pct"/>
                  <w:vAlign w:val="center"/>
                </w:tcPr>
                <w:p w14:paraId="6E0AE358">
                  <w:pPr>
                    <w:kinsoku/>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钻井周期</w:t>
                  </w:r>
                </w:p>
              </w:tc>
            </w:tr>
            <w:tr w14:paraId="3994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36" w:type="pct"/>
                  <w:vAlign w:val="center"/>
                </w:tcPr>
                <w:p w14:paraId="20B818BE">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922" w:type="pct"/>
                  <w:vAlign w:val="center"/>
                </w:tcPr>
                <w:p w14:paraId="5199E2ED">
                  <w:pPr>
                    <w:kinsoku/>
                    <w:jc w:val="center"/>
                    <w:textAlignment w:val="top"/>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萨L1501H</w:t>
                  </w:r>
                </w:p>
              </w:tc>
              <w:tc>
                <w:tcPr>
                  <w:tcW w:w="744" w:type="pct"/>
                  <w:vAlign w:val="center"/>
                </w:tcPr>
                <w:p w14:paraId="17A376E4">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评价井</w:t>
                  </w:r>
                </w:p>
              </w:tc>
              <w:tc>
                <w:tcPr>
                  <w:tcW w:w="699" w:type="pct"/>
                  <w:vAlign w:val="center"/>
                </w:tcPr>
                <w:p w14:paraId="7514C5AB">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水平井</w:t>
                  </w:r>
                </w:p>
              </w:tc>
              <w:tc>
                <w:tcPr>
                  <w:tcW w:w="788" w:type="pct"/>
                  <w:vAlign w:val="center"/>
                </w:tcPr>
                <w:p w14:paraId="38F01DD8">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三开</w:t>
                  </w:r>
                </w:p>
              </w:tc>
              <w:tc>
                <w:tcPr>
                  <w:tcW w:w="698" w:type="pct"/>
                  <w:vMerge w:val="restart"/>
                  <w:vAlign w:val="center"/>
                </w:tcPr>
                <w:p w14:paraId="769B24AD">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5000</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m</w:t>
                  </w:r>
                </w:p>
              </w:tc>
              <w:tc>
                <w:tcPr>
                  <w:tcW w:w="710" w:type="pct"/>
                  <w:vAlign w:val="center"/>
                </w:tcPr>
                <w:p w14:paraId="4B41E257">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90d</w:t>
                  </w:r>
                </w:p>
              </w:tc>
            </w:tr>
            <w:tr w14:paraId="72AD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36" w:type="pct"/>
                  <w:vAlign w:val="center"/>
                </w:tcPr>
                <w:p w14:paraId="241C4C78">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w:t>
                  </w:r>
                </w:p>
              </w:tc>
              <w:tc>
                <w:tcPr>
                  <w:tcW w:w="922" w:type="pct"/>
                  <w:vAlign w:val="center"/>
                </w:tcPr>
                <w:p w14:paraId="6CAE4A51">
                  <w:pPr>
                    <w:kinsoku/>
                    <w:jc w:val="center"/>
                    <w:textAlignment w:val="top"/>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萨L1501H-1</w:t>
                  </w:r>
                </w:p>
              </w:tc>
              <w:tc>
                <w:tcPr>
                  <w:tcW w:w="744" w:type="pct"/>
                  <w:vAlign w:val="center"/>
                </w:tcPr>
                <w:p w14:paraId="75660480">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评价井</w:t>
                  </w:r>
                </w:p>
              </w:tc>
              <w:tc>
                <w:tcPr>
                  <w:tcW w:w="699" w:type="pct"/>
                  <w:vAlign w:val="center"/>
                </w:tcPr>
                <w:p w14:paraId="65C7A519">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水平井</w:t>
                  </w:r>
                </w:p>
              </w:tc>
              <w:tc>
                <w:tcPr>
                  <w:tcW w:w="788" w:type="pct"/>
                  <w:vAlign w:val="center"/>
                </w:tcPr>
                <w:p w14:paraId="3715A100">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三开</w:t>
                  </w:r>
                </w:p>
              </w:tc>
              <w:tc>
                <w:tcPr>
                  <w:tcW w:w="698" w:type="pct"/>
                  <w:vMerge w:val="continue"/>
                  <w:vAlign w:val="center"/>
                </w:tcPr>
                <w:p w14:paraId="53CE4C93">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p>
              </w:tc>
              <w:tc>
                <w:tcPr>
                  <w:tcW w:w="710" w:type="pct"/>
                  <w:vAlign w:val="center"/>
                </w:tcPr>
                <w:p w14:paraId="2C5C797F">
                  <w:pPr>
                    <w:kinsoku/>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90d</w:t>
                  </w:r>
                </w:p>
              </w:tc>
            </w:tr>
          </w:tbl>
          <w:p w14:paraId="106AFA06">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4.2井身结构</w:t>
            </w:r>
          </w:p>
          <w:p w14:paraId="730673B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本次拟钻井采用三开井身结构，井身结构数据见表2-5，井身结构设计说明见表2-6，井身结构图见图2-1。</w:t>
            </w:r>
          </w:p>
          <w:p w14:paraId="59934FBC">
            <w:pPr>
              <w:pStyle w:val="22"/>
              <w:widowControl w:val="0"/>
              <w:kinsoku/>
              <w:spacing w:before="161" w:line="224"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表2-5 井身结构设计数据表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9"/>
              <w:gridCol w:w="679"/>
              <w:gridCol w:w="1344"/>
              <w:gridCol w:w="1935"/>
              <w:gridCol w:w="2010"/>
              <w:gridCol w:w="2011"/>
            </w:tblGrid>
            <w:tr w14:paraId="0A77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92" w:type="pct"/>
                  <w:vAlign w:val="center"/>
                </w:tcPr>
                <w:p w14:paraId="0366C820">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开钻</w:t>
                  </w:r>
                </w:p>
                <w:p w14:paraId="19182B86">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次序</w:t>
                  </w:r>
                </w:p>
              </w:tc>
              <w:tc>
                <w:tcPr>
                  <w:tcW w:w="392" w:type="pct"/>
                  <w:vAlign w:val="center"/>
                </w:tcPr>
                <w:p w14:paraId="4F4A7A7C">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井深</w:t>
                  </w:r>
                </w:p>
                <w:p w14:paraId="7749D9D5">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(m)</w:t>
                  </w:r>
                </w:p>
              </w:tc>
              <w:tc>
                <w:tcPr>
                  <w:tcW w:w="776" w:type="pct"/>
                  <w:vAlign w:val="center"/>
                </w:tcPr>
                <w:p w14:paraId="6736CB12">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钻头尺寸</w:t>
                  </w:r>
                </w:p>
                <w:p w14:paraId="3C1953C5">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(mm)</w:t>
                  </w:r>
                </w:p>
              </w:tc>
              <w:tc>
                <w:tcPr>
                  <w:tcW w:w="1117" w:type="pct"/>
                  <w:vAlign w:val="center"/>
                </w:tcPr>
                <w:p w14:paraId="32AF8B6D">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套管尺寸</w:t>
                  </w:r>
                </w:p>
                <w:p w14:paraId="1384ACCB">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(mm)</w:t>
                  </w:r>
                </w:p>
              </w:tc>
              <w:tc>
                <w:tcPr>
                  <w:tcW w:w="1160" w:type="pct"/>
                  <w:vAlign w:val="center"/>
                </w:tcPr>
                <w:p w14:paraId="63E59334">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套管下入层位</w:t>
                  </w:r>
                </w:p>
              </w:tc>
              <w:tc>
                <w:tcPr>
                  <w:tcW w:w="1160" w:type="pct"/>
                  <w:vAlign w:val="center"/>
                </w:tcPr>
                <w:p w14:paraId="794D1937">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套管下入深度</w:t>
                  </w:r>
                </w:p>
                <w:p w14:paraId="1DCD3F54">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(m)</w:t>
                  </w:r>
                </w:p>
              </w:tc>
            </w:tr>
            <w:tr w14:paraId="73DA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92" w:type="pct"/>
                  <w:vAlign w:val="center"/>
                </w:tcPr>
                <w:p w14:paraId="20E6D0B1">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导眼</w:t>
                  </w:r>
                </w:p>
              </w:tc>
              <w:tc>
                <w:tcPr>
                  <w:tcW w:w="392" w:type="pct"/>
                  <w:vAlign w:val="center"/>
                </w:tcPr>
                <w:p w14:paraId="51E0E80C">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30</w:t>
                  </w:r>
                </w:p>
              </w:tc>
              <w:tc>
                <w:tcPr>
                  <w:tcW w:w="776" w:type="pct"/>
                  <w:vAlign w:val="center"/>
                </w:tcPr>
                <w:p w14:paraId="3C32F4B8">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Φ660</w:t>
                  </w:r>
                </w:p>
              </w:tc>
              <w:tc>
                <w:tcPr>
                  <w:tcW w:w="1117" w:type="pct"/>
                  <w:vAlign w:val="center"/>
                </w:tcPr>
                <w:p w14:paraId="09E300F4">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Φ508</w:t>
                  </w:r>
                </w:p>
              </w:tc>
              <w:tc>
                <w:tcPr>
                  <w:tcW w:w="1160" w:type="pct"/>
                  <w:vAlign w:val="center"/>
                </w:tcPr>
                <w:p w14:paraId="64A83667">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Q</w:t>
                  </w:r>
                </w:p>
              </w:tc>
              <w:tc>
                <w:tcPr>
                  <w:tcW w:w="1160" w:type="pct"/>
                  <w:vAlign w:val="center"/>
                </w:tcPr>
                <w:p w14:paraId="243BFC3D">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30</w:t>
                  </w:r>
                </w:p>
              </w:tc>
            </w:tr>
            <w:tr w14:paraId="7312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92" w:type="pct"/>
                  <w:vAlign w:val="center"/>
                </w:tcPr>
                <w:p w14:paraId="26E208AA">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一开</w:t>
                  </w:r>
                </w:p>
              </w:tc>
              <w:tc>
                <w:tcPr>
                  <w:tcW w:w="392" w:type="pct"/>
                  <w:vAlign w:val="center"/>
                </w:tcPr>
                <w:p w14:paraId="487338E6">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700</w:t>
                  </w:r>
                </w:p>
              </w:tc>
              <w:tc>
                <w:tcPr>
                  <w:tcW w:w="776" w:type="pct"/>
                  <w:vAlign w:val="center"/>
                </w:tcPr>
                <w:p w14:paraId="075AB2EA">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Φ375</w:t>
                  </w:r>
                </w:p>
              </w:tc>
              <w:tc>
                <w:tcPr>
                  <w:tcW w:w="1117" w:type="pct"/>
                  <w:vAlign w:val="center"/>
                </w:tcPr>
                <w:p w14:paraId="3D8E68F0">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Φ273</w:t>
                  </w:r>
                </w:p>
              </w:tc>
              <w:tc>
                <w:tcPr>
                  <w:tcW w:w="1160" w:type="pct"/>
                  <w:vAlign w:val="center"/>
                </w:tcPr>
                <w:p w14:paraId="1B5CA64B">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N</w:t>
                  </w:r>
                </w:p>
              </w:tc>
              <w:tc>
                <w:tcPr>
                  <w:tcW w:w="1160" w:type="pct"/>
                  <w:vAlign w:val="center"/>
                </w:tcPr>
                <w:p w14:paraId="4C643C53">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700</w:t>
                  </w:r>
                </w:p>
              </w:tc>
            </w:tr>
            <w:tr w14:paraId="6DA3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92" w:type="pct"/>
                  <w:vAlign w:val="center"/>
                </w:tcPr>
                <w:p w14:paraId="1A13F6BA">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二开</w:t>
                  </w:r>
                </w:p>
              </w:tc>
              <w:tc>
                <w:tcPr>
                  <w:tcW w:w="392" w:type="pct"/>
                  <w:vAlign w:val="center"/>
                </w:tcPr>
                <w:p w14:paraId="0AED06EE">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3000</w:t>
                  </w:r>
                </w:p>
              </w:tc>
              <w:tc>
                <w:tcPr>
                  <w:tcW w:w="776" w:type="pct"/>
                  <w:vAlign w:val="center"/>
                </w:tcPr>
                <w:p w14:paraId="422F8545">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Φ251</w:t>
                  </w:r>
                </w:p>
              </w:tc>
              <w:tc>
                <w:tcPr>
                  <w:tcW w:w="1117" w:type="pct"/>
                  <w:vAlign w:val="center"/>
                </w:tcPr>
                <w:p w14:paraId="3418735F">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Φ193.7</w:t>
                  </w:r>
                </w:p>
              </w:tc>
              <w:tc>
                <w:tcPr>
                  <w:tcW w:w="1160" w:type="pct"/>
                  <w:vAlign w:val="center"/>
                </w:tcPr>
                <w:p w14:paraId="290ECC0B">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P</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l</w:t>
                  </w:r>
                </w:p>
              </w:tc>
              <w:tc>
                <w:tcPr>
                  <w:tcW w:w="1160" w:type="pct"/>
                  <w:vAlign w:val="center"/>
                </w:tcPr>
                <w:p w14:paraId="37B6953E">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3000</w:t>
                  </w:r>
                </w:p>
              </w:tc>
            </w:tr>
            <w:tr w14:paraId="5284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92" w:type="pct"/>
                  <w:vAlign w:val="center"/>
                </w:tcPr>
                <w:p w14:paraId="439579E2">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三开</w:t>
                  </w:r>
                </w:p>
              </w:tc>
              <w:tc>
                <w:tcPr>
                  <w:tcW w:w="392" w:type="pct"/>
                  <w:vAlign w:val="center"/>
                </w:tcPr>
                <w:p w14:paraId="5871AC31">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5000</w:t>
                  </w:r>
                </w:p>
              </w:tc>
              <w:tc>
                <w:tcPr>
                  <w:tcW w:w="776" w:type="pct"/>
                  <w:vAlign w:val="center"/>
                </w:tcPr>
                <w:p w14:paraId="1BE7AC85">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Φ168</w:t>
                  </w:r>
                </w:p>
              </w:tc>
              <w:tc>
                <w:tcPr>
                  <w:tcW w:w="1117" w:type="pct"/>
                  <w:vAlign w:val="center"/>
                </w:tcPr>
                <w:p w14:paraId="21D22031">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Φ139.7+Φ127</w:t>
                  </w:r>
                </w:p>
              </w:tc>
              <w:tc>
                <w:tcPr>
                  <w:tcW w:w="1160" w:type="pct"/>
                  <w:vAlign w:val="center"/>
                </w:tcPr>
                <w:p w14:paraId="1529C248">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P</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l</w:t>
                  </w:r>
                </w:p>
              </w:tc>
              <w:tc>
                <w:tcPr>
                  <w:tcW w:w="1160" w:type="pct"/>
                  <w:vAlign w:val="center"/>
                </w:tcPr>
                <w:p w14:paraId="7E0F0CC2">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5000</w:t>
                  </w:r>
                </w:p>
              </w:tc>
            </w:tr>
          </w:tbl>
          <w:p w14:paraId="529BE603">
            <w:pPr>
              <w:pStyle w:val="22"/>
              <w:widowControl w:val="0"/>
              <w:kinsoku/>
              <w:spacing w:before="161" w:line="224"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表2-6 井身结构设计说明表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496"/>
              <w:gridCol w:w="6427"/>
            </w:tblGrid>
            <w:tr w14:paraId="620C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4" w:type="pct"/>
                  <w:vAlign w:val="center"/>
                </w:tcPr>
                <w:p w14:paraId="41D3E199">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开钻次序</w:t>
                  </w:r>
                </w:p>
              </w:tc>
              <w:tc>
                <w:tcPr>
                  <w:tcW w:w="864" w:type="pct"/>
                  <w:vAlign w:val="center"/>
                </w:tcPr>
                <w:p w14:paraId="7882829F">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套管尺寸(mm)</w:t>
                  </w:r>
                </w:p>
              </w:tc>
              <w:tc>
                <w:tcPr>
                  <w:tcW w:w="3711" w:type="pct"/>
                  <w:vAlign w:val="center"/>
                </w:tcPr>
                <w:p w14:paraId="41D9F803">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设计说明</w:t>
                  </w:r>
                </w:p>
              </w:tc>
            </w:tr>
            <w:tr w14:paraId="5B95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4" w:type="pct"/>
                  <w:vAlign w:val="center"/>
                </w:tcPr>
                <w:p w14:paraId="0E106C96">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导眼</w:t>
                  </w:r>
                </w:p>
              </w:tc>
              <w:tc>
                <w:tcPr>
                  <w:tcW w:w="864" w:type="pct"/>
                  <w:vAlign w:val="center"/>
                </w:tcPr>
                <w:p w14:paraId="272281CC">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Φ508</w:t>
                  </w:r>
                </w:p>
              </w:tc>
              <w:tc>
                <w:tcPr>
                  <w:tcW w:w="3711" w:type="pct"/>
                  <w:vAlign w:val="center"/>
                </w:tcPr>
                <w:p w14:paraId="71DA37A3">
                  <w:pPr>
                    <w:pStyle w:val="25"/>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000000" w:themeColor="text1"/>
                      <w:lang w:val="en-US" w:bidi="ar-SA"/>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用Φ660mm钻头打导眼30m，下入Φ508mm的导管固井，水泥返至地面。</w:t>
                  </w:r>
                </w:p>
              </w:tc>
            </w:tr>
            <w:tr w14:paraId="2690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4" w:type="pct"/>
                  <w:vAlign w:val="center"/>
                </w:tcPr>
                <w:p w14:paraId="0CD6AE01">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一开</w:t>
                  </w:r>
                </w:p>
              </w:tc>
              <w:tc>
                <w:tcPr>
                  <w:tcW w:w="864" w:type="pct"/>
                  <w:vAlign w:val="center"/>
                </w:tcPr>
                <w:p w14:paraId="22DE0161">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Φ</w:t>
                  </w:r>
                  <w:r>
                    <w:rPr>
                      <w:rFonts w:hint="default" w:ascii="Times New Roman" w:hAnsi="Times New Roman" w:eastAsia="宋体" w:cs="Times New Roman"/>
                      <w:b w:val="0"/>
                      <w:bCs w:val="0"/>
                      <w:color w:val="000000" w:themeColor="text1"/>
                      <w:szCs w:val="21"/>
                      <w14:textFill>
                        <w14:solidFill>
                          <w14:schemeClr w14:val="tx1"/>
                        </w14:solidFill>
                      </w14:textFill>
                    </w:rPr>
                    <w:t>273</w:t>
                  </w:r>
                </w:p>
              </w:tc>
              <w:tc>
                <w:tcPr>
                  <w:tcW w:w="3711" w:type="pct"/>
                  <w:vAlign w:val="center"/>
                </w:tcPr>
                <w:p w14:paraId="3B5A238F">
                  <w:pPr>
                    <w:pStyle w:val="25"/>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用Φ444.5mm钻头一开，钻穿砾石层至少20m，钻至井深750m左右，下入Φ339.7mm表层套管，水泥返至地面。</w:t>
                  </w:r>
                </w:p>
                <w:p w14:paraId="5E96B617">
                  <w:pPr>
                    <w:pStyle w:val="25"/>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000000" w:themeColor="text1"/>
                      <w:lang w:val="en-US" w:bidi="ar-SA"/>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表套下深原则：封隔表层承压能力薄弱地层。</w:t>
                  </w:r>
                </w:p>
              </w:tc>
            </w:tr>
            <w:tr w14:paraId="540F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4" w:type="pct"/>
                  <w:vAlign w:val="center"/>
                </w:tcPr>
                <w:p w14:paraId="7F1C6001">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二开</w:t>
                  </w:r>
                </w:p>
              </w:tc>
              <w:tc>
                <w:tcPr>
                  <w:tcW w:w="864" w:type="pct"/>
                  <w:vAlign w:val="center"/>
                </w:tcPr>
                <w:p w14:paraId="7E9C121A">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Φ193.7</w:t>
                  </w:r>
                </w:p>
              </w:tc>
              <w:tc>
                <w:tcPr>
                  <w:tcW w:w="3711" w:type="pct"/>
                  <w:vAlign w:val="center"/>
                </w:tcPr>
                <w:p w14:paraId="00BC54D5">
                  <w:pPr>
                    <w:pStyle w:val="25"/>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000000" w:themeColor="text1"/>
                      <w:lang w:val="en-US" w:bidi="ar-SA"/>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用Φ311mm钻头二开，钻至井深3000m左右，下入Φ244.5mm技术套管，采用</w:t>
                  </w:r>
                  <w:r>
                    <w:rPr>
                      <w:rFonts w:hint="default" w:ascii="Times New Roman" w:hAnsi="Times New Roman" w:eastAsia="宋体" w:cs="Times New Roman"/>
                      <w:b w:val="0"/>
                      <w:bCs w:val="0"/>
                      <w:color w:val="000000" w:themeColor="text1"/>
                      <w:szCs w:val="21"/>
                      <w14:textFill>
                        <w14:solidFill>
                          <w14:schemeClr w14:val="tx1"/>
                        </w14:solidFill>
                      </w14:textFill>
                    </w:rPr>
                    <w:t>低密度</w:t>
                  </w:r>
                  <w:r>
                    <w:rPr>
                      <w:rFonts w:hint="default" w:ascii="Times New Roman" w:hAnsi="Times New Roman" w:eastAsia="宋体" w:cs="Times New Roman"/>
                      <w:b w:val="0"/>
                      <w:bCs w:val="0"/>
                      <w:color w:val="000000" w:themeColor="text1"/>
                      <w14:textFill>
                        <w14:solidFill>
                          <w14:schemeClr w14:val="tx1"/>
                        </w14:solidFill>
                      </w14:textFill>
                    </w:rPr>
                    <w:t>水泥浆体系固井。</w:t>
                  </w:r>
                  <w:r>
                    <w:rPr>
                      <w:rFonts w:hint="default" w:ascii="Times New Roman" w:hAnsi="Times New Roman" w:eastAsia="宋体" w:cs="Times New Roman"/>
                      <w:b w:val="0"/>
                      <w:bCs w:val="0"/>
                      <w:color w:val="000000" w:themeColor="text1"/>
                      <w:szCs w:val="21"/>
                      <w14:textFill>
                        <w14:solidFill>
                          <w14:schemeClr w14:val="tx1"/>
                        </w14:solidFill>
                      </w14:textFill>
                    </w:rPr>
                    <w:t>抗盐</w:t>
                  </w:r>
                  <w:r>
                    <w:rPr>
                      <w:rFonts w:hint="default" w:ascii="Times New Roman" w:hAnsi="Times New Roman" w:eastAsia="宋体" w:cs="Times New Roman"/>
                      <w:b w:val="0"/>
                      <w:bCs w:val="0"/>
                      <w:color w:val="000000" w:themeColor="text1"/>
                      <w14:textFill>
                        <w14:solidFill>
                          <w14:schemeClr w14:val="tx1"/>
                        </w14:solidFill>
                      </w14:textFill>
                    </w:rPr>
                    <w:t>水泥返至2000m，封固段长1000m；抗盐低密水泥返至地面，封固段长2000m。</w:t>
                  </w:r>
                </w:p>
              </w:tc>
            </w:tr>
            <w:tr w14:paraId="3741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4" w:type="pct"/>
                  <w:vAlign w:val="center"/>
                </w:tcPr>
                <w:p w14:paraId="654E4AFF">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三开</w:t>
                  </w:r>
                </w:p>
              </w:tc>
              <w:tc>
                <w:tcPr>
                  <w:tcW w:w="864" w:type="pct"/>
                  <w:vAlign w:val="center"/>
                </w:tcPr>
                <w:p w14:paraId="079FF7E0">
                  <w:pPr>
                    <w:pStyle w:val="25"/>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Φ139.7+Φ127</w:t>
                  </w:r>
                </w:p>
              </w:tc>
              <w:tc>
                <w:tcPr>
                  <w:tcW w:w="3711" w:type="pct"/>
                  <w:vAlign w:val="center"/>
                </w:tcPr>
                <w:p w14:paraId="1EF4FAAF">
                  <w:pPr>
                    <w:pStyle w:val="25"/>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000000" w:themeColor="text1"/>
                      <w:lang w:val="en-US" w:bidi="ar-SA"/>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用Ф216mm钻头三开，钻至井深5000m完钻，下入Φ139.7mm+Φ127mm油层套管，采用</w:t>
                  </w:r>
                  <w:r>
                    <w:rPr>
                      <w:rFonts w:hint="default" w:ascii="Times New Roman" w:hAnsi="Times New Roman" w:eastAsia="宋体" w:cs="Times New Roman"/>
                      <w:b w:val="0"/>
                      <w:bCs w:val="0"/>
                      <w:color w:val="000000" w:themeColor="text1"/>
                      <w:szCs w:val="21"/>
                      <w14:textFill>
                        <w14:solidFill>
                          <w14:schemeClr w14:val="tx1"/>
                        </w14:solidFill>
                      </w14:textFill>
                    </w:rPr>
                    <w:t>抗盐增韧加砂+抗盐复合</w:t>
                  </w:r>
                  <w:r>
                    <w:rPr>
                      <w:rFonts w:hint="default" w:ascii="Times New Roman" w:hAnsi="Times New Roman" w:eastAsia="宋体" w:cs="Times New Roman"/>
                      <w:b w:val="0"/>
                      <w:bCs w:val="0"/>
                      <w:color w:val="000000" w:themeColor="text1"/>
                      <w14:textFill>
                        <w14:solidFill>
                          <w14:schemeClr w14:val="tx1"/>
                        </w14:solidFill>
                      </w14:textFill>
                    </w:rPr>
                    <w:t>水泥浆体系固井。抗盐增韧水泥返至3000m，封固段长2000m；</w:t>
                  </w:r>
                  <w:r>
                    <w:rPr>
                      <w:rFonts w:hint="default" w:ascii="Times New Roman" w:hAnsi="Times New Roman" w:eastAsia="宋体" w:cs="Times New Roman"/>
                      <w:b w:val="0"/>
                      <w:bCs w:val="0"/>
                      <w:color w:val="000000" w:themeColor="text1"/>
                      <w:szCs w:val="21"/>
                      <w14:textFill>
                        <w14:solidFill>
                          <w14:schemeClr w14:val="tx1"/>
                        </w14:solidFill>
                      </w14:textFill>
                    </w:rPr>
                    <w:t>抗盐低密</w:t>
                  </w:r>
                  <w:r>
                    <w:rPr>
                      <w:rFonts w:hint="default" w:ascii="Times New Roman" w:hAnsi="Times New Roman" w:eastAsia="宋体" w:cs="Times New Roman"/>
                      <w:b w:val="0"/>
                      <w:bCs w:val="0"/>
                      <w:color w:val="000000" w:themeColor="text1"/>
                      <w14:textFill>
                        <w14:solidFill>
                          <w14:schemeClr w14:val="tx1"/>
                        </w14:solidFill>
                      </w14:textFill>
                    </w:rPr>
                    <w:t>水泥返至地面，封固段长3000m。</w:t>
                  </w:r>
                </w:p>
              </w:tc>
            </w:tr>
          </w:tbl>
          <w:p w14:paraId="633CB21C">
            <w:pPr>
              <w:widowControl w:val="0"/>
              <w:kinsoku/>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p>
          <w:p w14:paraId="0DF4ECDF">
            <w:pPr>
              <w:widowControl w:val="0"/>
              <w:kinsoku/>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4831715" cy="6239510"/>
                  <wp:effectExtent l="0" t="0" r="698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4831715" cy="6239510"/>
                          </a:xfrm>
                          <a:prstGeom prst="rect">
                            <a:avLst/>
                          </a:prstGeom>
                          <a:noFill/>
                          <a:ln>
                            <a:noFill/>
                          </a:ln>
                        </pic:spPr>
                      </pic:pic>
                    </a:graphicData>
                  </a:graphic>
                </wp:inline>
              </w:drawing>
            </w:r>
          </w:p>
          <w:p w14:paraId="082FD94B">
            <w:pPr>
              <w:pStyle w:val="22"/>
              <w:widowControl w:val="0"/>
              <w:kinsoku/>
              <w:spacing w:before="152" w:line="228" w:lineRule="auto"/>
              <w:ind w:left="3204"/>
              <w:jc w:val="both"/>
              <w:rPr>
                <w:rFonts w:hint="default" w:ascii="Times New Roman" w:hAnsi="Times New Roman" w:eastAsia="宋体" w:cs="Times New Roman"/>
                <w:b/>
                <w:bCs/>
                <w:color w:val="000000" w:themeColor="text1"/>
                <w:spacing w:val="4"/>
                <w:lang w:eastAsia="zh-CN"/>
                <w14:textFill>
                  <w14:solidFill>
                    <w14:schemeClr w14:val="tx1"/>
                  </w14:solidFill>
                </w14:textFill>
              </w:rPr>
            </w:pPr>
            <w:r>
              <w:rPr>
                <w:rFonts w:hint="default" w:ascii="Times New Roman" w:hAnsi="Times New Roman" w:eastAsia="宋体" w:cs="Times New Roman"/>
                <w:b/>
                <w:bCs/>
                <w:color w:val="000000" w:themeColor="text1"/>
                <w:spacing w:val="4"/>
                <w:lang w:eastAsia="zh-CN"/>
                <w14:textFill>
                  <w14:solidFill>
                    <w14:schemeClr w14:val="tx1"/>
                  </w14:solidFill>
                </w14:textFill>
              </w:rPr>
              <w:t>图2-1 井身结构示意图</w:t>
            </w:r>
          </w:p>
          <w:p w14:paraId="22153A94">
            <w:pPr>
              <w:pStyle w:val="22"/>
              <w:widowControl w:val="0"/>
              <w:kinsoku/>
              <w:spacing w:line="240" w:lineRule="atLeast"/>
              <w:jc w:val="both"/>
              <w:rPr>
                <w:rFonts w:hint="default" w:ascii="Times New Roman" w:hAnsi="Times New Roman" w:eastAsia="宋体" w:cs="Times New Roman"/>
                <w:color w:val="000000" w:themeColor="text1"/>
                <w:lang w:eastAsia="zh-CN"/>
                <w14:textFill>
                  <w14:solidFill>
                    <w14:schemeClr w14:val="tx1"/>
                  </w14:solidFill>
                </w14:textFill>
              </w:rPr>
            </w:pPr>
          </w:p>
          <w:p w14:paraId="2EAFC127">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5.主要设备</w:t>
            </w:r>
          </w:p>
          <w:p w14:paraId="2791C3C5">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本项目单个钻井工程主要设备见下表2-7，单个钻井试油工程主要设备见下表2-8，储层改造设备见表2-9。</w:t>
            </w:r>
          </w:p>
          <w:p w14:paraId="1E1024CD">
            <w:pPr>
              <w:widowControl w:val="0"/>
              <w:kinsoku/>
              <w:spacing w:line="500" w:lineRule="exact"/>
              <w:jc w:val="center"/>
              <w:rPr>
                <w:rFonts w:hint="default" w:ascii="Times New Roman" w:hAnsi="Times New Roman" w:eastAsia="宋体" w:cs="Times New Roman"/>
                <w:b/>
                <w:bCs/>
                <w:color w:val="000000" w:themeColor="text1"/>
                <w:spacing w:val="5"/>
                <w:kern w:val="2"/>
                <w:lang w:eastAsia="zh-CN"/>
                <w14:textFill>
                  <w14:solidFill>
                    <w14:schemeClr w14:val="tx1"/>
                  </w14:solidFill>
                </w14:textFill>
              </w:rPr>
            </w:pPr>
            <w:r>
              <w:rPr>
                <w:rFonts w:hint="default" w:ascii="Times New Roman" w:hAnsi="Times New Roman" w:eastAsia="宋体" w:cs="Times New Roman"/>
                <w:b/>
                <w:bCs/>
                <w:color w:val="000000" w:themeColor="text1"/>
                <w:spacing w:val="5"/>
                <w:kern w:val="2"/>
                <w:lang w:eastAsia="zh-CN"/>
                <w14:textFill>
                  <w14:solidFill>
                    <w14:schemeClr w14:val="tx1"/>
                  </w14:solidFill>
                </w14:textFill>
              </w:rPr>
              <w:t>表2-7 单个钻井工程主要设备</w:t>
            </w:r>
          </w:p>
          <w:tbl>
            <w:tblPr>
              <w:tblStyle w:val="17"/>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937"/>
              <w:gridCol w:w="971"/>
              <w:gridCol w:w="1482"/>
              <w:gridCol w:w="1014"/>
              <w:gridCol w:w="965"/>
              <w:gridCol w:w="936"/>
              <w:gridCol w:w="936"/>
            </w:tblGrid>
            <w:tr w14:paraId="39D2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6C6083D8">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序号</w:t>
                  </w:r>
                </w:p>
              </w:tc>
              <w:tc>
                <w:tcPr>
                  <w:tcW w:w="1908" w:type="dxa"/>
                  <w:gridSpan w:val="2"/>
                  <w:vAlign w:val="center"/>
                </w:tcPr>
                <w:p w14:paraId="4DAED839">
                  <w:pPr>
                    <w:pStyle w:val="6"/>
                    <w:widowControl/>
                    <w:kinsoku/>
                    <w:spacing w:line="240" w:lineRule="atLeast"/>
                    <w:ind w:firstLine="0" w:firstLineChars="0"/>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pacing w:val="3"/>
                      <w:lang w:eastAsia="zh-CN"/>
                      <w14:textFill>
                        <w14:solidFill>
                          <w14:schemeClr w14:val="tx1"/>
                        </w14:solidFill>
                      </w14:textFill>
                    </w:rPr>
                    <w:t>名称</w:t>
                  </w:r>
                </w:p>
              </w:tc>
              <w:tc>
                <w:tcPr>
                  <w:tcW w:w="1482" w:type="dxa"/>
                  <w:vAlign w:val="center"/>
                </w:tcPr>
                <w:p w14:paraId="47A9EC22">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lang w:eastAsia="zh-CN"/>
                      <w14:textFill>
                        <w14:solidFill>
                          <w14:schemeClr w14:val="tx1"/>
                        </w14:solidFill>
                      </w14:textFill>
                    </w:rPr>
                    <w:t>型号</w:t>
                  </w:r>
                </w:p>
              </w:tc>
              <w:tc>
                <w:tcPr>
                  <w:tcW w:w="1014" w:type="dxa"/>
                  <w:vAlign w:val="center"/>
                </w:tcPr>
                <w:p w14:paraId="5CD49DA1">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lang w:eastAsia="zh-CN"/>
                      <w14:textFill>
                        <w14:solidFill>
                          <w14:schemeClr w14:val="tx1"/>
                        </w14:solidFill>
                      </w14:textFill>
                    </w:rPr>
                    <w:t>载荷</w:t>
                  </w:r>
                </w:p>
              </w:tc>
              <w:tc>
                <w:tcPr>
                  <w:tcW w:w="965" w:type="dxa"/>
                  <w:vAlign w:val="center"/>
                </w:tcPr>
                <w:p w14:paraId="63B01C0D">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10"/>
                      <w:sz w:val="21"/>
                      <w:szCs w:val="21"/>
                      <w:lang w:eastAsia="zh-CN"/>
                      <w14:textFill>
                        <w14:solidFill>
                          <w14:schemeClr w14:val="tx1"/>
                        </w14:solidFill>
                      </w14:textFill>
                    </w:rPr>
                    <w:t>功率</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kW</w:t>
                  </w:r>
                </w:p>
              </w:tc>
              <w:tc>
                <w:tcPr>
                  <w:tcW w:w="936" w:type="dxa"/>
                  <w:vAlign w:val="center"/>
                </w:tcPr>
                <w:p w14:paraId="76311482">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3"/>
                      <w:sz w:val="21"/>
                      <w:szCs w:val="21"/>
                      <w:lang w:eastAsia="zh-CN"/>
                      <w14:textFill>
                        <w14:solidFill>
                          <w14:schemeClr w14:val="tx1"/>
                        </w14:solidFill>
                      </w14:textFill>
                    </w:rPr>
                    <w:t>单位</w:t>
                  </w:r>
                </w:p>
              </w:tc>
              <w:tc>
                <w:tcPr>
                  <w:tcW w:w="936" w:type="dxa"/>
                  <w:vAlign w:val="center"/>
                </w:tcPr>
                <w:p w14:paraId="53ECADBF">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3"/>
                      <w:sz w:val="21"/>
                      <w:szCs w:val="21"/>
                      <w:lang w:eastAsia="zh-CN"/>
                      <w14:textFill>
                        <w14:solidFill>
                          <w14:schemeClr w14:val="tx1"/>
                        </w14:solidFill>
                      </w14:textFill>
                    </w:rPr>
                    <w:t>数量</w:t>
                  </w:r>
                </w:p>
              </w:tc>
            </w:tr>
            <w:tr w14:paraId="0E57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543651EA">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c>
                <w:tcPr>
                  <w:tcW w:w="1908" w:type="dxa"/>
                  <w:gridSpan w:val="2"/>
                  <w:vAlign w:val="center"/>
                </w:tcPr>
                <w:p w14:paraId="42F162C9">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lang w:eastAsia="zh-CN"/>
                      <w14:textFill>
                        <w14:solidFill>
                          <w14:schemeClr w14:val="tx1"/>
                        </w14:solidFill>
                      </w14:textFill>
                    </w:rPr>
                    <w:t>钻机</w:t>
                  </w:r>
                </w:p>
              </w:tc>
              <w:tc>
                <w:tcPr>
                  <w:tcW w:w="1482" w:type="dxa"/>
                  <w:vAlign w:val="center"/>
                </w:tcPr>
                <w:p w14:paraId="41679E9F">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ZJ</w:t>
                  </w:r>
                  <w:r>
                    <w:rPr>
                      <w:rFonts w:hint="default" w:ascii="Times New Roman" w:hAnsi="Times New Roman" w:eastAsia="宋体" w:cs="Times New Roman"/>
                      <w:color w:val="000000" w:themeColor="text1"/>
                      <w:spacing w:val="6"/>
                      <w:lang w:eastAsia="zh-CN"/>
                      <w14:textFill>
                        <w14:solidFill>
                          <w14:schemeClr w14:val="tx1"/>
                        </w14:solidFill>
                      </w14:textFill>
                    </w:rPr>
                    <w:t>-50</w:t>
                  </w:r>
                </w:p>
              </w:tc>
              <w:tc>
                <w:tcPr>
                  <w:tcW w:w="1014" w:type="dxa"/>
                  <w:vAlign w:val="center"/>
                </w:tcPr>
                <w:p w14:paraId="3F3D1F4A">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26E63872">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691029BB">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部</w:t>
                  </w:r>
                </w:p>
              </w:tc>
              <w:tc>
                <w:tcPr>
                  <w:tcW w:w="936" w:type="dxa"/>
                  <w:vAlign w:val="center"/>
                </w:tcPr>
                <w:p w14:paraId="2C1DCD3E">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5884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4E48F7F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w:t>
                  </w:r>
                </w:p>
              </w:tc>
              <w:tc>
                <w:tcPr>
                  <w:tcW w:w="1908" w:type="dxa"/>
                  <w:gridSpan w:val="2"/>
                  <w:vAlign w:val="center"/>
                </w:tcPr>
                <w:p w14:paraId="605E2A61">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lang w:eastAsia="zh-CN"/>
                      <w14:textFill>
                        <w14:solidFill>
                          <w14:schemeClr w14:val="tx1"/>
                        </w14:solidFill>
                      </w14:textFill>
                    </w:rPr>
                    <w:t>井架</w:t>
                  </w:r>
                </w:p>
              </w:tc>
              <w:tc>
                <w:tcPr>
                  <w:tcW w:w="1482" w:type="dxa"/>
                  <w:vAlign w:val="center"/>
                </w:tcPr>
                <w:p w14:paraId="178CAF0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JJ</w:t>
                  </w:r>
                  <w:r>
                    <w:rPr>
                      <w:rFonts w:hint="default" w:ascii="Times New Roman" w:hAnsi="Times New Roman" w:eastAsia="宋体" w:cs="Times New Roman"/>
                      <w:color w:val="000000" w:themeColor="text1"/>
                      <w:spacing w:val="6"/>
                      <w:lang w:eastAsia="zh-CN"/>
                      <w14:textFill>
                        <w14:solidFill>
                          <w14:schemeClr w14:val="tx1"/>
                        </w14:solidFill>
                      </w14:textFill>
                    </w:rPr>
                    <w:t>450</w:t>
                  </w:r>
                </w:p>
              </w:tc>
              <w:tc>
                <w:tcPr>
                  <w:tcW w:w="1014" w:type="dxa"/>
                  <w:vAlign w:val="center"/>
                </w:tcPr>
                <w:p w14:paraId="0B2410BE">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7"/>
                      <w:lang w:eastAsia="zh-CN"/>
                      <w14:textFill>
                        <w14:solidFill>
                          <w14:schemeClr w14:val="tx1"/>
                        </w14:solidFill>
                      </w14:textFill>
                    </w:rPr>
                    <w:t>4500</w:t>
                  </w:r>
                  <w:r>
                    <w:rPr>
                      <w:rFonts w:hint="default" w:ascii="Times New Roman" w:hAnsi="Times New Roman" w:eastAsia="宋体" w:cs="Times New Roman"/>
                      <w:color w:val="000000" w:themeColor="text1"/>
                      <w:lang w:eastAsia="zh-CN"/>
                      <w14:textFill>
                        <w14:solidFill>
                          <w14:schemeClr w14:val="tx1"/>
                        </w14:solidFill>
                      </w14:textFill>
                    </w:rPr>
                    <w:t>KN</w:t>
                  </w:r>
                </w:p>
              </w:tc>
              <w:tc>
                <w:tcPr>
                  <w:tcW w:w="965" w:type="dxa"/>
                  <w:vAlign w:val="center"/>
                </w:tcPr>
                <w:p w14:paraId="01A2F10A">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6305BFF5">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部</w:t>
                  </w:r>
                </w:p>
              </w:tc>
              <w:tc>
                <w:tcPr>
                  <w:tcW w:w="936" w:type="dxa"/>
                  <w:vAlign w:val="center"/>
                </w:tcPr>
                <w:p w14:paraId="6EA2041A">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451E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659307F4">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p>
              </w:tc>
              <w:tc>
                <w:tcPr>
                  <w:tcW w:w="1908" w:type="dxa"/>
                  <w:gridSpan w:val="2"/>
                  <w:vAlign w:val="center"/>
                </w:tcPr>
                <w:p w14:paraId="54A50417">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天车</w:t>
                  </w:r>
                </w:p>
              </w:tc>
              <w:tc>
                <w:tcPr>
                  <w:tcW w:w="1482" w:type="dxa"/>
                  <w:vAlign w:val="center"/>
                </w:tcPr>
                <w:p w14:paraId="599AC823">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TC</w:t>
                  </w:r>
                  <w:r>
                    <w:rPr>
                      <w:rFonts w:hint="default" w:ascii="Times New Roman" w:hAnsi="Times New Roman" w:eastAsia="宋体" w:cs="Times New Roman"/>
                      <w:color w:val="000000" w:themeColor="text1"/>
                      <w:spacing w:val="5"/>
                      <w:lang w:eastAsia="zh-CN"/>
                      <w14:textFill>
                        <w14:solidFill>
                          <w14:schemeClr w14:val="tx1"/>
                        </w14:solidFill>
                      </w14:textFill>
                    </w:rPr>
                    <w:t>-450</w:t>
                  </w:r>
                </w:p>
              </w:tc>
              <w:tc>
                <w:tcPr>
                  <w:tcW w:w="1014" w:type="dxa"/>
                  <w:vAlign w:val="center"/>
                </w:tcPr>
                <w:p w14:paraId="21FCC221">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7"/>
                      <w:lang w:eastAsia="zh-CN"/>
                      <w14:textFill>
                        <w14:solidFill>
                          <w14:schemeClr w14:val="tx1"/>
                        </w14:solidFill>
                      </w14:textFill>
                    </w:rPr>
                    <w:t>4500</w:t>
                  </w:r>
                  <w:r>
                    <w:rPr>
                      <w:rFonts w:hint="default" w:ascii="Times New Roman" w:hAnsi="Times New Roman" w:eastAsia="宋体" w:cs="Times New Roman"/>
                      <w:color w:val="000000" w:themeColor="text1"/>
                      <w:lang w:eastAsia="zh-CN"/>
                      <w14:textFill>
                        <w14:solidFill>
                          <w14:schemeClr w14:val="tx1"/>
                        </w14:solidFill>
                      </w14:textFill>
                    </w:rPr>
                    <w:t>KN</w:t>
                  </w:r>
                </w:p>
              </w:tc>
              <w:tc>
                <w:tcPr>
                  <w:tcW w:w="965" w:type="dxa"/>
                  <w:vAlign w:val="center"/>
                </w:tcPr>
                <w:p w14:paraId="78B0368A">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1B294213">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18D882C9">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4E56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2D36D149">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1"/>
                      <w:lang w:eastAsia="zh-CN"/>
                      <w14:textFill>
                        <w14:solidFill>
                          <w14:schemeClr w14:val="tx1"/>
                        </w14:solidFill>
                      </w14:textFill>
                    </w:rPr>
                    <w:t>4</w:t>
                  </w:r>
                </w:p>
              </w:tc>
              <w:tc>
                <w:tcPr>
                  <w:tcW w:w="1908" w:type="dxa"/>
                  <w:gridSpan w:val="2"/>
                  <w:vAlign w:val="center"/>
                </w:tcPr>
                <w:p w14:paraId="2B0799C3">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7"/>
                      <w:lang w:eastAsia="zh-CN"/>
                      <w14:textFill>
                        <w14:solidFill>
                          <w14:schemeClr w14:val="tx1"/>
                        </w14:solidFill>
                      </w14:textFill>
                    </w:rPr>
                    <w:t>游动滑车</w:t>
                  </w:r>
                </w:p>
              </w:tc>
              <w:tc>
                <w:tcPr>
                  <w:tcW w:w="1482" w:type="dxa"/>
                  <w:vAlign w:val="center"/>
                </w:tcPr>
                <w:p w14:paraId="5DA2A92D">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YC</w:t>
                  </w:r>
                  <w:r>
                    <w:rPr>
                      <w:rFonts w:hint="default" w:ascii="Times New Roman" w:hAnsi="Times New Roman" w:eastAsia="宋体" w:cs="Times New Roman"/>
                      <w:color w:val="000000" w:themeColor="text1"/>
                      <w:spacing w:val="7"/>
                      <w:lang w:eastAsia="zh-CN"/>
                      <w14:textFill>
                        <w14:solidFill>
                          <w14:schemeClr w14:val="tx1"/>
                        </w14:solidFill>
                      </w14:textFill>
                    </w:rPr>
                    <w:t>-450</w:t>
                  </w:r>
                </w:p>
              </w:tc>
              <w:tc>
                <w:tcPr>
                  <w:tcW w:w="1014" w:type="dxa"/>
                  <w:vAlign w:val="center"/>
                </w:tcPr>
                <w:p w14:paraId="44410D4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7"/>
                      <w:lang w:eastAsia="zh-CN"/>
                      <w14:textFill>
                        <w14:solidFill>
                          <w14:schemeClr w14:val="tx1"/>
                        </w14:solidFill>
                      </w14:textFill>
                    </w:rPr>
                    <w:t>4500</w:t>
                  </w:r>
                  <w:r>
                    <w:rPr>
                      <w:rFonts w:hint="default" w:ascii="Times New Roman" w:hAnsi="Times New Roman" w:eastAsia="宋体" w:cs="Times New Roman"/>
                      <w:color w:val="000000" w:themeColor="text1"/>
                      <w:lang w:eastAsia="zh-CN"/>
                      <w14:textFill>
                        <w14:solidFill>
                          <w14:schemeClr w14:val="tx1"/>
                        </w14:solidFill>
                      </w14:textFill>
                    </w:rPr>
                    <w:t>KN</w:t>
                  </w:r>
                </w:p>
              </w:tc>
              <w:tc>
                <w:tcPr>
                  <w:tcW w:w="965" w:type="dxa"/>
                  <w:vAlign w:val="center"/>
                </w:tcPr>
                <w:p w14:paraId="0EA7F04F">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5BBAB60D">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24E70922">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72E8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5BF7CB53">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w:t>
                  </w:r>
                </w:p>
              </w:tc>
              <w:tc>
                <w:tcPr>
                  <w:tcW w:w="1908" w:type="dxa"/>
                  <w:gridSpan w:val="2"/>
                  <w:vAlign w:val="center"/>
                </w:tcPr>
                <w:p w14:paraId="4C402324">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3"/>
                      <w:lang w:eastAsia="zh-CN"/>
                      <w14:textFill>
                        <w14:solidFill>
                          <w14:schemeClr w14:val="tx1"/>
                        </w14:solidFill>
                      </w14:textFill>
                    </w:rPr>
                    <w:t>大钩</w:t>
                  </w:r>
                </w:p>
              </w:tc>
              <w:tc>
                <w:tcPr>
                  <w:tcW w:w="1482" w:type="dxa"/>
                  <w:vAlign w:val="center"/>
                </w:tcPr>
                <w:p w14:paraId="5390FCCF">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DG</w:t>
                  </w:r>
                  <w:r>
                    <w:rPr>
                      <w:rFonts w:hint="default" w:ascii="Times New Roman" w:hAnsi="Times New Roman" w:eastAsia="宋体" w:cs="Times New Roman"/>
                      <w:color w:val="000000" w:themeColor="text1"/>
                      <w:spacing w:val="7"/>
                      <w:lang w:eastAsia="zh-CN"/>
                      <w14:textFill>
                        <w14:solidFill>
                          <w14:schemeClr w14:val="tx1"/>
                        </w14:solidFill>
                      </w14:textFill>
                    </w:rPr>
                    <w:t>-450</w:t>
                  </w:r>
                </w:p>
              </w:tc>
              <w:tc>
                <w:tcPr>
                  <w:tcW w:w="1014" w:type="dxa"/>
                  <w:vAlign w:val="center"/>
                </w:tcPr>
                <w:p w14:paraId="7C3F7E24">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7"/>
                      <w:lang w:eastAsia="zh-CN"/>
                      <w14:textFill>
                        <w14:solidFill>
                          <w14:schemeClr w14:val="tx1"/>
                        </w14:solidFill>
                      </w14:textFill>
                    </w:rPr>
                    <w:t>4500</w:t>
                  </w:r>
                  <w:r>
                    <w:rPr>
                      <w:rFonts w:hint="default" w:ascii="Times New Roman" w:hAnsi="Times New Roman" w:eastAsia="宋体" w:cs="Times New Roman"/>
                      <w:color w:val="000000" w:themeColor="text1"/>
                      <w:lang w:eastAsia="zh-CN"/>
                      <w14:textFill>
                        <w14:solidFill>
                          <w14:schemeClr w14:val="tx1"/>
                        </w14:solidFill>
                      </w14:textFill>
                    </w:rPr>
                    <w:t>KN</w:t>
                  </w:r>
                </w:p>
              </w:tc>
              <w:tc>
                <w:tcPr>
                  <w:tcW w:w="965" w:type="dxa"/>
                  <w:vAlign w:val="center"/>
                </w:tcPr>
                <w:p w14:paraId="2AD72F54">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1C3F73EC">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494EE65F">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323F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62A25A9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w:t>
                  </w:r>
                </w:p>
              </w:tc>
              <w:tc>
                <w:tcPr>
                  <w:tcW w:w="1908" w:type="dxa"/>
                  <w:gridSpan w:val="2"/>
                  <w:vAlign w:val="center"/>
                </w:tcPr>
                <w:p w14:paraId="097ADB22">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6"/>
                      <w:lang w:eastAsia="zh-CN"/>
                      <w14:textFill>
                        <w14:solidFill>
                          <w14:schemeClr w14:val="tx1"/>
                        </w14:solidFill>
                      </w14:textFill>
                    </w:rPr>
                    <w:t>水龙头</w:t>
                  </w:r>
                </w:p>
              </w:tc>
              <w:tc>
                <w:tcPr>
                  <w:tcW w:w="1482" w:type="dxa"/>
                  <w:vAlign w:val="center"/>
                </w:tcPr>
                <w:p w14:paraId="49354D44">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SL</w:t>
                  </w:r>
                  <w:r>
                    <w:rPr>
                      <w:rFonts w:hint="default" w:ascii="Times New Roman" w:hAnsi="Times New Roman" w:eastAsia="宋体" w:cs="Times New Roman"/>
                      <w:color w:val="000000" w:themeColor="text1"/>
                      <w:spacing w:val="3"/>
                      <w:lang w:eastAsia="zh-CN"/>
                      <w14:textFill>
                        <w14:solidFill>
                          <w14:schemeClr w14:val="tx1"/>
                        </w14:solidFill>
                      </w14:textFill>
                    </w:rPr>
                    <w:t>-450</w:t>
                  </w:r>
                </w:p>
              </w:tc>
              <w:tc>
                <w:tcPr>
                  <w:tcW w:w="1014" w:type="dxa"/>
                  <w:vAlign w:val="center"/>
                </w:tcPr>
                <w:p w14:paraId="1CE20019">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7"/>
                      <w:lang w:eastAsia="zh-CN"/>
                      <w14:textFill>
                        <w14:solidFill>
                          <w14:schemeClr w14:val="tx1"/>
                        </w14:solidFill>
                      </w14:textFill>
                    </w:rPr>
                    <w:t>4500</w:t>
                  </w:r>
                  <w:r>
                    <w:rPr>
                      <w:rFonts w:hint="default" w:ascii="Times New Roman" w:hAnsi="Times New Roman" w:eastAsia="宋体" w:cs="Times New Roman"/>
                      <w:color w:val="000000" w:themeColor="text1"/>
                      <w:lang w:eastAsia="zh-CN"/>
                      <w14:textFill>
                        <w14:solidFill>
                          <w14:schemeClr w14:val="tx1"/>
                        </w14:solidFill>
                      </w14:textFill>
                    </w:rPr>
                    <w:t>KN</w:t>
                  </w:r>
                </w:p>
              </w:tc>
              <w:tc>
                <w:tcPr>
                  <w:tcW w:w="965" w:type="dxa"/>
                  <w:vAlign w:val="center"/>
                </w:tcPr>
                <w:p w14:paraId="252A831E">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6AF4ED0A">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51367BFD">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5B63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46530AB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7</w:t>
                  </w:r>
                </w:p>
              </w:tc>
              <w:tc>
                <w:tcPr>
                  <w:tcW w:w="1908" w:type="dxa"/>
                  <w:gridSpan w:val="2"/>
                  <w:vAlign w:val="center"/>
                </w:tcPr>
                <w:p w14:paraId="7ACF9D7E">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lang w:eastAsia="zh-CN"/>
                      <w14:textFill>
                        <w14:solidFill>
                          <w14:schemeClr w14:val="tx1"/>
                        </w14:solidFill>
                      </w14:textFill>
                    </w:rPr>
                    <w:t>转盘</w:t>
                  </w:r>
                </w:p>
              </w:tc>
              <w:tc>
                <w:tcPr>
                  <w:tcW w:w="1482" w:type="dxa"/>
                  <w:vAlign w:val="center"/>
                </w:tcPr>
                <w:p w14:paraId="09D9EAC1">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ZP</w:t>
                  </w:r>
                  <w:r>
                    <w:rPr>
                      <w:rFonts w:hint="default" w:ascii="Times New Roman" w:hAnsi="Times New Roman" w:eastAsia="宋体" w:cs="Times New Roman"/>
                      <w:color w:val="000000" w:themeColor="text1"/>
                      <w:spacing w:val="6"/>
                      <w:lang w:eastAsia="zh-CN"/>
                      <w14:textFill>
                        <w14:solidFill>
                          <w14:schemeClr w14:val="tx1"/>
                        </w14:solidFill>
                      </w14:textFill>
                    </w:rPr>
                    <w:t>-375</w:t>
                  </w:r>
                </w:p>
              </w:tc>
              <w:tc>
                <w:tcPr>
                  <w:tcW w:w="1014" w:type="dxa"/>
                  <w:vAlign w:val="center"/>
                </w:tcPr>
                <w:p w14:paraId="080FAAE2">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lang w:eastAsia="zh-CN"/>
                      <w14:textFill>
                        <w14:solidFill>
                          <w14:schemeClr w14:val="tx1"/>
                        </w14:solidFill>
                      </w14:textFill>
                    </w:rPr>
                    <w:t>200T</w:t>
                  </w:r>
                </w:p>
              </w:tc>
              <w:tc>
                <w:tcPr>
                  <w:tcW w:w="965" w:type="dxa"/>
                  <w:vAlign w:val="center"/>
                </w:tcPr>
                <w:p w14:paraId="5C1B5F7D">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212B31E0">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112534B2">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407A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0BA9DA33">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8</w:t>
                  </w:r>
                </w:p>
              </w:tc>
              <w:tc>
                <w:tcPr>
                  <w:tcW w:w="1908" w:type="dxa"/>
                  <w:gridSpan w:val="2"/>
                  <w:vAlign w:val="center"/>
                </w:tcPr>
                <w:p w14:paraId="0E249326">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3"/>
                      <w:lang w:eastAsia="zh-CN"/>
                      <w14:textFill>
                        <w14:solidFill>
                          <w14:schemeClr w14:val="tx1"/>
                        </w14:solidFill>
                      </w14:textFill>
                    </w:rPr>
                    <w:t>绞车</w:t>
                  </w:r>
                </w:p>
              </w:tc>
              <w:tc>
                <w:tcPr>
                  <w:tcW w:w="1482" w:type="dxa"/>
                  <w:vAlign w:val="center"/>
                </w:tcPr>
                <w:p w14:paraId="2C2DCA42">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JC</w:t>
                  </w:r>
                  <w:r>
                    <w:rPr>
                      <w:rFonts w:hint="default" w:ascii="Times New Roman" w:hAnsi="Times New Roman" w:eastAsia="宋体" w:cs="Times New Roman"/>
                      <w:color w:val="000000" w:themeColor="text1"/>
                      <w:spacing w:val="5"/>
                      <w:lang w:eastAsia="zh-CN"/>
                      <w14:textFill>
                        <w14:solidFill>
                          <w14:schemeClr w14:val="tx1"/>
                        </w14:solidFill>
                      </w14:textFill>
                    </w:rPr>
                    <w:t>-200</w:t>
                  </w:r>
                </w:p>
              </w:tc>
              <w:tc>
                <w:tcPr>
                  <w:tcW w:w="1014" w:type="dxa"/>
                  <w:vAlign w:val="center"/>
                </w:tcPr>
                <w:p w14:paraId="73B51B51">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05E5EE5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60F603AE">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58F81642">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0692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3F16D783">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9</w:t>
                  </w:r>
                </w:p>
              </w:tc>
              <w:tc>
                <w:tcPr>
                  <w:tcW w:w="1908" w:type="dxa"/>
                  <w:gridSpan w:val="2"/>
                  <w:vAlign w:val="center"/>
                </w:tcPr>
                <w:p w14:paraId="6A569920">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6"/>
                      <w:lang w:eastAsia="zh-CN"/>
                      <w14:textFill>
                        <w14:solidFill>
                          <w14:schemeClr w14:val="tx1"/>
                        </w14:solidFill>
                      </w14:textFill>
                    </w:rPr>
                    <w:t>泥浆泵</w:t>
                  </w:r>
                </w:p>
              </w:tc>
              <w:tc>
                <w:tcPr>
                  <w:tcW w:w="1482" w:type="dxa"/>
                  <w:vAlign w:val="center"/>
                </w:tcPr>
                <w:p w14:paraId="173D46F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lang w:eastAsia="zh-CN"/>
                      <w14:textFill>
                        <w14:solidFill>
                          <w14:schemeClr w14:val="tx1"/>
                        </w14:solidFill>
                      </w14:textFill>
                    </w:rPr>
                    <w:t>F-1600</w:t>
                  </w:r>
                </w:p>
              </w:tc>
              <w:tc>
                <w:tcPr>
                  <w:tcW w:w="1014" w:type="dxa"/>
                  <w:vAlign w:val="center"/>
                </w:tcPr>
                <w:p w14:paraId="24D8C34F">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2AC9630D">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1"/>
                      <w:lang w:eastAsia="zh-CN"/>
                      <w14:textFill>
                        <w14:solidFill>
                          <w14:schemeClr w14:val="tx1"/>
                        </w14:solidFill>
                      </w14:textFill>
                    </w:rPr>
                    <w:t>1600</w:t>
                  </w:r>
                </w:p>
              </w:tc>
              <w:tc>
                <w:tcPr>
                  <w:tcW w:w="936" w:type="dxa"/>
                  <w:vAlign w:val="center"/>
                </w:tcPr>
                <w:p w14:paraId="0AE9A9CA">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台</w:t>
                  </w:r>
                </w:p>
              </w:tc>
              <w:tc>
                <w:tcPr>
                  <w:tcW w:w="936" w:type="dxa"/>
                  <w:vAlign w:val="center"/>
                </w:tcPr>
                <w:p w14:paraId="41236979">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p>
              </w:tc>
            </w:tr>
            <w:tr w14:paraId="1BA6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2EAAC7AA">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8"/>
                      <w:lang w:eastAsia="zh-CN"/>
                      <w14:textFill>
                        <w14:solidFill>
                          <w14:schemeClr w14:val="tx1"/>
                        </w14:solidFill>
                      </w14:textFill>
                    </w:rPr>
                    <w:t>10</w:t>
                  </w:r>
                </w:p>
              </w:tc>
              <w:tc>
                <w:tcPr>
                  <w:tcW w:w="1908" w:type="dxa"/>
                  <w:gridSpan w:val="2"/>
                  <w:vAlign w:val="center"/>
                </w:tcPr>
                <w:p w14:paraId="68BA8053">
                  <w:pPr>
                    <w:pStyle w:val="6"/>
                    <w:widowControl/>
                    <w:kinsoku/>
                    <w:spacing w:line="240" w:lineRule="atLeast"/>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6"/>
                      <w:lang w:eastAsia="zh-CN"/>
                      <w14:textFill>
                        <w14:solidFill>
                          <w14:schemeClr w14:val="tx1"/>
                        </w14:solidFill>
                      </w14:textFill>
                    </w:rPr>
                    <w:t>柴油机（</w:t>
                  </w:r>
                  <w:r>
                    <w:rPr>
                      <w:rFonts w:hint="default" w:ascii="Times New Roman" w:hAnsi="Times New Roman" w:eastAsia="宋体" w:cs="Times New Roman"/>
                      <w:color w:val="000000" w:themeColor="text1"/>
                      <w:spacing w:val="6"/>
                      <w:lang w:val="en-US" w:eastAsia="zh-CN"/>
                      <w14:textFill>
                        <w14:solidFill>
                          <w14:schemeClr w14:val="tx1"/>
                        </w14:solidFill>
                      </w14:textFill>
                    </w:rPr>
                    <w:t>备用</w:t>
                  </w:r>
                  <w:r>
                    <w:rPr>
                      <w:rFonts w:hint="default" w:ascii="Times New Roman" w:hAnsi="Times New Roman" w:eastAsia="宋体" w:cs="Times New Roman"/>
                      <w:color w:val="000000" w:themeColor="text1"/>
                      <w:spacing w:val="6"/>
                      <w:lang w:eastAsia="zh-CN"/>
                      <w14:textFill>
                        <w14:solidFill>
                          <w14:schemeClr w14:val="tx1"/>
                        </w14:solidFill>
                      </w14:textFill>
                    </w:rPr>
                    <w:t>）</w:t>
                  </w:r>
                </w:p>
              </w:tc>
              <w:tc>
                <w:tcPr>
                  <w:tcW w:w="1482" w:type="dxa"/>
                  <w:vAlign w:val="center"/>
                </w:tcPr>
                <w:p w14:paraId="55D9D980">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5"/>
                      <w:lang w:eastAsia="zh-CN"/>
                      <w14:textFill>
                        <w14:solidFill>
                          <w14:schemeClr w14:val="tx1"/>
                        </w14:solidFill>
                      </w14:textFill>
                    </w:rPr>
                    <w:t>G12V190</w:t>
                  </w:r>
                  <w:r>
                    <w:rPr>
                      <w:rFonts w:hint="default" w:ascii="Times New Roman" w:hAnsi="Times New Roman" w:eastAsia="宋体" w:cs="Times New Roman"/>
                      <w:color w:val="000000" w:themeColor="text1"/>
                      <w:lang w:eastAsia="zh-CN"/>
                      <w14:textFill>
                        <w14:solidFill>
                          <w14:schemeClr w14:val="tx1"/>
                        </w14:solidFill>
                      </w14:textFill>
                    </w:rPr>
                    <w:t>PJL</w:t>
                  </w:r>
                  <w:r>
                    <w:rPr>
                      <w:rFonts w:hint="default" w:ascii="Times New Roman" w:hAnsi="Times New Roman" w:eastAsia="宋体" w:cs="Times New Roman"/>
                      <w:color w:val="000000" w:themeColor="text1"/>
                      <w:spacing w:val="5"/>
                      <w:lang w:eastAsia="zh-CN"/>
                      <w14:textFill>
                        <w14:solidFill>
                          <w14:schemeClr w14:val="tx1"/>
                        </w14:solidFill>
                      </w14:textFill>
                    </w:rPr>
                    <w:t>-3</w:t>
                  </w:r>
                </w:p>
              </w:tc>
              <w:tc>
                <w:tcPr>
                  <w:tcW w:w="1014" w:type="dxa"/>
                  <w:vAlign w:val="center"/>
                </w:tcPr>
                <w:p w14:paraId="2179EC2D">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5D664AA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810</w:t>
                  </w:r>
                </w:p>
              </w:tc>
              <w:tc>
                <w:tcPr>
                  <w:tcW w:w="936" w:type="dxa"/>
                  <w:vAlign w:val="center"/>
                </w:tcPr>
                <w:p w14:paraId="384B7789">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台</w:t>
                  </w:r>
                </w:p>
              </w:tc>
              <w:tc>
                <w:tcPr>
                  <w:tcW w:w="936" w:type="dxa"/>
                  <w:vAlign w:val="center"/>
                </w:tcPr>
                <w:p w14:paraId="42358E73">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1"/>
                      <w:lang w:eastAsia="zh-CN"/>
                      <w14:textFill>
                        <w14:solidFill>
                          <w14:schemeClr w14:val="tx1"/>
                        </w14:solidFill>
                      </w14:textFill>
                    </w:rPr>
                    <w:t>3</w:t>
                  </w:r>
                </w:p>
              </w:tc>
            </w:tr>
            <w:tr w14:paraId="0A85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restart"/>
                  <w:vAlign w:val="center"/>
                </w:tcPr>
                <w:p w14:paraId="60F38205">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8"/>
                      <w:lang w:eastAsia="zh-CN"/>
                      <w14:textFill>
                        <w14:solidFill>
                          <w14:schemeClr w14:val="tx1"/>
                        </w14:solidFill>
                      </w14:textFill>
                    </w:rPr>
                    <w:t>11</w:t>
                  </w:r>
                </w:p>
              </w:tc>
              <w:tc>
                <w:tcPr>
                  <w:tcW w:w="937" w:type="dxa"/>
                  <w:vMerge w:val="restart"/>
                  <w:vAlign w:val="center"/>
                </w:tcPr>
                <w:p w14:paraId="78CFF452">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四级固</w:t>
                  </w: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控装置</w:t>
                  </w:r>
                </w:p>
              </w:tc>
              <w:tc>
                <w:tcPr>
                  <w:tcW w:w="971" w:type="dxa"/>
                  <w:vAlign w:val="center"/>
                </w:tcPr>
                <w:p w14:paraId="5CDCED51">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振动筛×3</w:t>
                  </w:r>
                </w:p>
              </w:tc>
              <w:tc>
                <w:tcPr>
                  <w:tcW w:w="1482" w:type="dxa"/>
                  <w:vAlign w:val="center"/>
                </w:tcPr>
                <w:p w14:paraId="22891C43">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ZX</w:t>
                  </w:r>
                  <w:r>
                    <w:rPr>
                      <w:rFonts w:hint="default" w:ascii="Times New Roman" w:hAnsi="Times New Roman" w:eastAsia="宋体" w:cs="Times New Roman"/>
                      <w:color w:val="000000" w:themeColor="text1"/>
                      <w:spacing w:val="6"/>
                      <w:lang w:eastAsia="zh-CN"/>
                      <w14:textFill>
                        <w14:solidFill>
                          <w14:schemeClr w14:val="tx1"/>
                        </w14:solidFill>
                      </w14:textFill>
                    </w:rPr>
                    <w:t>-60×300</w:t>
                  </w:r>
                </w:p>
              </w:tc>
              <w:tc>
                <w:tcPr>
                  <w:tcW w:w="1014" w:type="dxa"/>
                  <w:vAlign w:val="center"/>
                </w:tcPr>
                <w:p w14:paraId="010DF608">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0FA45385">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2E24DB27">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组</w:t>
                  </w:r>
                </w:p>
              </w:tc>
              <w:tc>
                <w:tcPr>
                  <w:tcW w:w="936" w:type="dxa"/>
                  <w:vAlign w:val="center"/>
                </w:tcPr>
                <w:p w14:paraId="56F8313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6D73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vAlign w:val="center"/>
                </w:tcPr>
                <w:p w14:paraId="4455FF6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7" w:type="dxa"/>
                  <w:vMerge w:val="continue"/>
                  <w:vAlign w:val="center"/>
                </w:tcPr>
                <w:p w14:paraId="3234AE06">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71" w:type="dxa"/>
                  <w:vAlign w:val="center"/>
                </w:tcPr>
                <w:p w14:paraId="2A04E337">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除砂器</w:t>
                  </w:r>
                </w:p>
              </w:tc>
              <w:tc>
                <w:tcPr>
                  <w:tcW w:w="1482" w:type="dxa"/>
                  <w:vAlign w:val="center"/>
                </w:tcPr>
                <w:p w14:paraId="188D6FF4">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NCS</w:t>
                  </w:r>
                  <w:r>
                    <w:rPr>
                      <w:rFonts w:hint="default" w:ascii="Times New Roman" w:hAnsi="Times New Roman" w:eastAsia="宋体" w:cs="Times New Roman"/>
                      <w:color w:val="000000" w:themeColor="text1"/>
                      <w:spacing w:val="9"/>
                      <w:lang w:eastAsia="zh-CN"/>
                      <w14:textFill>
                        <w14:solidFill>
                          <w14:schemeClr w14:val="tx1"/>
                        </w14:solidFill>
                      </w14:textFill>
                    </w:rPr>
                    <w:t>250×2</w:t>
                  </w:r>
                </w:p>
              </w:tc>
              <w:tc>
                <w:tcPr>
                  <w:tcW w:w="1014" w:type="dxa"/>
                  <w:vAlign w:val="center"/>
                </w:tcPr>
                <w:p w14:paraId="050C953F">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4EC64ECE">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28CA022A">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台</w:t>
                  </w:r>
                </w:p>
              </w:tc>
              <w:tc>
                <w:tcPr>
                  <w:tcW w:w="936" w:type="dxa"/>
                  <w:vAlign w:val="center"/>
                </w:tcPr>
                <w:p w14:paraId="68C1CA1D">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2243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vAlign w:val="center"/>
                </w:tcPr>
                <w:p w14:paraId="0B655B1F">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7" w:type="dxa"/>
                  <w:vMerge w:val="continue"/>
                  <w:vAlign w:val="center"/>
                </w:tcPr>
                <w:p w14:paraId="4A656663">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71" w:type="dxa"/>
                  <w:vAlign w:val="center"/>
                </w:tcPr>
                <w:p w14:paraId="2F15D1A9">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除泥器</w:t>
                  </w:r>
                </w:p>
              </w:tc>
              <w:tc>
                <w:tcPr>
                  <w:tcW w:w="1482" w:type="dxa"/>
                  <w:vAlign w:val="center"/>
                </w:tcPr>
                <w:p w14:paraId="7319173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ZQJ</w:t>
                  </w:r>
                  <w:r>
                    <w:rPr>
                      <w:rFonts w:hint="default" w:ascii="Times New Roman" w:hAnsi="Times New Roman" w:eastAsia="宋体" w:cs="Times New Roman"/>
                      <w:color w:val="000000" w:themeColor="text1"/>
                      <w:spacing w:val="6"/>
                      <w:lang w:eastAsia="zh-CN"/>
                      <w14:textFill>
                        <w14:solidFill>
                          <w14:schemeClr w14:val="tx1"/>
                        </w14:solidFill>
                      </w14:textFill>
                    </w:rPr>
                    <w:t>125×8-1.3×0.</w:t>
                  </w:r>
                  <w:r>
                    <w:rPr>
                      <w:rFonts w:hint="default" w:ascii="Times New Roman" w:hAnsi="Times New Roman" w:eastAsia="宋体" w:cs="Times New Roman"/>
                      <w:color w:val="000000" w:themeColor="text1"/>
                      <w:lang w:eastAsia="zh-CN"/>
                      <w14:textFill>
                        <w14:solidFill>
                          <w14:schemeClr w14:val="tx1"/>
                        </w14:solidFill>
                      </w14:textFill>
                    </w:rPr>
                    <w:t>6</w:t>
                  </w:r>
                </w:p>
              </w:tc>
              <w:tc>
                <w:tcPr>
                  <w:tcW w:w="1014" w:type="dxa"/>
                  <w:vAlign w:val="center"/>
                </w:tcPr>
                <w:p w14:paraId="249D46A5">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40ABE682">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1DB6D668">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台</w:t>
                  </w:r>
                </w:p>
              </w:tc>
              <w:tc>
                <w:tcPr>
                  <w:tcW w:w="936" w:type="dxa"/>
                  <w:vAlign w:val="center"/>
                </w:tcPr>
                <w:p w14:paraId="0A4C0AB5">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3AB2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vAlign w:val="center"/>
                </w:tcPr>
                <w:p w14:paraId="11C700A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7" w:type="dxa"/>
                  <w:vMerge w:val="continue"/>
                  <w:vAlign w:val="center"/>
                </w:tcPr>
                <w:p w14:paraId="1A715938">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71" w:type="dxa"/>
                  <w:vAlign w:val="center"/>
                </w:tcPr>
                <w:p w14:paraId="09787C8F">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离心机</w:t>
                  </w:r>
                </w:p>
              </w:tc>
              <w:tc>
                <w:tcPr>
                  <w:tcW w:w="1482" w:type="dxa"/>
                  <w:vAlign w:val="center"/>
                </w:tcPr>
                <w:p w14:paraId="6E4F2ACD">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LW</w:t>
                  </w:r>
                  <w:r>
                    <w:rPr>
                      <w:rFonts w:hint="default" w:ascii="Times New Roman" w:hAnsi="Times New Roman" w:eastAsia="宋体" w:cs="Times New Roman"/>
                      <w:color w:val="000000" w:themeColor="text1"/>
                      <w:spacing w:val="6"/>
                      <w:lang w:eastAsia="zh-CN"/>
                      <w14:textFill>
                        <w14:solidFill>
                          <w14:schemeClr w14:val="tx1"/>
                        </w14:solidFill>
                      </w14:textFill>
                    </w:rPr>
                    <w:t>450-842N</w:t>
                  </w:r>
                </w:p>
              </w:tc>
              <w:tc>
                <w:tcPr>
                  <w:tcW w:w="1014" w:type="dxa"/>
                  <w:vAlign w:val="center"/>
                </w:tcPr>
                <w:p w14:paraId="6E29E4C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583B365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72A12F93">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台</w:t>
                  </w:r>
                </w:p>
              </w:tc>
              <w:tc>
                <w:tcPr>
                  <w:tcW w:w="936" w:type="dxa"/>
                  <w:vAlign w:val="center"/>
                </w:tcPr>
                <w:p w14:paraId="2CAB1789">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2DAD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vAlign w:val="center"/>
                </w:tcPr>
                <w:p w14:paraId="7234A9C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7" w:type="dxa"/>
                  <w:vMerge w:val="continue"/>
                  <w:vAlign w:val="center"/>
                </w:tcPr>
                <w:p w14:paraId="6962D418">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71" w:type="dxa"/>
                  <w:vAlign w:val="center"/>
                </w:tcPr>
                <w:p w14:paraId="0F6F8699">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除气器</w:t>
                  </w:r>
                </w:p>
              </w:tc>
              <w:tc>
                <w:tcPr>
                  <w:tcW w:w="1482" w:type="dxa"/>
                  <w:vAlign w:val="center"/>
                </w:tcPr>
                <w:p w14:paraId="448B41F2">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HZQ</w:t>
                  </w:r>
                  <w:r>
                    <w:rPr>
                      <w:rFonts w:hint="default" w:ascii="Times New Roman" w:hAnsi="Times New Roman" w:eastAsia="宋体" w:cs="Times New Roman"/>
                      <w:color w:val="000000" w:themeColor="text1"/>
                      <w:spacing w:val="9"/>
                      <w:lang w:eastAsia="zh-CN"/>
                      <w14:textFill>
                        <w14:solidFill>
                          <w14:schemeClr w14:val="tx1"/>
                        </w14:solidFill>
                      </w14:textFill>
                    </w:rPr>
                    <w:t>1/4</w:t>
                  </w:r>
                </w:p>
              </w:tc>
              <w:tc>
                <w:tcPr>
                  <w:tcW w:w="1014" w:type="dxa"/>
                  <w:vAlign w:val="center"/>
                </w:tcPr>
                <w:p w14:paraId="2D6DBAC1">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65A24FC8">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36" w:type="dxa"/>
                  <w:vAlign w:val="center"/>
                </w:tcPr>
                <w:p w14:paraId="1EDBAB69">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台</w:t>
                  </w:r>
                </w:p>
              </w:tc>
              <w:tc>
                <w:tcPr>
                  <w:tcW w:w="936" w:type="dxa"/>
                  <w:vAlign w:val="center"/>
                </w:tcPr>
                <w:p w14:paraId="6C4BA95E">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108B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714595C1">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8"/>
                      <w:lang w:eastAsia="zh-CN"/>
                      <w14:textFill>
                        <w14:solidFill>
                          <w14:schemeClr w14:val="tx1"/>
                        </w14:solidFill>
                      </w14:textFill>
                    </w:rPr>
                    <w:t>12</w:t>
                  </w:r>
                </w:p>
              </w:tc>
              <w:tc>
                <w:tcPr>
                  <w:tcW w:w="937" w:type="dxa"/>
                  <w:vAlign w:val="center"/>
                </w:tcPr>
                <w:p w14:paraId="158EF4F8">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柴油发</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电机（</w:t>
                  </w: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备用</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w:t>
                  </w:r>
                </w:p>
              </w:tc>
              <w:tc>
                <w:tcPr>
                  <w:tcW w:w="971" w:type="dxa"/>
                  <w:vAlign w:val="center"/>
                </w:tcPr>
                <w:p w14:paraId="28587848">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#1-#3</w:t>
                  </w:r>
                </w:p>
              </w:tc>
              <w:tc>
                <w:tcPr>
                  <w:tcW w:w="1482" w:type="dxa"/>
                  <w:vAlign w:val="center"/>
                </w:tcPr>
                <w:p w14:paraId="5D0196A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lang w:eastAsia="zh-CN"/>
                      <w14:textFill>
                        <w14:solidFill>
                          <w14:schemeClr w14:val="tx1"/>
                        </w14:solidFill>
                      </w14:textFill>
                    </w:rPr>
                    <w:t>Vovol</w:t>
                  </w:r>
                </w:p>
              </w:tc>
              <w:tc>
                <w:tcPr>
                  <w:tcW w:w="1014" w:type="dxa"/>
                  <w:vAlign w:val="center"/>
                </w:tcPr>
                <w:p w14:paraId="76CDC810">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4F80FA4F">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lang w:eastAsia="zh-CN"/>
                      <w14:textFill>
                        <w14:solidFill>
                          <w14:schemeClr w14:val="tx1"/>
                        </w14:solidFill>
                      </w14:textFill>
                    </w:rPr>
                    <w:t>400</w:t>
                  </w:r>
                </w:p>
              </w:tc>
              <w:tc>
                <w:tcPr>
                  <w:tcW w:w="936" w:type="dxa"/>
                  <w:vAlign w:val="center"/>
                </w:tcPr>
                <w:p w14:paraId="220F8324">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台</w:t>
                  </w:r>
                </w:p>
              </w:tc>
              <w:tc>
                <w:tcPr>
                  <w:tcW w:w="936" w:type="dxa"/>
                  <w:vAlign w:val="center"/>
                </w:tcPr>
                <w:p w14:paraId="4826B8C5">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w:t>
                  </w:r>
                </w:p>
              </w:tc>
            </w:tr>
            <w:tr w14:paraId="4120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489719EB">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8"/>
                      <w:lang w:eastAsia="zh-CN"/>
                      <w14:textFill>
                        <w14:solidFill>
                          <w14:schemeClr w14:val="tx1"/>
                        </w14:solidFill>
                      </w14:textFill>
                    </w:rPr>
                    <w:t>13</w:t>
                  </w:r>
                </w:p>
              </w:tc>
              <w:tc>
                <w:tcPr>
                  <w:tcW w:w="937" w:type="dxa"/>
                  <w:vAlign w:val="center"/>
                </w:tcPr>
                <w:p w14:paraId="67CA2250">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净化罐</w:t>
                  </w:r>
                </w:p>
              </w:tc>
              <w:tc>
                <w:tcPr>
                  <w:tcW w:w="971" w:type="dxa"/>
                  <w:vAlign w:val="center"/>
                </w:tcPr>
                <w:p w14:paraId="50933E03">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position w:val="-1"/>
                      <w:lang w:eastAsia="zh-CN"/>
                      <w14:textFill>
                        <w14:solidFill>
                          <w14:schemeClr w14:val="tx1"/>
                        </w14:solidFill>
                      </w14:textFill>
                    </w:rPr>
                    <w:t>40m</w:t>
                  </w:r>
                  <w:r>
                    <w:rPr>
                      <w:rFonts w:hint="default" w:ascii="Times New Roman" w:hAnsi="Times New Roman" w:eastAsia="宋体" w:cs="Times New Roman"/>
                      <w:color w:val="000000" w:themeColor="text1"/>
                      <w:spacing w:val="4"/>
                      <w:position w:val="-1"/>
                      <w:vertAlign w:val="superscript"/>
                      <w:lang w:eastAsia="zh-CN"/>
                      <w14:textFill>
                        <w14:solidFill>
                          <w14:schemeClr w14:val="tx1"/>
                        </w14:solidFill>
                      </w14:textFill>
                    </w:rPr>
                    <w:t>3</w:t>
                  </w:r>
                </w:p>
              </w:tc>
              <w:tc>
                <w:tcPr>
                  <w:tcW w:w="1482" w:type="dxa"/>
                  <w:vAlign w:val="center"/>
                </w:tcPr>
                <w:p w14:paraId="3BBEE8F5">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1014" w:type="dxa"/>
                  <w:vAlign w:val="center"/>
                </w:tcPr>
                <w:p w14:paraId="25FBE01D">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4AD17B98">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6" w:type="dxa"/>
                  <w:vAlign w:val="center"/>
                </w:tcPr>
                <w:p w14:paraId="617F65DC">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6F739B7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1"/>
                      <w:lang w:eastAsia="zh-CN"/>
                      <w14:textFill>
                        <w14:solidFill>
                          <w14:schemeClr w14:val="tx1"/>
                        </w14:solidFill>
                      </w14:textFill>
                    </w:rPr>
                    <w:t>4</w:t>
                  </w:r>
                </w:p>
              </w:tc>
            </w:tr>
            <w:tr w14:paraId="1187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2451AEE6">
                  <w:pPr>
                    <w:widowControl/>
                    <w:kinsoku/>
                    <w:spacing w:line="240" w:lineRule="atLeast"/>
                    <w:jc w:val="center"/>
                    <w:rPr>
                      <w:rFonts w:hint="default" w:ascii="Times New Roman" w:hAnsi="Times New Roman" w:eastAsia="宋体" w:cs="Times New Roman"/>
                      <w:color w:val="000000" w:themeColor="text1"/>
                      <w:spacing w:val="-8"/>
                      <w:lang w:eastAsia="zh-CN"/>
                      <w14:textFill>
                        <w14:solidFill>
                          <w14:schemeClr w14:val="tx1"/>
                        </w14:solidFill>
                      </w14:textFill>
                    </w:rPr>
                  </w:pPr>
                  <w:r>
                    <w:rPr>
                      <w:rFonts w:hint="default" w:ascii="Times New Roman" w:hAnsi="Times New Roman" w:eastAsia="宋体" w:cs="Times New Roman"/>
                      <w:color w:val="000000" w:themeColor="text1"/>
                      <w:spacing w:val="-8"/>
                      <w:lang w:eastAsia="zh-CN"/>
                      <w14:textFill>
                        <w14:solidFill>
                          <w14:schemeClr w14:val="tx1"/>
                        </w14:solidFill>
                      </w14:textFill>
                    </w:rPr>
                    <w:t>14</w:t>
                  </w:r>
                </w:p>
              </w:tc>
              <w:tc>
                <w:tcPr>
                  <w:tcW w:w="937" w:type="dxa"/>
                  <w:vAlign w:val="center"/>
                </w:tcPr>
                <w:p w14:paraId="6CAF8452">
                  <w:pPr>
                    <w:pStyle w:val="22"/>
                    <w:widowControl/>
                    <w:kinsoku/>
                    <w:spacing w:line="240" w:lineRule="atLeast"/>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套装水</w:t>
                  </w:r>
                  <w:r>
                    <w:rPr>
                      <w:rFonts w:hint="default" w:ascii="Times New Roman" w:hAnsi="Times New Roman" w:eastAsia="宋体" w:cs="Times New Roman"/>
                      <w:color w:val="000000" w:themeColor="text1"/>
                      <w:sz w:val="21"/>
                      <w:szCs w:val="21"/>
                      <w:lang w:eastAsia="zh-CN"/>
                      <w14:textFill>
                        <w14:solidFill>
                          <w14:schemeClr w14:val="tx1"/>
                        </w14:solidFill>
                      </w14:textFill>
                    </w:rPr>
                    <w:t>罐</w:t>
                  </w:r>
                </w:p>
              </w:tc>
              <w:tc>
                <w:tcPr>
                  <w:tcW w:w="971" w:type="dxa"/>
                  <w:vAlign w:val="center"/>
                </w:tcPr>
                <w:p w14:paraId="247424AB">
                  <w:pPr>
                    <w:widowControl/>
                    <w:kinsoku/>
                    <w:spacing w:line="240" w:lineRule="atLeast"/>
                    <w:jc w:val="center"/>
                    <w:rPr>
                      <w:rFonts w:hint="default" w:ascii="Times New Roman" w:hAnsi="Times New Roman" w:eastAsia="宋体" w:cs="Times New Roman"/>
                      <w:color w:val="000000" w:themeColor="text1"/>
                      <w:spacing w:val="4"/>
                      <w:position w:val="-1"/>
                      <w:lang w:eastAsia="zh-CN"/>
                      <w14:textFill>
                        <w14:solidFill>
                          <w14:schemeClr w14:val="tx1"/>
                        </w14:solidFill>
                      </w14:textFill>
                    </w:rPr>
                  </w:pPr>
                  <w:r>
                    <w:rPr>
                      <w:rFonts w:hint="default" w:ascii="Times New Roman" w:hAnsi="Times New Roman" w:eastAsia="宋体" w:cs="Times New Roman"/>
                      <w:color w:val="000000" w:themeColor="text1"/>
                      <w:spacing w:val="2"/>
                      <w:position w:val="-1"/>
                      <w:lang w:eastAsia="zh-CN"/>
                      <w14:textFill>
                        <w14:solidFill>
                          <w14:schemeClr w14:val="tx1"/>
                        </w14:solidFill>
                      </w14:textFill>
                    </w:rPr>
                    <w:t>60</w:t>
                  </w:r>
                  <w:r>
                    <w:rPr>
                      <w:rFonts w:hint="default" w:ascii="Times New Roman" w:hAnsi="Times New Roman" w:eastAsia="宋体" w:cs="Times New Roman"/>
                      <w:color w:val="000000" w:themeColor="text1"/>
                      <w:spacing w:val="4"/>
                      <w:position w:val="-1"/>
                      <w:lang w:eastAsia="zh-CN"/>
                      <w14:textFill>
                        <w14:solidFill>
                          <w14:schemeClr w14:val="tx1"/>
                        </w14:solidFill>
                      </w14:textFill>
                    </w:rPr>
                    <w:t>m</w:t>
                  </w:r>
                  <w:r>
                    <w:rPr>
                      <w:rFonts w:hint="default" w:ascii="Times New Roman" w:hAnsi="Times New Roman" w:eastAsia="宋体" w:cs="Times New Roman"/>
                      <w:color w:val="000000" w:themeColor="text1"/>
                      <w:spacing w:val="4"/>
                      <w:position w:val="-1"/>
                      <w:vertAlign w:val="superscript"/>
                      <w:lang w:eastAsia="zh-CN"/>
                      <w14:textFill>
                        <w14:solidFill>
                          <w14:schemeClr w14:val="tx1"/>
                        </w14:solidFill>
                      </w14:textFill>
                    </w:rPr>
                    <w:t>3</w:t>
                  </w:r>
                </w:p>
              </w:tc>
              <w:tc>
                <w:tcPr>
                  <w:tcW w:w="1482" w:type="dxa"/>
                  <w:vAlign w:val="center"/>
                </w:tcPr>
                <w:p w14:paraId="16AF76BC">
                  <w:pPr>
                    <w:widowControl/>
                    <w:kinsoku/>
                    <w:spacing w:line="240" w:lineRule="atLeast"/>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1014" w:type="dxa"/>
                  <w:vAlign w:val="center"/>
                </w:tcPr>
                <w:p w14:paraId="646AD021">
                  <w:pPr>
                    <w:widowControl/>
                    <w:kinsoku/>
                    <w:spacing w:line="240" w:lineRule="atLeast"/>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70BF66EA">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6" w:type="dxa"/>
                  <w:vAlign w:val="center"/>
                </w:tcPr>
                <w:p w14:paraId="79DC128B">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0AC0624C">
                  <w:pPr>
                    <w:widowControl/>
                    <w:kinsoku/>
                    <w:spacing w:line="240" w:lineRule="atLeast"/>
                    <w:jc w:val="center"/>
                    <w:rPr>
                      <w:rFonts w:hint="default" w:ascii="Times New Roman" w:hAnsi="Times New Roman" w:eastAsia="宋体" w:cs="Times New Roman"/>
                      <w:color w:val="000000" w:themeColor="text1"/>
                      <w:spacing w:val="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744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208CC90B">
                  <w:pPr>
                    <w:widowControl/>
                    <w:kinsoku/>
                    <w:spacing w:line="240" w:lineRule="atLeast"/>
                    <w:jc w:val="center"/>
                    <w:rPr>
                      <w:rFonts w:hint="default" w:ascii="Times New Roman" w:hAnsi="Times New Roman" w:eastAsia="宋体" w:cs="Times New Roman"/>
                      <w:color w:val="000000" w:themeColor="text1"/>
                      <w:spacing w:val="-8"/>
                      <w:lang w:eastAsia="zh-CN"/>
                      <w14:textFill>
                        <w14:solidFill>
                          <w14:schemeClr w14:val="tx1"/>
                        </w14:solidFill>
                      </w14:textFill>
                    </w:rPr>
                  </w:pPr>
                  <w:r>
                    <w:rPr>
                      <w:rFonts w:hint="default" w:ascii="Times New Roman" w:hAnsi="Times New Roman" w:eastAsia="宋体" w:cs="Times New Roman"/>
                      <w:color w:val="000000" w:themeColor="text1"/>
                      <w:spacing w:val="-8"/>
                      <w:lang w:eastAsia="zh-CN"/>
                      <w14:textFill>
                        <w14:solidFill>
                          <w14:schemeClr w14:val="tx1"/>
                        </w14:solidFill>
                      </w14:textFill>
                    </w:rPr>
                    <w:t>15</w:t>
                  </w:r>
                </w:p>
              </w:tc>
              <w:tc>
                <w:tcPr>
                  <w:tcW w:w="937" w:type="dxa"/>
                  <w:vAlign w:val="center"/>
                </w:tcPr>
                <w:p w14:paraId="540960B8">
                  <w:pPr>
                    <w:pStyle w:val="22"/>
                    <w:widowControl/>
                    <w:kinsoku/>
                    <w:spacing w:line="240" w:lineRule="atLeast"/>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油水罐</w:t>
                  </w:r>
                </w:p>
              </w:tc>
              <w:tc>
                <w:tcPr>
                  <w:tcW w:w="971" w:type="dxa"/>
                  <w:vAlign w:val="center"/>
                </w:tcPr>
                <w:p w14:paraId="06D055C1">
                  <w:pPr>
                    <w:widowControl/>
                    <w:kinsoku/>
                    <w:spacing w:line="240" w:lineRule="atLeast"/>
                    <w:jc w:val="center"/>
                    <w:rPr>
                      <w:rFonts w:hint="default" w:ascii="Times New Roman" w:hAnsi="Times New Roman" w:eastAsia="宋体" w:cs="Times New Roman"/>
                      <w:color w:val="000000" w:themeColor="text1"/>
                      <w:spacing w:val="4"/>
                      <w:position w:val="-1"/>
                      <w:lang w:eastAsia="zh-CN"/>
                      <w14:textFill>
                        <w14:solidFill>
                          <w14:schemeClr w14:val="tx1"/>
                        </w14:solidFill>
                      </w14:textFill>
                    </w:rPr>
                  </w:pPr>
                  <w:r>
                    <w:rPr>
                      <w:rFonts w:hint="default" w:ascii="Times New Roman" w:hAnsi="Times New Roman" w:eastAsia="宋体" w:cs="Times New Roman"/>
                      <w:color w:val="000000" w:themeColor="text1"/>
                      <w:spacing w:val="4"/>
                      <w:position w:val="-1"/>
                      <w:lang w:eastAsia="zh-CN"/>
                      <w14:textFill>
                        <w14:solidFill>
                          <w14:schemeClr w14:val="tx1"/>
                        </w14:solidFill>
                      </w14:textFill>
                    </w:rPr>
                    <w:t>40m</w:t>
                  </w:r>
                  <w:r>
                    <w:rPr>
                      <w:rFonts w:hint="default" w:ascii="Times New Roman" w:hAnsi="Times New Roman" w:eastAsia="宋体" w:cs="Times New Roman"/>
                      <w:color w:val="000000" w:themeColor="text1"/>
                      <w:spacing w:val="4"/>
                      <w:position w:val="-1"/>
                      <w:vertAlign w:val="superscript"/>
                      <w:lang w:eastAsia="zh-CN"/>
                      <w14:textFill>
                        <w14:solidFill>
                          <w14:schemeClr w14:val="tx1"/>
                        </w14:solidFill>
                      </w14:textFill>
                    </w:rPr>
                    <w:t>3</w:t>
                  </w:r>
                </w:p>
              </w:tc>
              <w:tc>
                <w:tcPr>
                  <w:tcW w:w="1482" w:type="dxa"/>
                  <w:vAlign w:val="center"/>
                </w:tcPr>
                <w:p w14:paraId="0176779A">
                  <w:pPr>
                    <w:widowControl/>
                    <w:kinsoku/>
                    <w:spacing w:line="240" w:lineRule="atLeast"/>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1014" w:type="dxa"/>
                  <w:vAlign w:val="center"/>
                </w:tcPr>
                <w:p w14:paraId="38D7020C">
                  <w:pPr>
                    <w:widowControl/>
                    <w:kinsoku/>
                    <w:spacing w:line="240" w:lineRule="atLeast"/>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2B765B8E">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6" w:type="dxa"/>
                  <w:vAlign w:val="center"/>
                </w:tcPr>
                <w:p w14:paraId="76A329AE">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6C82E2E8">
                  <w:pPr>
                    <w:widowControl/>
                    <w:kinsoku/>
                    <w:spacing w:line="240" w:lineRule="atLeast"/>
                    <w:jc w:val="center"/>
                    <w:rPr>
                      <w:rFonts w:hint="default" w:ascii="Times New Roman" w:hAnsi="Times New Roman" w:eastAsia="宋体" w:cs="Times New Roman"/>
                      <w:color w:val="000000" w:themeColor="text1"/>
                      <w:spacing w:val="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p>
              </w:tc>
            </w:tr>
            <w:tr w14:paraId="66BB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0235238F">
                  <w:pPr>
                    <w:widowControl/>
                    <w:kinsoku/>
                    <w:spacing w:line="240" w:lineRule="atLeast"/>
                    <w:jc w:val="center"/>
                    <w:rPr>
                      <w:rFonts w:hint="default" w:ascii="Times New Roman" w:hAnsi="Times New Roman" w:eastAsia="宋体" w:cs="Times New Roman"/>
                      <w:color w:val="000000" w:themeColor="text1"/>
                      <w:spacing w:val="-8"/>
                      <w:lang w:eastAsia="zh-CN"/>
                      <w14:textFill>
                        <w14:solidFill>
                          <w14:schemeClr w14:val="tx1"/>
                        </w14:solidFill>
                      </w14:textFill>
                    </w:rPr>
                  </w:pPr>
                  <w:r>
                    <w:rPr>
                      <w:rFonts w:hint="default" w:ascii="Times New Roman" w:hAnsi="Times New Roman" w:eastAsia="宋体" w:cs="Times New Roman"/>
                      <w:color w:val="000000" w:themeColor="text1"/>
                      <w:spacing w:val="-8"/>
                      <w:lang w:eastAsia="zh-CN"/>
                      <w14:textFill>
                        <w14:solidFill>
                          <w14:schemeClr w14:val="tx1"/>
                        </w14:solidFill>
                      </w14:textFill>
                    </w:rPr>
                    <w:t>16</w:t>
                  </w:r>
                </w:p>
              </w:tc>
              <w:tc>
                <w:tcPr>
                  <w:tcW w:w="937" w:type="dxa"/>
                  <w:vAlign w:val="center"/>
                </w:tcPr>
                <w:p w14:paraId="4BA1DB6C">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钻井液</w:t>
                  </w:r>
                </w:p>
                <w:p w14:paraId="1B6B9A1A">
                  <w:pPr>
                    <w:pStyle w:val="22"/>
                    <w:widowControl/>
                    <w:kinsoku/>
                    <w:spacing w:line="240" w:lineRule="atLeast"/>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不落地</w:t>
                  </w:r>
                  <w:r>
                    <w:rPr>
                      <w:rFonts w:hint="default" w:ascii="Times New Roman" w:hAnsi="Times New Roman" w:eastAsia="宋体" w:cs="Times New Roman"/>
                      <w:color w:val="000000" w:themeColor="text1"/>
                      <w:spacing w:val="3"/>
                      <w:sz w:val="21"/>
                      <w:szCs w:val="21"/>
                      <w:lang w:eastAsia="zh-CN"/>
                      <w14:textFill>
                        <w14:solidFill>
                          <w14:schemeClr w14:val="tx1"/>
                        </w14:solidFill>
                      </w14:textFill>
                    </w:rPr>
                    <w:t>设备</w:t>
                  </w:r>
                </w:p>
              </w:tc>
              <w:tc>
                <w:tcPr>
                  <w:tcW w:w="971" w:type="dxa"/>
                  <w:vAlign w:val="center"/>
                </w:tcPr>
                <w:p w14:paraId="0A039617">
                  <w:pPr>
                    <w:widowControl/>
                    <w:kinsoku/>
                    <w:spacing w:line="240" w:lineRule="atLeast"/>
                    <w:jc w:val="center"/>
                    <w:rPr>
                      <w:rFonts w:hint="default" w:ascii="Times New Roman" w:hAnsi="Times New Roman" w:eastAsia="宋体" w:cs="Times New Roman"/>
                      <w:color w:val="000000" w:themeColor="text1"/>
                      <w:spacing w:val="4"/>
                      <w:position w:val="-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1482" w:type="dxa"/>
                  <w:vAlign w:val="center"/>
                </w:tcPr>
                <w:p w14:paraId="46A19E23">
                  <w:pPr>
                    <w:widowControl/>
                    <w:kinsoku/>
                    <w:spacing w:line="240" w:lineRule="atLeast"/>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1014" w:type="dxa"/>
                  <w:vAlign w:val="center"/>
                </w:tcPr>
                <w:p w14:paraId="413C7DE1">
                  <w:pPr>
                    <w:widowControl/>
                    <w:kinsoku/>
                    <w:spacing w:line="240" w:lineRule="atLeast"/>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48B6006C">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6" w:type="dxa"/>
                  <w:vAlign w:val="center"/>
                </w:tcPr>
                <w:p w14:paraId="093B075B">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套</w:t>
                  </w:r>
                </w:p>
              </w:tc>
              <w:tc>
                <w:tcPr>
                  <w:tcW w:w="936" w:type="dxa"/>
                  <w:vAlign w:val="center"/>
                </w:tcPr>
                <w:p w14:paraId="3895D28D">
                  <w:pPr>
                    <w:widowControl/>
                    <w:kinsoku/>
                    <w:spacing w:line="240" w:lineRule="atLeast"/>
                    <w:jc w:val="center"/>
                    <w:rPr>
                      <w:rFonts w:hint="default" w:ascii="Times New Roman" w:hAnsi="Times New Roman" w:eastAsia="宋体" w:cs="Times New Roman"/>
                      <w:color w:val="000000" w:themeColor="text1"/>
                      <w:spacing w:val="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0F6C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36390C4F">
                  <w:pPr>
                    <w:widowControl/>
                    <w:kinsoku/>
                    <w:spacing w:line="240" w:lineRule="atLeast"/>
                    <w:jc w:val="center"/>
                    <w:rPr>
                      <w:rFonts w:hint="default" w:ascii="Times New Roman" w:hAnsi="Times New Roman" w:eastAsia="宋体" w:cs="Times New Roman"/>
                      <w:color w:val="000000" w:themeColor="text1"/>
                      <w:spacing w:val="-8"/>
                      <w:lang w:eastAsia="zh-CN"/>
                      <w14:textFill>
                        <w14:solidFill>
                          <w14:schemeClr w14:val="tx1"/>
                        </w14:solidFill>
                      </w14:textFill>
                    </w:rPr>
                  </w:pPr>
                  <w:r>
                    <w:rPr>
                      <w:rFonts w:hint="default" w:ascii="Times New Roman" w:hAnsi="Times New Roman" w:eastAsia="宋体" w:cs="Times New Roman"/>
                      <w:color w:val="000000" w:themeColor="text1"/>
                      <w:spacing w:val="-8"/>
                      <w:lang w:eastAsia="zh-CN"/>
                      <w14:textFill>
                        <w14:solidFill>
                          <w14:schemeClr w14:val="tx1"/>
                        </w14:solidFill>
                      </w14:textFill>
                    </w:rPr>
                    <w:t>17</w:t>
                  </w:r>
                </w:p>
              </w:tc>
              <w:tc>
                <w:tcPr>
                  <w:tcW w:w="937" w:type="dxa"/>
                  <w:vAlign w:val="center"/>
                </w:tcPr>
                <w:p w14:paraId="459A02B9">
                  <w:pPr>
                    <w:pStyle w:val="22"/>
                    <w:widowControl/>
                    <w:kinsoku/>
                    <w:spacing w:line="240" w:lineRule="atLeast"/>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柴油罐</w:t>
                  </w:r>
                </w:p>
              </w:tc>
              <w:tc>
                <w:tcPr>
                  <w:tcW w:w="971" w:type="dxa"/>
                  <w:vAlign w:val="center"/>
                </w:tcPr>
                <w:p w14:paraId="40674CBF">
                  <w:pPr>
                    <w:widowControl/>
                    <w:kinsoku/>
                    <w:spacing w:line="240" w:lineRule="atLeast"/>
                    <w:jc w:val="center"/>
                    <w:rPr>
                      <w:rFonts w:hint="default" w:ascii="Times New Roman" w:hAnsi="Times New Roman" w:eastAsia="宋体" w:cs="Times New Roman"/>
                      <w:color w:val="000000" w:themeColor="text1"/>
                      <w:spacing w:val="4"/>
                      <w:position w:val="-1"/>
                      <w:lang w:eastAsia="zh-CN"/>
                      <w14:textFill>
                        <w14:solidFill>
                          <w14:schemeClr w14:val="tx1"/>
                        </w14:solidFill>
                      </w14:textFill>
                    </w:rPr>
                  </w:pPr>
                  <w:r>
                    <w:rPr>
                      <w:rFonts w:hint="default" w:ascii="Times New Roman" w:hAnsi="Times New Roman" w:eastAsia="宋体" w:cs="Times New Roman"/>
                      <w:color w:val="000000" w:themeColor="text1"/>
                      <w:spacing w:val="3"/>
                      <w:position w:val="-1"/>
                      <w:lang w:eastAsia="zh-CN"/>
                      <w14:textFill>
                        <w14:solidFill>
                          <w14:schemeClr w14:val="tx1"/>
                        </w14:solidFill>
                      </w14:textFill>
                    </w:rPr>
                    <w:t>20</w:t>
                  </w:r>
                  <w:r>
                    <w:rPr>
                      <w:rFonts w:hint="default" w:ascii="Times New Roman" w:hAnsi="Times New Roman" w:eastAsia="宋体" w:cs="Times New Roman"/>
                      <w:color w:val="000000" w:themeColor="text1"/>
                      <w:spacing w:val="4"/>
                      <w:position w:val="-1"/>
                      <w:lang w:eastAsia="zh-CN"/>
                      <w14:textFill>
                        <w14:solidFill>
                          <w14:schemeClr w14:val="tx1"/>
                        </w14:solidFill>
                      </w14:textFill>
                    </w:rPr>
                    <w:t>m</w:t>
                  </w:r>
                  <w:r>
                    <w:rPr>
                      <w:rFonts w:hint="default" w:ascii="Times New Roman" w:hAnsi="Times New Roman" w:eastAsia="宋体" w:cs="Times New Roman"/>
                      <w:color w:val="000000" w:themeColor="text1"/>
                      <w:spacing w:val="4"/>
                      <w:position w:val="-1"/>
                      <w:vertAlign w:val="superscript"/>
                      <w:lang w:eastAsia="zh-CN"/>
                      <w14:textFill>
                        <w14:solidFill>
                          <w14:schemeClr w14:val="tx1"/>
                        </w14:solidFill>
                      </w14:textFill>
                    </w:rPr>
                    <w:t>3</w:t>
                  </w:r>
                </w:p>
              </w:tc>
              <w:tc>
                <w:tcPr>
                  <w:tcW w:w="1482" w:type="dxa"/>
                  <w:vAlign w:val="center"/>
                </w:tcPr>
                <w:p w14:paraId="55F8178C">
                  <w:pPr>
                    <w:widowControl/>
                    <w:kinsoku/>
                    <w:spacing w:line="240" w:lineRule="atLeast"/>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1014" w:type="dxa"/>
                  <w:vAlign w:val="center"/>
                </w:tcPr>
                <w:p w14:paraId="29AC3FBC">
                  <w:pPr>
                    <w:widowControl/>
                    <w:kinsoku/>
                    <w:spacing w:line="240" w:lineRule="atLeast"/>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965" w:type="dxa"/>
                  <w:vAlign w:val="center"/>
                </w:tcPr>
                <w:p w14:paraId="5015DC06">
                  <w:pPr>
                    <w:widowControl/>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36" w:type="dxa"/>
                  <w:vAlign w:val="center"/>
                </w:tcPr>
                <w:p w14:paraId="71A6AC04">
                  <w:pPr>
                    <w:pStyle w:val="22"/>
                    <w:widowControl/>
                    <w:kinsoku/>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个</w:t>
                  </w:r>
                </w:p>
              </w:tc>
              <w:tc>
                <w:tcPr>
                  <w:tcW w:w="936" w:type="dxa"/>
                  <w:vAlign w:val="center"/>
                </w:tcPr>
                <w:p w14:paraId="22220D7E">
                  <w:pPr>
                    <w:widowControl/>
                    <w:kinsoku/>
                    <w:spacing w:line="240" w:lineRule="atLeast"/>
                    <w:jc w:val="center"/>
                    <w:rPr>
                      <w:rFonts w:hint="default" w:ascii="Times New Roman" w:hAnsi="Times New Roman" w:eastAsia="宋体" w:cs="Times New Roman"/>
                      <w:color w:val="000000" w:themeColor="text1"/>
                      <w:spacing w:val="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534C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60E8F324">
                  <w:pPr>
                    <w:widowControl w:val="0"/>
                    <w:kinsoku/>
                    <w:spacing w:line="240" w:lineRule="atLeast"/>
                    <w:jc w:val="center"/>
                    <w:rPr>
                      <w:rFonts w:hint="default" w:ascii="Times New Roman" w:hAnsi="Times New Roman" w:eastAsia="宋体" w:cs="Times New Roman"/>
                      <w:color w:val="000000" w:themeColor="text1"/>
                      <w:spacing w:val="-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18</w:t>
                  </w:r>
                </w:p>
              </w:tc>
              <w:tc>
                <w:tcPr>
                  <w:tcW w:w="937" w:type="dxa"/>
                  <w:vAlign w:val="center"/>
                </w:tcPr>
                <w:p w14:paraId="63C4A8AF">
                  <w:pPr>
                    <w:pStyle w:val="22"/>
                    <w:widowControl w:val="0"/>
                    <w:kinsoku/>
                    <w:spacing w:line="240" w:lineRule="atLeast"/>
                    <w:jc w:val="cente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生物质锅炉（</w:t>
                  </w: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备</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p>
              </w:tc>
              <w:tc>
                <w:tcPr>
                  <w:tcW w:w="971" w:type="dxa"/>
                  <w:vAlign w:val="center"/>
                </w:tcPr>
                <w:p w14:paraId="0A881E0A">
                  <w:pPr>
                    <w:widowControl w:val="0"/>
                    <w:kinsoku/>
                    <w:spacing w:line="240" w:lineRule="atLeast"/>
                    <w:jc w:val="center"/>
                    <w:rPr>
                      <w:rFonts w:hint="default" w:ascii="Times New Roman" w:hAnsi="Times New Roman" w:eastAsia="宋体" w:cs="Times New Roman"/>
                      <w:color w:val="000000" w:themeColor="text1"/>
                      <w:spacing w:val="3"/>
                      <w:position w:val="-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position w:val="-1"/>
                      <w:highlight w:val="none"/>
                      <w:lang w:eastAsia="zh-CN"/>
                      <w14:textFill>
                        <w14:solidFill>
                          <w14:schemeClr w14:val="tx1"/>
                        </w14:solidFill>
                      </w14:textFill>
                    </w:rPr>
                    <w:t>/</w:t>
                  </w:r>
                </w:p>
              </w:tc>
              <w:tc>
                <w:tcPr>
                  <w:tcW w:w="1482" w:type="dxa"/>
                  <w:vAlign w:val="center"/>
                </w:tcPr>
                <w:p w14:paraId="22F51EA8">
                  <w:pPr>
                    <w:widowControl w:val="0"/>
                    <w:kinsoku/>
                    <w:spacing w:line="240" w:lineRule="atLeast"/>
                    <w:jc w:val="center"/>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DZS2.5-0.8-SCⅡ</w:t>
                  </w:r>
                </w:p>
              </w:tc>
              <w:tc>
                <w:tcPr>
                  <w:tcW w:w="1014" w:type="dxa"/>
                  <w:vAlign w:val="center"/>
                </w:tcPr>
                <w:p w14:paraId="30A5CF46">
                  <w:pPr>
                    <w:widowControl w:val="0"/>
                    <w:kinsoku/>
                    <w:spacing w:line="240" w:lineRule="atLeast"/>
                    <w:jc w:val="center"/>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640D8BC4">
                  <w:pPr>
                    <w:widowControl w:val="0"/>
                    <w:kinsoku/>
                    <w:spacing w:line="240" w:lineRule="atLeast"/>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936" w:type="dxa"/>
                  <w:vAlign w:val="center"/>
                </w:tcPr>
                <w:p w14:paraId="76B7C826">
                  <w:pPr>
                    <w:pStyle w:val="22"/>
                    <w:widowControl w:val="0"/>
                    <w:kinsoku/>
                    <w:spacing w:line="24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038653DE">
                  <w:pPr>
                    <w:widowControl w:val="0"/>
                    <w:kinsoku/>
                    <w:spacing w:line="240" w:lineRule="atLeast"/>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bl>
          <w:p w14:paraId="48F73F70">
            <w:pPr>
              <w:pStyle w:val="6"/>
              <w:widowControl w:val="0"/>
              <w:kinsoku/>
              <w:jc w:val="both"/>
              <w:rPr>
                <w:rFonts w:hint="default" w:ascii="Times New Roman" w:hAnsi="Times New Roman" w:eastAsia="宋体" w:cs="Times New Roman"/>
                <w:color w:val="000000" w:themeColor="text1"/>
                <w:lang w:eastAsia="zh-CN"/>
                <w14:textFill>
                  <w14:solidFill>
                    <w14:schemeClr w14:val="tx1"/>
                  </w14:solidFill>
                </w14:textFill>
              </w:rPr>
            </w:pPr>
          </w:p>
          <w:p w14:paraId="5049958F">
            <w:pPr>
              <w:widowControl w:val="0"/>
              <w:kinsoku/>
              <w:spacing w:line="500" w:lineRule="exact"/>
              <w:jc w:val="center"/>
              <w:rPr>
                <w:rFonts w:hint="default" w:ascii="Times New Roman" w:hAnsi="Times New Roman" w:eastAsia="宋体" w:cs="Times New Roman"/>
                <w:b/>
                <w:bCs/>
                <w:color w:val="000000" w:themeColor="text1"/>
                <w:spacing w:val="5"/>
                <w:kern w:val="2"/>
                <w:lang w:eastAsia="zh-CN"/>
                <w14:textFill>
                  <w14:solidFill>
                    <w14:schemeClr w14:val="tx1"/>
                  </w14:solidFill>
                </w14:textFill>
              </w:rPr>
            </w:pPr>
            <w:r>
              <w:rPr>
                <w:rFonts w:hint="default" w:ascii="Times New Roman" w:hAnsi="Times New Roman" w:eastAsia="宋体" w:cs="Times New Roman"/>
                <w:b/>
                <w:bCs/>
                <w:color w:val="000000" w:themeColor="text1"/>
                <w:spacing w:val="5"/>
                <w:kern w:val="2"/>
                <w:lang w:eastAsia="zh-CN"/>
                <w14:textFill>
                  <w14:solidFill>
                    <w14:schemeClr w14:val="tx1"/>
                  </w14:solidFill>
                </w14:textFill>
              </w:rPr>
              <w:t>表2-8 单个试油工程主要设备</w:t>
            </w:r>
          </w:p>
          <w:tbl>
            <w:tblPr>
              <w:tblStyle w:val="21"/>
              <w:tblW w:w="81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67"/>
              <w:gridCol w:w="1385"/>
              <w:gridCol w:w="2027"/>
              <w:gridCol w:w="1013"/>
              <w:gridCol w:w="1318"/>
              <w:gridCol w:w="1767"/>
            </w:tblGrid>
            <w:tr w14:paraId="300D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31FB820A">
                  <w:pPr>
                    <w:kinsoku/>
                    <w:jc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序号</w:t>
                  </w:r>
                </w:p>
              </w:tc>
              <w:tc>
                <w:tcPr>
                  <w:tcW w:w="1385" w:type="dxa"/>
                  <w:vAlign w:val="center"/>
                </w:tcPr>
                <w:p w14:paraId="18B89379">
                  <w:pPr>
                    <w:kinsoku/>
                    <w:jc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设备名称</w:t>
                  </w:r>
                </w:p>
              </w:tc>
              <w:tc>
                <w:tcPr>
                  <w:tcW w:w="2027" w:type="dxa"/>
                  <w:vAlign w:val="center"/>
                </w:tcPr>
                <w:p w14:paraId="7BFE5AA0">
                  <w:pPr>
                    <w:kinsoku/>
                    <w:jc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型号及规格</w:t>
                  </w:r>
                </w:p>
              </w:tc>
              <w:tc>
                <w:tcPr>
                  <w:tcW w:w="1013" w:type="dxa"/>
                  <w:vAlign w:val="center"/>
                </w:tcPr>
                <w:p w14:paraId="67E7ABE0">
                  <w:pPr>
                    <w:kinsoku/>
                    <w:jc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单位</w:t>
                  </w:r>
                </w:p>
              </w:tc>
              <w:tc>
                <w:tcPr>
                  <w:tcW w:w="1318" w:type="dxa"/>
                  <w:vAlign w:val="center"/>
                </w:tcPr>
                <w:p w14:paraId="3DB9A50A">
                  <w:pPr>
                    <w:kinsoku/>
                    <w:jc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数量</w:t>
                  </w:r>
                </w:p>
              </w:tc>
              <w:tc>
                <w:tcPr>
                  <w:tcW w:w="1767" w:type="dxa"/>
                  <w:tcBorders>
                    <w:right w:val="single" w:color="000000" w:sz="4" w:space="0"/>
                  </w:tcBorders>
                  <w:vAlign w:val="center"/>
                </w:tcPr>
                <w:p w14:paraId="15FD435B">
                  <w:pPr>
                    <w:kinsoku/>
                    <w:jc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备注</w:t>
                  </w:r>
                </w:p>
              </w:tc>
            </w:tr>
            <w:tr w14:paraId="680AD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1AD50F44">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385" w:type="dxa"/>
                  <w:vAlign w:val="center"/>
                </w:tcPr>
                <w:p w14:paraId="7AB774B3">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试油作业机</w:t>
                  </w:r>
                </w:p>
              </w:tc>
              <w:tc>
                <w:tcPr>
                  <w:tcW w:w="2027" w:type="dxa"/>
                  <w:vAlign w:val="center"/>
                </w:tcPr>
                <w:p w14:paraId="6B04DE6D">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XJ550</w:t>
                  </w:r>
                </w:p>
              </w:tc>
              <w:tc>
                <w:tcPr>
                  <w:tcW w:w="1013" w:type="dxa"/>
                  <w:vAlign w:val="center"/>
                </w:tcPr>
                <w:p w14:paraId="34D5EEEA">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部</w:t>
                  </w:r>
                </w:p>
              </w:tc>
              <w:tc>
                <w:tcPr>
                  <w:tcW w:w="1318" w:type="dxa"/>
                  <w:vAlign w:val="center"/>
                </w:tcPr>
                <w:p w14:paraId="0E3B4F78">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14645483">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7E528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02B1F8CD">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2</w:t>
                  </w:r>
                </w:p>
              </w:tc>
              <w:tc>
                <w:tcPr>
                  <w:tcW w:w="1385" w:type="dxa"/>
                  <w:vAlign w:val="center"/>
                </w:tcPr>
                <w:p w14:paraId="00A28141">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试油井架</w:t>
                  </w:r>
                </w:p>
              </w:tc>
              <w:tc>
                <w:tcPr>
                  <w:tcW w:w="2027" w:type="dxa"/>
                  <w:vAlign w:val="center"/>
                </w:tcPr>
                <w:p w14:paraId="7545579B">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1013" w:type="dxa"/>
                  <w:vAlign w:val="center"/>
                </w:tcPr>
                <w:p w14:paraId="003EC09B">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部</w:t>
                  </w:r>
                </w:p>
              </w:tc>
              <w:tc>
                <w:tcPr>
                  <w:tcW w:w="1318" w:type="dxa"/>
                  <w:vAlign w:val="center"/>
                </w:tcPr>
                <w:p w14:paraId="026F9EF4">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0F31A34D">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40C93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67" w:type="dxa"/>
                  <w:vAlign w:val="center"/>
                </w:tcPr>
                <w:p w14:paraId="3FED1492">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3</w:t>
                  </w:r>
                </w:p>
              </w:tc>
              <w:tc>
                <w:tcPr>
                  <w:tcW w:w="1385" w:type="dxa"/>
                  <w:vAlign w:val="center"/>
                </w:tcPr>
                <w:p w14:paraId="053AFD3C">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液压钳</w:t>
                  </w:r>
                </w:p>
              </w:tc>
              <w:tc>
                <w:tcPr>
                  <w:tcW w:w="2027" w:type="dxa"/>
                  <w:vAlign w:val="center"/>
                </w:tcPr>
                <w:p w14:paraId="43119241">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600型或300型</w:t>
                  </w:r>
                </w:p>
              </w:tc>
              <w:tc>
                <w:tcPr>
                  <w:tcW w:w="1013" w:type="dxa"/>
                  <w:vAlign w:val="center"/>
                </w:tcPr>
                <w:p w14:paraId="1424AEF1">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台</w:t>
                  </w:r>
                </w:p>
              </w:tc>
              <w:tc>
                <w:tcPr>
                  <w:tcW w:w="1318" w:type="dxa"/>
                  <w:vAlign w:val="center"/>
                </w:tcPr>
                <w:p w14:paraId="5E581988">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74D8694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足够长的配套</w:t>
                  </w:r>
                </w:p>
                <w:p w14:paraId="2D4B675D">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管线</w:t>
                  </w:r>
                </w:p>
              </w:tc>
            </w:tr>
            <w:tr w14:paraId="11A0E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0295A88F">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4</w:t>
                  </w:r>
                </w:p>
              </w:tc>
              <w:tc>
                <w:tcPr>
                  <w:tcW w:w="1385" w:type="dxa"/>
                  <w:vAlign w:val="center"/>
                </w:tcPr>
                <w:p w14:paraId="42702860">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方罐</w:t>
                  </w:r>
                </w:p>
              </w:tc>
              <w:tc>
                <w:tcPr>
                  <w:tcW w:w="2027" w:type="dxa"/>
                  <w:vAlign w:val="center"/>
                </w:tcPr>
                <w:p w14:paraId="63C9CE15">
                  <w:pPr>
                    <w:kinsoku/>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40m</w:t>
                  </w:r>
                  <w:r>
                    <w:rPr>
                      <w:rFonts w:hint="default" w:ascii="Times New Roman" w:hAnsi="Times New Roman" w:eastAsia="宋体" w:cs="Times New Roman"/>
                      <w:color w:val="000000" w:themeColor="text1"/>
                      <w:highlight w:val="none"/>
                      <w:vertAlign w:val="superscript"/>
                      <w:lang w:eastAsia="zh-CN" w:bidi="ar"/>
                      <w14:textFill>
                        <w14:solidFill>
                          <w14:schemeClr w14:val="tx1"/>
                        </w14:solidFill>
                      </w14:textFill>
                    </w:rPr>
                    <w:t>3</w:t>
                  </w:r>
                </w:p>
              </w:tc>
              <w:tc>
                <w:tcPr>
                  <w:tcW w:w="1013" w:type="dxa"/>
                  <w:vAlign w:val="center"/>
                </w:tcPr>
                <w:p w14:paraId="4FF3D8FD">
                  <w:pPr>
                    <w:kinsoku/>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个</w:t>
                  </w:r>
                </w:p>
              </w:tc>
              <w:tc>
                <w:tcPr>
                  <w:tcW w:w="1318" w:type="dxa"/>
                  <w:vAlign w:val="center"/>
                </w:tcPr>
                <w:p w14:paraId="58D84830">
                  <w:pPr>
                    <w:kinsoku/>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4</w:t>
                  </w:r>
                </w:p>
              </w:tc>
              <w:tc>
                <w:tcPr>
                  <w:tcW w:w="1767" w:type="dxa"/>
                  <w:tcBorders>
                    <w:right w:val="single" w:color="000000" w:sz="4" w:space="0"/>
                  </w:tcBorders>
                  <w:vAlign w:val="center"/>
                </w:tcPr>
                <w:p w14:paraId="7C5630F3">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5008D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63D0681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5</w:t>
                  </w:r>
                </w:p>
              </w:tc>
              <w:tc>
                <w:tcPr>
                  <w:tcW w:w="1385" w:type="dxa"/>
                  <w:vAlign w:val="center"/>
                </w:tcPr>
                <w:p w14:paraId="4D35DD92">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吊卡</w:t>
                  </w:r>
                </w:p>
              </w:tc>
              <w:tc>
                <w:tcPr>
                  <w:tcW w:w="2027" w:type="dxa"/>
                  <w:vAlign w:val="center"/>
                </w:tcPr>
                <w:p w14:paraId="2682121E">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Φ73.0mm/Φ88.9mm</w:t>
                  </w:r>
                </w:p>
              </w:tc>
              <w:tc>
                <w:tcPr>
                  <w:tcW w:w="1013" w:type="dxa"/>
                  <w:vAlign w:val="center"/>
                </w:tcPr>
                <w:p w14:paraId="66FDC7D6">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只</w:t>
                  </w:r>
                </w:p>
              </w:tc>
              <w:tc>
                <w:tcPr>
                  <w:tcW w:w="1318" w:type="dxa"/>
                  <w:vAlign w:val="center"/>
                </w:tcPr>
                <w:p w14:paraId="30E84CC3">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2/2</w:t>
                  </w:r>
                </w:p>
              </w:tc>
              <w:tc>
                <w:tcPr>
                  <w:tcW w:w="1767" w:type="dxa"/>
                  <w:tcBorders>
                    <w:right w:val="single" w:color="000000" w:sz="4" w:space="0"/>
                  </w:tcBorders>
                  <w:vAlign w:val="center"/>
                </w:tcPr>
                <w:p w14:paraId="5AD59D8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50t</w:t>
                  </w:r>
                </w:p>
              </w:tc>
            </w:tr>
            <w:tr w14:paraId="61D5B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7E667087">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6</w:t>
                  </w:r>
                </w:p>
              </w:tc>
              <w:tc>
                <w:tcPr>
                  <w:tcW w:w="1385" w:type="dxa"/>
                  <w:vAlign w:val="center"/>
                </w:tcPr>
                <w:p w14:paraId="3AF7D691">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吊环</w:t>
                  </w:r>
                </w:p>
              </w:tc>
              <w:tc>
                <w:tcPr>
                  <w:tcW w:w="2027" w:type="dxa"/>
                  <w:vAlign w:val="center"/>
                </w:tcPr>
                <w:p w14:paraId="50EF4554">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SH-80</w:t>
                  </w:r>
                </w:p>
              </w:tc>
              <w:tc>
                <w:tcPr>
                  <w:tcW w:w="1013" w:type="dxa"/>
                  <w:vAlign w:val="center"/>
                </w:tcPr>
                <w:p w14:paraId="06437A64">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副</w:t>
                  </w:r>
                </w:p>
              </w:tc>
              <w:tc>
                <w:tcPr>
                  <w:tcW w:w="1318" w:type="dxa"/>
                  <w:vAlign w:val="center"/>
                </w:tcPr>
                <w:p w14:paraId="65BAFDC1">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51A5D47E">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1F7D6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5EEE49AC">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7</w:t>
                  </w:r>
                </w:p>
              </w:tc>
              <w:tc>
                <w:tcPr>
                  <w:tcW w:w="1385" w:type="dxa"/>
                  <w:vAlign w:val="center"/>
                </w:tcPr>
                <w:p w14:paraId="768D3BF3">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通管规</w:t>
                  </w:r>
                </w:p>
              </w:tc>
              <w:tc>
                <w:tcPr>
                  <w:tcW w:w="2027" w:type="dxa"/>
                  <w:vAlign w:val="center"/>
                </w:tcPr>
                <w:p w14:paraId="2341CBC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Φ730mm/580mm</w:t>
                  </w:r>
                </w:p>
              </w:tc>
              <w:tc>
                <w:tcPr>
                  <w:tcW w:w="1013" w:type="dxa"/>
                  <w:vAlign w:val="center"/>
                </w:tcPr>
                <w:p w14:paraId="2E330D06">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个</w:t>
                  </w:r>
                </w:p>
              </w:tc>
              <w:tc>
                <w:tcPr>
                  <w:tcW w:w="1318" w:type="dxa"/>
                  <w:vAlign w:val="center"/>
                </w:tcPr>
                <w:p w14:paraId="77876B74">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各2</w:t>
                  </w:r>
                </w:p>
              </w:tc>
              <w:tc>
                <w:tcPr>
                  <w:tcW w:w="1767" w:type="dxa"/>
                  <w:tcBorders>
                    <w:right w:val="single" w:color="000000" w:sz="4" w:space="0"/>
                  </w:tcBorders>
                  <w:vAlign w:val="center"/>
                </w:tcPr>
                <w:p w14:paraId="21323DE6">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7FBE7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288BABDF">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8</w:t>
                  </w:r>
                </w:p>
              </w:tc>
              <w:tc>
                <w:tcPr>
                  <w:tcW w:w="1385" w:type="dxa"/>
                  <w:vAlign w:val="center"/>
                </w:tcPr>
                <w:p w14:paraId="114D42E3">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提升短节</w:t>
                  </w:r>
                </w:p>
              </w:tc>
              <w:tc>
                <w:tcPr>
                  <w:tcW w:w="2027" w:type="dxa"/>
                  <w:vAlign w:val="center"/>
                </w:tcPr>
                <w:p w14:paraId="5C0BACC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Φ88.9mm</w:t>
                  </w:r>
                </w:p>
              </w:tc>
              <w:tc>
                <w:tcPr>
                  <w:tcW w:w="1013" w:type="dxa"/>
                  <w:vAlign w:val="center"/>
                </w:tcPr>
                <w:p w14:paraId="46EFE52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套</w:t>
                  </w:r>
                </w:p>
              </w:tc>
              <w:tc>
                <w:tcPr>
                  <w:tcW w:w="1318" w:type="dxa"/>
                  <w:vAlign w:val="center"/>
                </w:tcPr>
                <w:p w14:paraId="7C36A5A3">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577D5F51">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4AE05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jc w:val="center"/>
              </w:trPr>
              <w:tc>
                <w:tcPr>
                  <w:tcW w:w="667" w:type="dxa"/>
                  <w:vAlign w:val="center"/>
                </w:tcPr>
                <w:p w14:paraId="4A1D8472">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9</w:t>
                  </w:r>
                </w:p>
              </w:tc>
              <w:tc>
                <w:tcPr>
                  <w:tcW w:w="1385" w:type="dxa"/>
                  <w:vAlign w:val="center"/>
                </w:tcPr>
                <w:p w14:paraId="696ED829">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调整短节</w:t>
                  </w:r>
                </w:p>
              </w:tc>
              <w:tc>
                <w:tcPr>
                  <w:tcW w:w="2027" w:type="dxa"/>
                  <w:vAlign w:val="center"/>
                </w:tcPr>
                <w:p w14:paraId="5C67996D">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Φ73.0mm</w:t>
                  </w:r>
                </w:p>
              </w:tc>
              <w:tc>
                <w:tcPr>
                  <w:tcW w:w="1013" w:type="dxa"/>
                  <w:vAlign w:val="center"/>
                </w:tcPr>
                <w:p w14:paraId="0D75C018">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m</w:t>
                  </w:r>
                </w:p>
              </w:tc>
              <w:tc>
                <w:tcPr>
                  <w:tcW w:w="1318" w:type="dxa"/>
                  <w:vAlign w:val="center"/>
                </w:tcPr>
                <w:p w14:paraId="795715DB">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1CEE7B28">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(0.3m、0.5m、</w:t>
                  </w:r>
                </w:p>
                <w:p w14:paraId="03F7661B">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1.0m、1.5m、</w:t>
                  </w:r>
                </w:p>
                <w:p w14:paraId="4514D29B">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2.0m)</w:t>
                  </w:r>
                </w:p>
              </w:tc>
            </w:tr>
            <w:tr w14:paraId="6B12D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1AB6FE6E">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10</w:t>
                  </w:r>
                </w:p>
              </w:tc>
              <w:tc>
                <w:tcPr>
                  <w:tcW w:w="1385" w:type="dxa"/>
                  <w:vAlign w:val="center"/>
                </w:tcPr>
                <w:p w14:paraId="794B846B">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值班房</w:t>
                  </w:r>
                </w:p>
              </w:tc>
              <w:tc>
                <w:tcPr>
                  <w:tcW w:w="2027" w:type="dxa"/>
                  <w:vAlign w:val="center"/>
                </w:tcPr>
                <w:p w14:paraId="6124017E">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1013" w:type="dxa"/>
                  <w:vAlign w:val="center"/>
                </w:tcPr>
                <w:p w14:paraId="3D5A2C18">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套</w:t>
                  </w:r>
                </w:p>
              </w:tc>
              <w:tc>
                <w:tcPr>
                  <w:tcW w:w="1318" w:type="dxa"/>
                  <w:vAlign w:val="center"/>
                </w:tcPr>
                <w:p w14:paraId="475A6F1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736454B7">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0351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4C444DD0">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11</w:t>
                  </w:r>
                </w:p>
              </w:tc>
              <w:tc>
                <w:tcPr>
                  <w:tcW w:w="1385" w:type="dxa"/>
                  <w:vAlign w:val="center"/>
                </w:tcPr>
                <w:p w14:paraId="7369FE19">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发电房</w:t>
                  </w:r>
                </w:p>
              </w:tc>
              <w:tc>
                <w:tcPr>
                  <w:tcW w:w="2027" w:type="dxa"/>
                  <w:vAlign w:val="center"/>
                </w:tcPr>
                <w:p w14:paraId="4446079B">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1013" w:type="dxa"/>
                  <w:vAlign w:val="center"/>
                </w:tcPr>
                <w:p w14:paraId="4D9EAF5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套</w:t>
                  </w:r>
                </w:p>
              </w:tc>
              <w:tc>
                <w:tcPr>
                  <w:tcW w:w="1318" w:type="dxa"/>
                  <w:vAlign w:val="center"/>
                </w:tcPr>
                <w:p w14:paraId="5BB92A8A">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69A1E817">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7929D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70523E6C">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12</w:t>
                  </w:r>
                </w:p>
              </w:tc>
              <w:tc>
                <w:tcPr>
                  <w:tcW w:w="1385" w:type="dxa"/>
                  <w:vAlign w:val="center"/>
                </w:tcPr>
                <w:p w14:paraId="1E31A6FB">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柴油发电机</w:t>
                  </w:r>
                </w:p>
              </w:tc>
              <w:tc>
                <w:tcPr>
                  <w:tcW w:w="2027" w:type="dxa"/>
                  <w:vAlign w:val="center"/>
                </w:tcPr>
                <w:p w14:paraId="71DFAB6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1013" w:type="dxa"/>
                  <w:vAlign w:val="center"/>
                </w:tcPr>
                <w:p w14:paraId="2CBF351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台</w:t>
                  </w:r>
                </w:p>
              </w:tc>
              <w:tc>
                <w:tcPr>
                  <w:tcW w:w="1318" w:type="dxa"/>
                  <w:vAlign w:val="center"/>
                </w:tcPr>
                <w:p w14:paraId="3E6435FA">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2</w:t>
                  </w:r>
                </w:p>
              </w:tc>
              <w:tc>
                <w:tcPr>
                  <w:tcW w:w="1767" w:type="dxa"/>
                  <w:tcBorders>
                    <w:right w:val="single" w:color="000000" w:sz="4" w:space="0"/>
                  </w:tcBorders>
                  <w:vAlign w:val="center"/>
                </w:tcPr>
                <w:p w14:paraId="25779F60">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一用一备</w:t>
                  </w:r>
                </w:p>
              </w:tc>
            </w:tr>
            <w:tr w14:paraId="5493A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667" w:type="dxa"/>
                  <w:vAlign w:val="center"/>
                </w:tcPr>
                <w:p w14:paraId="55AC618E">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13</w:t>
                  </w:r>
                </w:p>
              </w:tc>
              <w:tc>
                <w:tcPr>
                  <w:tcW w:w="1385" w:type="dxa"/>
                  <w:vAlign w:val="center"/>
                </w:tcPr>
                <w:p w14:paraId="51277102">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泵车</w:t>
                  </w:r>
                </w:p>
              </w:tc>
              <w:tc>
                <w:tcPr>
                  <w:tcW w:w="2027" w:type="dxa"/>
                  <w:vAlign w:val="center"/>
                </w:tcPr>
                <w:p w14:paraId="71272D32">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700型</w:t>
                  </w:r>
                </w:p>
              </w:tc>
              <w:tc>
                <w:tcPr>
                  <w:tcW w:w="1013" w:type="dxa"/>
                  <w:vAlign w:val="center"/>
                </w:tcPr>
                <w:p w14:paraId="06FDBE58">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台</w:t>
                  </w:r>
                </w:p>
              </w:tc>
              <w:tc>
                <w:tcPr>
                  <w:tcW w:w="1318" w:type="dxa"/>
                  <w:vAlign w:val="center"/>
                </w:tcPr>
                <w:p w14:paraId="4F7BEE17">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w:t>
                  </w:r>
                </w:p>
              </w:tc>
              <w:tc>
                <w:tcPr>
                  <w:tcW w:w="1767" w:type="dxa"/>
                  <w:tcBorders>
                    <w:right w:val="single" w:color="000000" w:sz="4" w:space="0"/>
                  </w:tcBorders>
                  <w:vAlign w:val="center"/>
                </w:tcPr>
                <w:p w14:paraId="6069C411">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r w14:paraId="3EDC8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jc w:val="center"/>
              </w:trPr>
              <w:tc>
                <w:tcPr>
                  <w:tcW w:w="667" w:type="dxa"/>
                  <w:vAlign w:val="center"/>
                </w:tcPr>
                <w:p w14:paraId="3F6B4766">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14</w:t>
                  </w:r>
                </w:p>
              </w:tc>
              <w:tc>
                <w:tcPr>
                  <w:tcW w:w="1385" w:type="dxa"/>
                  <w:vAlign w:val="center"/>
                </w:tcPr>
                <w:p w14:paraId="119EEBA6">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原油储罐</w:t>
                  </w:r>
                </w:p>
              </w:tc>
              <w:tc>
                <w:tcPr>
                  <w:tcW w:w="2027" w:type="dxa"/>
                  <w:vAlign w:val="center"/>
                </w:tcPr>
                <w:p w14:paraId="18C2FFBF">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80</w:t>
                  </w:r>
                  <w:r>
                    <w:rPr>
                      <w:rFonts w:hint="default" w:ascii="Times New Roman" w:hAnsi="Times New Roman" w:eastAsia="宋体" w:cs="Times New Roman"/>
                      <w:color w:val="000000" w:themeColor="text1"/>
                      <w:lang w:eastAsia="zh-CN" w:bidi="ar"/>
                      <w14:textFill>
                        <w14:solidFill>
                          <w14:schemeClr w14:val="tx1"/>
                        </w14:solidFill>
                      </w14:textFill>
                    </w:rPr>
                    <w:t>m</w:t>
                  </w:r>
                  <w:r>
                    <w:rPr>
                      <w:rFonts w:hint="default" w:ascii="Times New Roman" w:hAnsi="Times New Roman" w:eastAsia="宋体" w:cs="Times New Roman"/>
                      <w:color w:val="000000" w:themeColor="text1"/>
                      <w:vertAlign w:val="superscript"/>
                      <w:lang w:eastAsia="zh-CN" w:bidi="ar"/>
                      <w14:textFill>
                        <w14:solidFill>
                          <w14:schemeClr w14:val="tx1"/>
                        </w14:solidFill>
                      </w14:textFill>
                    </w:rPr>
                    <w:t>3</w:t>
                  </w:r>
                </w:p>
              </w:tc>
              <w:tc>
                <w:tcPr>
                  <w:tcW w:w="1013" w:type="dxa"/>
                  <w:vAlign w:val="center"/>
                </w:tcPr>
                <w:p w14:paraId="0BD9FDF5">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罐</w:t>
                  </w:r>
                </w:p>
              </w:tc>
              <w:tc>
                <w:tcPr>
                  <w:tcW w:w="1318" w:type="dxa"/>
                  <w:vAlign w:val="center"/>
                </w:tcPr>
                <w:p w14:paraId="44F062FD">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2</w:t>
                  </w:r>
                </w:p>
              </w:tc>
              <w:tc>
                <w:tcPr>
                  <w:tcW w:w="1767" w:type="dxa"/>
                  <w:tcBorders>
                    <w:right w:val="single" w:color="000000" w:sz="4" w:space="0"/>
                  </w:tcBorders>
                  <w:vAlign w:val="center"/>
                </w:tcPr>
                <w:p w14:paraId="55126C96">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r>
          </w:tbl>
          <w:p w14:paraId="2D2CCEFA">
            <w:pPr>
              <w:widowControl w:val="0"/>
              <w:kinsoku/>
              <w:spacing w:line="500" w:lineRule="exact"/>
              <w:jc w:val="center"/>
              <w:rPr>
                <w:rFonts w:hint="default" w:ascii="Times New Roman" w:hAnsi="Times New Roman" w:eastAsia="宋体" w:cs="Times New Roman"/>
                <w:b/>
                <w:bCs/>
                <w:color w:val="000000" w:themeColor="text1"/>
                <w:spacing w:val="5"/>
                <w:kern w:val="2"/>
                <w:lang w:eastAsia="zh-CN"/>
                <w14:textFill>
                  <w14:solidFill>
                    <w14:schemeClr w14:val="tx1"/>
                  </w14:solidFill>
                </w14:textFill>
              </w:rPr>
            </w:pPr>
            <w:r>
              <w:rPr>
                <w:rFonts w:hint="default" w:ascii="Times New Roman" w:hAnsi="Times New Roman" w:eastAsia="宋体" w:cs="Times New Roman"/>
                <w:b/>
                <w:bCs/>
                <w:color w:val="000000" w:themeColor="text1"/>
                <w:spacing w:val="5"/>
                <w:kern w:val="2"/>
                <w:lang w:eastAsia="zh-CN"/>
                <w14:textFill>
                  <w14:solidFill>
                    <w14:schemeClr w14:val="tx1"/>
                  </w14:solidFill>
                </w14:textFill>
              </w:rPr>
              <w:t>表2-9 单个钻井储层改造主要设备</w:t>
            </w:r>
          </w:p>
          <w:tbl>
            <w:tblPr>
              <w:tblStyle w:val="17"/>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2044"/>
              <w:gridCol w:w="2045"/>
              <w:gridCol w:w="2045"/>
            </w:tblGrid>
            <w:tr w14:paraId="2D7F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044" w:type="dxa"/>
                  <w:vAlign w:val="center"/>
                </w:tcPr>
                <w:p w14:paraId="2B0D1880">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阶段</w:t>
                  </w:r>
                </w:p>
              </w:tc>
              <w:tc>
                <w:tcPr>
                  <w:tcW w:w="2044" w:type="dxa"/>
                  <w:vAlign w:val="center"/>
                </w:tcPr>
                <w:p w14:paraId="3071AB83">
                  <w:pPr>
                    <w:widowControl/>
                    <w:kinsoku/>
                    <w:jc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设备名称</w:t>
                  </w:r>
                </w:p>
              </w:tc>
              <w:tc>
                <w:tcPr>
                  <w:tcW w:w="2045" w:type="dxa"/>
                  <w:vAlign w:val="center"/>
                </w:tcPr>
                <w:p w14:paraId="13CD7F3C">
                  <w:pPr>
                    <w:widowControl/>
                    <w:kinsoku/>
                    <w:jc w:val="center"/>
                    <w:rPr>
                      <w:rFonts w:hint="default" w:ascii="Times New Roman" w:hAnsi="Times New Roman" w:eastAsia="宋体" w:cs="Times New Roman"/>
                      <w:b/>
                      <w:bCs/>
                      <w:color w:val="000000" w:themeColor="text1"/>
                      <w:lang w:eastAsia="zh-CN" w:bidi="ar"/>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主要型号</w:t>
                  </w:r>
                </w:p>
              </w:tc>
              <w:tc>
                <w:tcPr>
                  <w:tcW w:w="2045" w:type="dxa"/>
                  <w:vAlign w:val="center"/>
                </w:tcPr>
                <w:p w14:paraId="4D96CE94">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数量（台/座）</w:t>
                  </w:r>
                </w:p>
              </w:tc>
            </w:tr>
            <w:tr w14:paraId="523E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044" w:type="dxa"/>
                  <w:vMerge w:val="restart"/>
                  <w:vAlign w:val="center"/>
                </w:tcPr>
                <w:p w14:paraId="1D4B7626">
                  <w:pPr>
                    <w:widowControl/>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压裂</w:t>
                  </w:r>
                </w:p>
              </w:tc>
              <w:tc>
                <w:tcPr>
                  <w:tcW w:w="2044" w:type="dxa"/>
                  <w:vAlign w:val="center"/>
                </w:tcPr>
                <w:p w14:paraId="7300418E">
                  <w:pPr>
                    <w:widowControl/>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压裂车</w:t>
                  </w:r>
                </w:p>
              </w:tc>
              <w:tc>
                <w:tcPr>
                  <w:tcW w:w="2045" w:type="dxa"/>
                  <w:vAlign w:val="center"/>
                </w:tcPr>
                <w:p w14:paraId="6BDFD5CD">
                  <w:pPr>
                    <w:widowControl/>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2500型</w:t>
                  </w:r>
                </w:p>
              </w:tc>
              <w:tc>
                <w:tcPr>
                  <w:tcW w:w="2045" w:type="dxa"/>
                  <w:vAlign w:val="center"/>
                </w:tcPr>
                <w:p w14:paraId="051A0500">
                  <w:pPr>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16</w:t>
                  </w:r>
                </w:p>
              </w:tc>
            </w:tr>
            <w:tr w14:paraId="2924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044" w:type="dxa"/>
                  <w:vMerge w:val="continue"/>
                  <w:vAlign w:val="center"/>
                </w:tcPr>
                <w:p w14:paraId="417324C1">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044" w:type="dxa"/>
                  <w:vAlign w:val="center"/>
                </w:tcPr>
                <w:p w14:paraId="7955D5E7">
                  <w:pPr>
                    <w:widowControl/>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混砂车</w:t>
                  </w:r>
                </w:p>
              </w:tc>
              <w:tc>
                <w:tcPr>
                  <w:tcW w:w="2045" w:type="dxa"/>
                  <w:vAlign w:val="center"/>
                </w:tcPr>
                <w:p w14:paraId="6CFBFE4B">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2045" w:type="dxa"/>
                  <w:vAlign w:val="center"/>
                </w:tcPr>
                <w:p w14:paraId="1A577B5C">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11D9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044" w:type="dxa"/>
                  <w:vMerge w:val="continue"/>
                  <w:vAlign w:val="center"/>
                </w:tcPr>
                <w:p w14:paraId="6CB1DCD8">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044" w:type="dxa"/>
                  <w:vAlign w:val="center"/>
                </w:tcPr>
                <w:p w14:paraId="7E7238D6">
                  <w:pPr>
                    <w:widowControl/>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仪表车</w:t>
                  </w:r>
                </w:p>
              </w:tc>
              <w:tc>
                <w:tcPr>
                  <w:tcW w:w="2045" w:type="dxa"/>
                  <w:vAlign w:val="center"/>
                </w:tcPr>
                <w:p w14:paraId="7EFB5902">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2045" w:type="dxa"/>
                  <w:vAlign w:val="center"/>
                </w:tcPr>
                <w:p w14:paraId="0B9297E4">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032F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044" w:type="dxa"/>
                  <w:vMerge w:val="continue"/>
                  <w:vAlign w:val="center"/>
                </w:tcPr>
                <w:p w14:paraId="6B3BD943">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044" w:type="dxa"/>
                  <w:vAlign w:val="center"/>
                </w:tcPr>
                <w:p w14:paraId="720AC3F7">
                  <w:pPr>
                    <w:widowControl/>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砂罐车</w:t>
                  </w:r>
                </w:p>
              </w:tc>
              <w:tc>
                <w:tcPr>
                  <w:tcW w:w="2045" w:type="dxa"/>
                  <w:vAlign w:val="center"/>
                </w:tcPr>
                <w:p w14:paraId="220CD8D6">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2045" w:type="dxa"/>
                  <w:vAlign w:val="center"/>
                </w:tcPr>
                <w:p w14:paraId="61E75831">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p>
              </w:tc>
            </w:tr>
            <w:tr w14:paraId="095A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jc w:val="center"/>
              </w:trPr>
              <w:tc>
                <w:tcPr>
                  <w:tcW w:w="2044" w:type="dxa"/>
                  <w:vMerge w:val="continue"/>
                  <w:vAlign w:val="center"/>
                </w:tcPr>
                <w:p w14:paraId="760A99E8">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044" w:type="dxa"/>
                  <w:vAlign w:val="center"/>
                </w:tcPr>
                <w:p w14:paraId="0FBF566A">
                  <w:pPr>
                    <w:widowControl w:val="0"/>
                    <w:kinsoku/>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砂漏</w:t>
                  </w:r>
                </w:p>
              </w:tc>
              <w:tc>
                <w:tcPr>
                  <w:tcW w:w="2045" w:type="dxa"/>
                  <w:vAlign w:val="center"/>
                </w:tcPr>
                <w:p w14:paraId="3A62E12C">
                  <w:pPr>
                    <w:widowControl w:val="0"/>
                    <w:kinsoku/>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045" w:type="dxa"/>
                  <w:vAlign w:val="center"/>
                </w:tcPr>
                <w:p w14:paraId="7E652574">
                  <w:pPr>
                    <w:widowControl w:val="0"/>
                    <w:kinsoku/>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1EDE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044" w:type="dxa"/>
                  <w:vMerge w:val="continue"/>
                  <w:vAlign w:val="center"/>
                </w:tcPr>
                <w:p w14:paraId="7CE36348">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044" w:type="dxa"/>
                  <w:vAlign w:val="center"/>
                </w:tcPr>
                <w:p w14:paraId="3A64B43F">
                  <w:pPr>
                    <w:widowControl w:val="0"/>
                    <w:kinsoku/>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蓄水池</w:t>
                  </w:r>
                </w:p>
              </w:tc>
              <w:tc>
                <w:tcPr>
                  <w:tcW w:w="2045" w:type="dxa"/>
                  <w:vAlign w:val="center"/>
                </w:tcPr>
                <w:p w14:paraId="4463AEBA">
                  <w:pPr>
                    <w:widowControl w:val="0"/>
                    <w:kinsoku/>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3000m</w:t>
                  </w:r>
                  <w:r>
                    <w:rPr>
                      <w:rFonts w:hint="default" w:ascii="Times New Roman" w:hAnsi="Times New Roman" w:eastAsia="宋体" w:cs="Times New Roman"/>
                      <w:color w:val="000000" w:themeColor="text1"/>
                      <w:highlight w:val="none"/>
                      <w:vertAlign w:val="superscript"/>
                      <w:lang w:eastAsia="zh-CN"/>
                      <w14:textFill>
                        <w14:solidFill>
                          <w14:schemeClr w14:val="tx1"/>
                        </w14:solidFill>
                      </w14:textFill>
                    </w:rPr>
                    <w:t>3</w:t>
                  </w:r>
                </w:p>
              </w:tc>
              <w:tc>
                <w:tcPr>
                  <w:tcW w:w="2045" w:type="dxa"/>
                  <w:vAlign w:val="center"/>
                </w:tcPr>
                <w:p w14:paraId="3F32E73E">
                  <w:pPr>
                    <w:widowControl w:val="0"/>
                    <w:kinsoku/>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5EDC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044" w:type="dxa"/>
                  <w:vMerge w:val="restart"/>
                  <w:vAlign w:val="center"/>
                </w:tcPr>
                <w:p w14:paraId="4462DE7B">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射孔</w:t>
                  </w:r>
                </w:p>
              </w:tc>
              <w:tc>
                <w:tcPr>
                  <w:tcW w:w="2044" w:type="dxa"/>
                  <w:vAlign w:val="center"/>
                </w:tcPr>
                <w:p w14:paraId="1FFDF6B2">
                  <w:pPr>
                    <w:widowControl/>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射孔车</w:t>
                  </w:r>
                </w:p>
              </w:tc>
              <w:tc>
                <w:tcPr>
                  <w:tcW w:w="2045" w:type="dxa"/>
                  <w:vAlign w:val="center"/>
                </w:tcPr>
                <w:p w14:paraId="6CEDC541">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2045" w:type="dxa"/>
                  <w:vAlign w:val="center"/>
                </w:tcPr>
                <w:p w14:paraId="78B55076">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r w14:paraId="26F6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044" w:type="dxa"/>
                  <w:vMerge w:val="continue"/>
                  <w:vAlign w:val="center"/>
                </w:tcPr>
                <w:p w14:paraId="545EB583">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044" w:type="dxa"/>
                  <w:vAlign w:val="center"/>
                </w:tcPr>
                <w:p w14:paraId="50663BE7">
                  <w:pPr>
                    <w:widowControl/>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射孔工具车</w:t>
                  </w:r>
                </w:p>
              </w:tc>
              <w:tc>
                <w:tcPr>
                  <w:tcW w:w="2045" w:type="dxa"/>
                  <w:vAlign w:val="center"/>
                </w:tcPr>
                <w:p w14:paraId="7D14FA89">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2045" w:type="dxa"/>
                  <w:vAlign w:val="center"/>
                </w:tcPr>
                <w:p w14:paraId="28DC5002">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r>
          </w:tbl>
          <w:p w14:paraId="4C7BC2A9">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6.钻井液体系</w:t>
            </w:r>
          </w:p>
          <w:p w14:paraId="42E7AE47">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6.1钻井液体系及用量</w:t>
            </w:r>
          </w:p>
          <w:p w14:paraId="4D15AE50">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根据建设单位提供的设计资料可知，钻井过程中需要使用钻井液，结合井身结构，不同井段采用的钻井液体系有所不同</w:t>
            </w:r>
            <w:bookmarkStart w:id="9" w:name="_Hlk183359743"/>
            <w:bookmarkStart w:id="10" w:name="_Hlk167901113"/>
            <w:bookmarkStart w:id="11" w:name="_Hlk176173839"/>
            <w:bookmarkStart w:id="12" w:name="_Hlk186373794"/>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bookmarkEnd w:id="9"/>
            <w:r>
              <w:rPr>
                <w:rFonts w:hint="default" w:ascii="Times New Roman" w:hAnsi="Times New Roman" w:eastAsia="宋体" w:cs="Times New Roman"/>
                <w:color w:val="000000" w:themeColor="text1"/>
                <w:sz w:val="24"/>
                <w:szCs w:val="24"/>
                <w:lang w:eastAsia="zh-CN"/>
                <w14:textFill>
                  <w14:solidFill>
                    <w14:schemeClr w14:val="tx1"/>
                  </w14:solidFill>
                </w14:textFill>
              </w:rPr>
              <w:t>单井设计钻井液体系见表2-10。</w:t>
            </w:r>
            <w:bookmarkEnd w:id="10"/>
            <w:bookmarkEnd w:id="11"/>
            <w:bookmarkStart w:id="13" w:name="_Ref66721972"/>
            <w:bookmarkStart w:id="14" w:name="_Hlk176173812"/>
          </w:p>
          <w:bookmarkEnd w:id="13"/>
          <w:p w14:paraId="53CD08B4">
            <w:pPr>
              <w:widowControl w:val="0"/>
              <w:kinsoku/>
              <w:spacing w:line="5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表2-10 钻井液体系</w:t>
            </w:r>
          </w:p>
          <w:bookmarkEnd w:id="12"/>
          <w:bookmarkEnd w:id="14"/>
          <w:tbl>
            <w:tblPr>
              <w:tblStyle w:val="16"/>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60"/>
              <w:gridCol w:w="1192"/>
              <w:gridCol w:w="973"/>
              <w:gridCol w:w="873"/>
              <w:gridCol w:w="4939"/>
            </w:tblGrid>
            <w:tr w14:paraId="0E45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1" w:hRule="atLeast"/>
                <w:jc w:val="center"/>
              </w:trPr>
              <w:tc>
                <w:tcPr>
                  <w:tcW w:w="382" w:type="pct"/>
                  <w:vAlign w:val="center"/>
                </w:tcPr>
                <w:p w14:paraId="7BD3D2D4">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bookmarkStart w:id="15" w:name="OLE_LINK71"/>
                  <w:r>
                    <w:rPr>
                      <w:rFonts w:hint="default" w:ascii="Times New Roman" w:hAnsi="Times New Roman" w:eastAsia="宋体" w:cs="Times New Roman"/>
                      <w:b/>
                      <w:bCs/>
                      <w:color w:val="000000" w:themeColor="text1"/>
                      <w:lang w:eastAsia="zh-CN"/>
                      <w14:textFill>
                        <w14:solidFill>
                          <w14:schemeClr w14:val="tx1"/>
                        </w14:solidFill>
                      </w14:textFill>
                    </w:rPr>
                    <w:t>开钻次序</w:t>
                  </w:r>
                </w:p>
              </w:tc>
              <w:tc>
                <w:tcPr>
                  <w:tcW w:w="690" w:type="pct"/>
                  <w:vAlign w:val="center"/>
                </w:tcPr>
                <w:p w14:paraId="084C0F5F">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井段</w:t>
                  </w:r>
                </w:p>
                <w:p w14:paraId="68F668D4">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（m）</w:t>
                  </w:r>
                </w:p>
              </w:tc>
              <w:tc>
                <w:tcPr>
                  <w:tcW w:w="563" w:type="pct"/>
                  <w:vAlign w:val="center"/>
                </w:tcPr>
                <w:p w14:paraId="50208B7E">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密度</w:t>
                  </w:r>
                </w:p>
                <w:p w14:paraId="0B9451FE">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g/cm</w:t>
                  </w:r>
                  <w:r>
                    <w:rPr>
                      <w:rFonts w:hint="default" w:ascii="Times New Roman" w:hAnsi="Times New Roman" w:eastAsia="宋体" w:cs="Times New Roman"/>
                      <w:b/>
                      <w:bCs/>
                      <w:color w:val="000000" w:themeColor="text1"/>
                      <w:vertAlign w:val="superscript"/>
                      <w:lang w:eastAsia="zh-CN"/>
                      <w14:textFill>
                        <w14:solidFill>
                          <w14:schemeClr w14:val="tx1"/>
                        </w14:solidFill>
                      </w14:textFill>
                    </w:rPr>
                    <w:t>3</w:t>
                  </w:r>
                </w:p>
              </w:tc>
              <w:tc>
                <w:tcPr>
                  <w:tcW w:w="505" w:type="pct"/>
                  <w:vAlign w:val="center"/>
                </w:tcPr>
                <w:p w14:paraId="541A425B">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钻井液类型</w:t>
                  </w:r>
                </w:p>
              </w:tc>
              <w:tc>
                <w:tcPr>
                  <w:tcW w:w="2858" w:type="pct"/>
                  <w:vAlign w:val="center"/>
                </w:tcPr>
                <w:p w14:paraId="0E708909">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钻井液配方</w:t>
                  </w:r>
                </w:p>
              </w:tc>
            </w:tr>
            <w:tr w14:paraId="1EE1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9" w:hRule="atLeast"/>
                <w:jc w:val="center"/>
              </w:trPr>
              <w:tc>
                <w:tcPr>
                  <w:tcW w:w="382" w:type="pct"/>
                  <w:vAlign w:val="center"/>
                </w:tcPr>
                <w:p w14:paraId="2613CF01">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导眼/</w:t>
                  </w:r>
                </w:p>
                <w:p w14:paraId="60F90F29">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一开</w:t>
                  </w:r>
                </w:p>
              </w:tc>
              <w:tc>
                <w:tcPr>
                  <w:tcW w:w="690" w:type="pct"/>
                  <w:vAlign w:val="center"/>
                </w:tcPr>
                <w:p w14:paraId="4DC781C5">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w:t>
                  </w:r>
                  <w:r>
                    <w:rPr>
                      <w:rFonts w:hint="default" w:ascii="Times New Roman" w:hAnsi="Times New Roman" w:eastAsia="宋体"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00</w:t>
                  </w:r>
                </w:p>
              </w:tc>
              <w:tc>
                <w:tcPr>
                  <w:tcW w:w="563" w:type="pct"/>
                  <w:vAlign w:val="center"/>
                </w:tcPr>
                <w:p w14:paraId="79CA2F4A">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15</w:t>
                  </w:r>
                  <w:r>
                    <w:rPr>
                      <w:rFonts w:hint="default" w:ascii="Times New Roman" w:hAnsi="Times New Roman" w:eastAsia="宋体" w:cs="Times New Roman"/>
                      <w:color w:val="000000" w:themeColor="text1"/>
                      <w:lang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5</w:t>
                  </w:r>
                </w:p>
              </w:tc>
              <w:tc>
                <w:tcPr>
                  <w:tcW w:w="505" w:type="pct"/>
                  <w:vAlign w:val="center"/>
                </w:tcPr>
                <w:p w14:paraId="5C852A15">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膨润土-聚合物钻井液</w:t>
                  </w:r>
                </w:p>
              </w:tc>
              <w:tc>
                <w:tcPr>
                  <w:tcW w:w="2858" w:type="pct"/>
                  <w:vAlign w:val="center"/>
                </w:tcPr>
                <w:p w14:paraId="30CC8270">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清水+(8-12)%膨润土+(0.2-0.3)%Na2CO3</w:t>
                  </w:r>
                </w:p>
                <w:p w14:paraId="7D4C8839">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+(0.2-0.3)%CMC-LV/CMC-HV/PAC-LV</w:t>
                  </w:r>
                </w:p>
                <w:p w14:paraId="1CDBCA5A">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+(0.3-0.5)%NaHPAN/NH4HPAN</w:t>
                  </w:r>
                </w:p>
                <w:p w14:paraId="0579D921">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+(0.3-0.5)%ZNP-1+重晶石粉</w:t>
                  </w:r>
                </w:p>
              </w:tc>
            </w:tr>
            <w:tr w14:paraId="20CE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9" w:hRule="atLeast"/>
                <w:jc w:val="center"/>
              </w:trPr>
              <w:tc>
                <w:tcPr>
                  <w:tcW w:w="382" w:type="pct"/>
                  <w:vAlign w:val="center"/>
                </w:tcPr>
                <w:p w14:paraId="5410A812">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二开</w:t>
                  </w:r>
                </w:p>
              </w:tc>
              <w:tc>
                <w:tcPr>
                  <w:tcW w:w="690" w:type="pct"/>
                  <w:vAlign w:val="center"/>
                </w:tcPr>
                <w:p w14:paraId="1E0C949B">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00-3</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lang w:eastAsia="zh-CN"/>
                      <w14:textFill>
                        <w14:solidFill>
                          <w14:schemeClr w14:val="tx1"/>
                        </w14:solidFill>
                      </w14:textFill>
                    </w:rPr>
                    <w:t>00</w:t>
                  </w:r>
                </w:p>
              </w:tc>
              <w:tc>
                <w:tcPr>
                  <w:tcW w:w="563" w:type="pct"/>
                  <w:vAlign w:val="center"/>
                </w:tcPr>
                <w:p w14:paraId="63ADBE85">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5-1.</w:t>
                  </w:r>
                  <w:r>
                    <w:rPr>
                      <w:rFonts w:hint="default" w:ascii="Times New Roman" w:hAnsi="Times New Roman" w:eastAsia="宋体"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5</w:t>
                  </w:r>
                </w:p>
              </w:tc>
              <w:tc>
                <w:tcPr>
                  <w:tcW w:w="505" w:type="pct"/>
                  <w:vAlign w:val="center"/>
                </w:tcPr>
                <w:p w14:paraId="4E44CFC3">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油基</w:t>
                  </w:r>
                </w:p>
                <w:p w14:paraId="5B6B777F">
                  <w:pPr>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钻井液</w:t>
                  </w:r>
                </w:p>
              </w:tc>
              <w:tc>
                <w:tcPr>
                  <w:tcW w:w="2858" w:type="pct"/>
                  <w:vAlign w:val="center"/>
                </w:tcPr>
                <w:p w14:paraId="58E66556">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白油/柴油:30%CaCl2水溶液(80:20)+(2-3)%TYODF-301/XZ-OZR+(2-3)%TYODF-401/XZ-OFR+(1-2)%TYODF-501/XZ-ORS+(2-3)%TYODF-601/LH-OC+(2-3)%XZ-OJL+(0.5-2)%CaO+(2-4)%FT-401/LH-LQ/ZK601+(3-5)%超细碳酸钙/ZS-3/ZS-5+(1-3)%YL-XD/XZ-DL5/XZ-DL8++(0.2-0.5)%ZNP-1/K-PAM+(0.5-0.1)%NaHPAN+(0.5-1)%CMC-LV/DRGJ-1+(3-5)%RLQ/YK-N+(3-5)%磺化沥青+(1-3)%SPNH+(1-3)%SMP-Ⅲ+(0.5-2)%SMT+(0.1-0.3)%XC-HV+重晶石粉</w:t>
                  </w:r>
                </w:p>
              </w:tc>
            </w:tr>
            <w:tr w14:paraId="06D6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30" w:hRule="atLeast"/>
                <w:jc w:val="center"/>
              </w:trPr>
              <w:tc>
                <w:tcPr>
                  <w:tcW w:w="382" w:type="pct"/>
                  <w:vAlign w:val="center"/>
                </w:tcPr>
                <w:p w14:paraId="40195786">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三开</w:t>
                  </w:r>
                </w:p>
              </w:tc>
              <w:tc>
                <w:tcPr>
                  <w:tcW w:w="690" w:type="pct"/>
                  <w:vAlign w:val="center"/>
                </w:tcPr>
                <w:p w14:paraId="273F962F">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lang w:eastAsia="zh-CN"/>
                      <w14:textFill>
                        <w14:solidFill>
                          <w14:schemeClr w14:val="tx1"/>
                        </w14:solidFill>
                      </w14:textFill>
                    </w:rPr>
                    <w:t>00-5</w:t>
                  </w: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default" w:ascii="Times New Roman" w:hAnsi="Times New Roman" w:eastAsia="宋体" w:cs="Times New Roman"/>
                      <w:color w:val="000000" w:themeColor="text1"/>
                      <w:lang w:eastAsia="zh-CN"/>
                      <w14:textFill>
                        <w14:solidFill>
                          <w14:schemeClr w14:val="tx1"/>
                        </w14:solidFill>
                      </w14:textFill>
                    </w:rPr>
                    <w:t>0</w:t>
                  </w:r>
                </w:p>
              </w:tc>
              <w:tc>
                <w:tcPr>
                  <w:tcW w:w="563" w:type="pct"/>
                  <w:vAlign w:val="center"/>
                </w:tcPr>
                <w:p w14:paraId="4D714F22">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eastAsia="zh-CN"/>
                      <w14:textFill>
                        <w14:solidFill>
                          <w14:schemeClr w14:val="tx1"/>
                        </w14:solidFill>
                      </w14:textFill>
                    </w:rPr>
                    <w:t>5-1.</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0</w:t>
                  </w:r>
                </w:p>
              </w:tc>
              <w:tc>
                <w:tcPr>
                  <w:tcW w:w="505" w:type="pct"/>
                  <w:vAlign w:val="center"/>
                </w:tcPr>
                <w:p w14:paraId="105500B7">
                  <w:pPr>
                    <w:autoSpaceDE w:val="0"/>
                    <w:autoSpaceDN w:val="0"/>
                    <w:spacing w:line="360" w:lineRule="exact"/>
                    <w:jc w:val="center"/>
                    <w:rPr>
                      <w:rFonts w:hint="default" w:ascii="Times New Roman" w:hAnsi="Times New Roman" w:eastAsia="宋体" w:cs="Times New Roman"/>
                      <w:color w:val="000000" w:themeColor="text1"/>
                      <w:kern w:val="11"/>
                      <w:szCs w:val="21"/>
                      <w14:textFill>
                        <w14:solidFill>
                          <w14:schemeClr w14:val="tx1"/>
                        </w14:solidFill>
                      </w14:textFill>
                    </w:rPr>
                  </w:pPr>
                  <w:r>
                    <w:rPr>
                      <w:rFonts w:hint="default" w:ascii="Times New Roman" w:hAnsi="Times New Roman" w:eastAsia="宋体" w:cs="Times New Roman"/>
                      <w:color w:val="000000" w:themeColor="text1"/>
                      <w:kern w:val="11"/>
                      <w:szCs w:val="21"/>
                      <w14:textFill>
                        <w14:solidFill>
                          <w14:schemeClr w14:val="tx1"/>
                        </w14:solidFill>
                      </w14:textFill>
                    </w:rPr>
                    <w:t>复合盐</w:t>
                  </w:r>
                </w:p>
                <w:p w14:paraId="30EE8906">
                  <w:pPr>
                    <w:kinsoku/>
                    <w:spacing w:line="240" w:lineRule="atLeast"/>
                    <w:jc w:val="center"/>
                    <w:rPr>
                      <w:rFonts w:hint="default" w:ascii="Times New Roman" w:hAnsi="Times New Roman" w:eastAsia="宋体" w:cs="Times New Roman"/>
                      <w:color w:val="000000" w:themeColor="text1"/>
                      <w:kern w:val="11"/>
                      <w:lang w:eastAsia="zh-CN"/>
                      <w14:textFill>
                        <w14:solidFill>
                          <w14:schemeClr w14:val="tx1"/>
                        </w14:solidFill>
                      </w14:textFill>
                    </w:rPr>
                  </w:pPr>
                  <w:r>
                    <w:rPr>
                      <w:rFonts w:hint="default" w:ascii="Times New Roman" w:hAnsi="Times New Roman" w:eastAsia="宋体" w:cs="Times New Roman"/>
                      <w:color w:val="000000" w:themeColor="text1"/>
                      <w:kern w:val="11"/>
                      <w:szCs w:val="21"/>
                      <w14:textFill>
                        <w14:solidFill>
                          <w14:schemeClr w14:val="tx1"/>
                        </w14:solidFill>
                      </w14:textFill>
                    </w:rPr>
                    <w:t>钻井液</w:t>
                  </w:r>
                </w:p>
              </w:tc>
              <w:tc>
                <w:tcPr>
                  <w:tcW w:w="2858" w:type="pct"/>
                  <w:vAlign w:val="center"/>
                </w:tcPr>
                <w:p w14:paraId="386F480F">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井浆+(0.3-0.5)%NaOH</w:t>
                  </w:r>
                </w:p>
                <w:p w14:paraId="59E15081">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+(0.5-1)%NH4HPAN/KFT</w:t>
                  </w:r>
                </w:p>
                <w:p w14:paraId="7A8BC43C">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+(0.8-1)%SP-8/REDU1</w:t>
                  </w:r>
                </w:p>
                <w:p w14:paraId="682C5A9F">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+(0.5-1.2)%FA-367/IND-10/ZNP-1</w:t>
                  </w:r>
                </w:p>
                <w:p w14:paraId="1892F10E">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+(5-7)%KCl+(10-20)%NaCl</w:t>
                  </w:r>
                </w:p>
                <w:p w14:paraId="3BC934C4">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+(2-5)%YN-YL/PHT/KR-n/FT-401</w:t>
                  </w:r>
                </w:p>
                <w:p w14:paraId="68A8E37F">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+(3-5)%超细钙+(0.5-1)%LUBE/RH-220</w:t>
                  </w:r>
                </w:p>
                <w:p w14:paraId="56D5DA54">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+(0.2-0.5)%CaO+(1-2)%XZ-DL4/XZ-DL5/801</w:t>
                  </w:r>
                </w:p>
                <w:p w14:paraId="6A4BC1F0">
                  <w:pPr>
                    <w:kinsoku/>
                    <w:spacing w:line="240" w:lineRule="atLeas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+重晶石粉</w:t>
                  </w:r>
                </w:p>
              </w:tc>
            </w:tr>
          </w:tbl>
          <w:p w14:paraId="65141C52">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6.2钻井液材料用量测算</w:t>
            </w:r>
          </w:p>
          <w:p w14:paraId="4F8F6056">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单井使用各类钻井液材料的用量具体见表2-11。</w:t>
            </w:r>
          </w:p>
          <w:p w14:paraId="4A6FA852">
            <w:pPr>
              <w:widowControl w:val="0"/>
              <w:kinsoku/>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表2-11 单井钻井液材料用量</w:t>
            </w:r>
          </w:p>
          <w:tbl>
            <w:tblPr>
              <w:tblStyle w:val="16"/>
              <w:tblW w:w="47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9"/>
              <w:gridCol w:w="821"/>
              <w:gridCol w:w="943"/>
              <w:gridCol w:w="994"/>
              <w:gridCol w:w="1390"/>
              <w:gridCol w:w="712"/>
              <w:gridCol w:w="807"/>
            </w:tblGrid>
            <w:tr w14:paraId="567D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1568" w:type="pct"/>
                  <w:vAlign w:val="center"/>
                </w:tcPr>
                <w:p w14:paraId="494506A9">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开钻次序</w:t>
                  </w:r>
                </w:p>
              </w:tc>
              <w:tc>
                <w:tcPr>
                  <w:tcW w:w="497" w:type="pct"/>
                  <w:vAlign w:val="center"/>
                </w:tcPr>
                <w:p w14:paraId="781D5E87">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导眼</w:t>
                  </w:r>
                </w:p>
              </w:tc>
              <w:tc>
                <w:tcPr>
                  <w:tcW w:w="571" w:type="pct"/>
                  <w:vAlign w:val="center"/>
                </w:tcPr>
                <w:p w14:paraId="19C058C8">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一开</w:t>
                  </w:r>
                </w:p>
              </w:tc>
              <w:tc>
                <w:tcPr>
                  <w:tcW w:w="602" w:type="pct"/>
                  <w:vAlign w:val="center"/>
                </w:tcPr>
                <w:p w14:paraId="031AAE54">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二开</w:t>
                  </w:r>
                </w:p>
              </w:tc>
              <w:tc>
                <w:tcPr>
                  <w:tcW w:w="841" w:type="pct"/>
                  <w:vAlign w:val="center"/>
                </w:tcPr>
                <w:p w14:paraId="319E6C70">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三开</w:t>
                  </w:r>
                </w:p>
              </w:tc>
              <w:tc>
                <w:tcPr>
                  <w:tcW w:w="919" w:type="pct"/>
                  <w:gridSpan w:val="2"/>
                  <w:vAlign w:val="center"/>
                </w:tcPr>
                <w:p w14:paraId="25B2C6B4">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合计</w:t>
                  </w:r>
                </w:p>
              </w:tc>
            </w:tr>
            <w:tr w14:paraId="6CEA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568" w:type="pct"/>
                  <w:vAlign w:val="center"/>
                </w:tcPr>
                <w:p w14:paraId="39872EEF">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材料名称(代号)</w:t>
                  </w:r>
                </w:p>
              </w:tc>
              <w:tc>
                <w:tcPr>
                  <w:tcW w:w="2512" w:type="pct"/>
                  <w:gridSpan w:val="4"/>
                  <w:vAlign w:val="center"/>
                </w:tcPr>
                <w:p w14:paraId="12206490">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用量t</w:t>
                  </w: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14:textFill>
                        <w14:solidFill>
                          <w14:schemeClr w14:val="tx1"/>
                        </w14:solidFill>
                      </w14:textFill>
                    </w:rPr>
                    <w:t>(m</w:t>
                  </w:r>
                  <w:r>
                    <w:rPr>
                      <w:rFonts w:hint="default" w:ascii="Times New Roman" w:hAnsi="Times New Roman" w:eastAsia="宋体" w:cs="Times New Roman"/>
                      <w:b/>
                      <w:bCs/>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highlight w:val="none"/>
                      <w14:textFill>
                        <w14:solidFill>
                          <w14:schemeClr w14:val="tx1"/>
                        </w14:solidFill>
                      </w14:textFill>
                    </w:rPr>
                    <w:t>)</w:t>
                  </w:r>
                </w:p>
              </w:tc>
              <w:tc>
                <w:tcPr>
                  <w:tcW w:w="431" w:type="pct"/>
                  <w:vAlign w:val="center"/>
                </w:tcPr>
                <w:p w14:paraId="4FC176AA">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储备t (m</w:t>
                  </w:r>
                  <w:r>
                    <w:rPr>
                      <w:rFonts w:hint="default" w:ascii="Times New Roman" w:hAnsi="Times New Roman" w:eastAsia="宋体" w:cs="Times New Roman"/>
                      <w:b/>
                      <w:bCs/>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highlight w:val="none"/>
                      <w14:textFill>
                        <w14:solidFill>
                          <w14:schemeClr w14:val="tx1"/>
                        </w14:solidFill>
                      </w14:textFill>
                    </w:rPr>
                    <w:t>)</w:t>
                  </w:r>
                </w:p>
              </w:tc>
              <w:tc>
                <w:tcPr>
                  <w:tcW w:w="487" w:type="pct"/>
                  <w:vAlign w:val="center"/>
                </w:tcPr>
                <w:p w14:paraId="26963E8C">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合计t (m</w:t>
                  </w:r>
                  <w:r>
                    <w:rPr>
                      <w:rFonts w:hint="default" w:ascii="Times New Roman" w:hAnsi="Times New Roman" w:eastAsia="宋体" w:cs="Times New Roman"/>
                      <w:b/>
                      <w:bCs/>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highlight w:val="none"/>
                      <w14:textFill>
                        <w14:solidFill>
                          <w14:schemeClr w14:val="tx1"/>
                        </w14:solidFill>
                      </w14:textFill>
                    </w:rPr>
                    <w:t>)</w:t>
                  </w:r>
                </w:p>
              </w:tc>
            </w:tr>
            <w:tr w14:paraId="6696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68" w:type="pct"/>
                  <w:vAlign w:val="center"/>
                </w:tcPr>
                <w:p w14:paraId="735BF114">
                  <w:pPr>
                    <w:spacing w:line="300" w:lineRule="exact"/>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膨润土</w:t>
                  </w:r>
                </w:p>
              </w:tc>
              <w:tc>
                <w:tcPr>
                  <w:tcW w:w="1068" w:type="pct"/>
                  <w:gridSpan w:val="2"/>
                  <w:vAlign w:val="center"/>
                </w:tcPr>
                <w:p w14:paraId="293C88E0">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26</w:t>
                  </w:r>
                </w:p>
              </w:tc>
              <w:tc>
                <w:tcPr>
                  <w:tcW w:w="602" w:type="pct"/>
                  <w:tcBorders>
                    <w:top w:val="single" w:color="auto" w:sz="4" w:space="0"/>
                    <w:left w:val="single" w:color="auto" w:sz="4" w:space="0"/>
                    <w:bottom w:val="single" w:color="auto" w:sz="4" w:space="0"/>
                    <w:right w:val="single" w:color="auto" w:sz="4" w:space="0"/>
                  </w:tcBorders>
                  <w:vAlign w:val="center"/>
                </w:tcPr>
                <w:p w14:paraId="125BAF8D">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5</w:t>
                  </w:r>
                </w:p>
              </w:tc>
              <w:tc>
                <w:tcPr>
                  <w:tcW w:w="841" w:type="pct"/>
                  <w:tcBorders>
                    <w:top w:val="single" w:color="auto" w:sz="4" w:space="0"/>
                    <w:left w:val="single" w:color="auto" w:sz="4" w:space="0"/>
                    <w:bottom w:val="single" w:color="auto" w:sz="4" w:space="0"/>
                    <w:right w:val="single" w:color="auto" w:sz="4" w:space="0"/>
                  </w:tcBorders>
                  <w:vAlign w:val="center"/>
                </w:tcPr>
                <w:p w14:paraId="626A7436">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vAlign w:val="center"/>
                </w:tcPr>
                <w:p w14:paraId="28F91A1A">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single" w:color="auto" w:sz="4" w:space="0"/>
                    <w:left w:val="single" w:color="auto" w:sz="4" w:space="0"/>
                    <w:bottom w:val="single" w:color="auto" w:sz="4" w:space="0"/>
                    <w:right w:val="single" w:color="auto" w:sz="4" w:space="0"/>
                  </w:tcBorders>
                  <w:vAlign w:val="bottom"/>
                </w:tcPr>
                <w:p w14:paraId="776B3328">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31</w:t>
                  </w:r>
                </w:p>
              </w:tc>
            </w:tr>
            <w:tr w14:paraId="4F92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68" w:type="pct"/>
                  <w:vAlign w:val="center"/>
                </w:tcPr>
                <w:p w14:paraId="33B87B88">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重晶石粉</w:t>
                  </w:r>
                </w:p>
              </w:tc>
              <w:tc>
                <w:tcPr>
                  <w:tcW w:w="1068" w:type="pct"/>
                  <w:gridSpan w:val="2"/>
                  <w:vAlign w:val="center"/>
                </w:tcPr>
                <w:p w14:paraId="4767EEF7">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65</w:t>
                  </w:r>
                </w:p>
              </w:tc>
              <w:tc>
                <w:tcPr>
                  <w:tcW w:w="602" w:type="pct"/>
                  <w:tcBorders>
                    <w:top w:val="single" w:color="auto" w:sz="4" w:space="0"/>
                    <w:left w:val="single" w:color="auto" w:sz="4" w:space="0"/>
                    <w:bottom w:val="single" w:color="auto" w:sz="4" w:space="0"/>
                    <w:right w:val="single" w:color="auto" w:sz="4" w:space="0"/>
                  </w:tcBorders>
                  <w:vAlign w:val="center"/>
                </w:tcPr>
                <w:p w14:paraId="79475C68">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325</w:t>
                  </w:r>
                </w:p>
              </w:tc>
              <w:tc>
                <w:tcPr>
                  <w:tcW w:w="841" w:type="pct"/>
                  <w:tcBorders>
                    <w:top w:val="single" w:color="auto" w:sz="4" w:space="0"/>
                    <w:left w:val="single" w:color="auto" w:sz="4" w:space="0"/>
                    <w:bottom w:val="single" w:color="auto" w:sz="4" w:space="0"/>
                    <w:right w:val="single" w:color="auto" w:sz="4" w:space="0"/>
                  </w:tcBorders>
                  <w:vAlign w:val="center"/>
                </w:tcPr>
                <w:p w14:paraId="41B10A73">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31" w:type="pct"/>
                  <w:tcBorders>
                    <w:top w:val="single" w:color="auto" w:sz="4" w:space="0"/>
                    <w:left w:val="single" w:color="auto" w:sz="4" w:space="0"/>
                    <w:bottom w:val="single" w:color="auto" w:sz="4" w:space="0"/>
                    <w:right w:val="single" w:color="auto" w:sz="4" w:space="0"/>
                  </w:tcBorders>
                  <w:vAlign w:val="center"/>
                </w:tcPr>
                <w:p w14:paraId="3FEAC39B">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50</w:t>
                  </w:r>
                </w:p>
              </w:tc>
              <w:tc>
                <w:tcPr>
                  <w:tcW w:w="487" w:type="pct"/>
                  <w:tcBorders>
                    <w:top w:val="single" w:color="auto" w:sz="4" w:space="0"/>
                    <w:left w:val="single" w:color="auto" w:sz="4" w:space="0"/>
                    <w:bottom w:val="single" w:color="auto" w:sz="4" w:space="0"/>
                    <w:right w:val="single" w:color="auto" w:sz="4" w:space="0"/>
                  </w:tcBorders>
                  <w:vAlign w:val="bottom"/>
                </w:tcPr>
                <w:p w14:paraId="2C5EE561">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440</w:t>
                  </w:r>
                </w:p>
              </w:tc>
            </w:tr>
            <w:tr w14:paraId="7902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68" w:type="pct"/>
                  <w:vAlign w:val="center"/>
                </w:tcPr>
                <w:p w14:paraId="44226221">
                  <w:pPr>
                    <w:pStyle w:val="25"/>
                    <w:spacing w:line="300" w:lineRule="exact"/>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bidi="ar"/>
                      <w14:textFill>
                        <w14:solidFill>
                          <w14:schemeClr w14:val="tx1"/>
                        </w14:solidFill>
                      </w14:textFill>
                    </w:rPr>
                    <w:t>Na</w:t>
                  </w:r>
                  <w:r>
                    <w:rPr>
                      <w:rFonts w:hint="default" w:ascii="Times New Roman" w:hAnsi="Times New Roman" w:eastAsia="宋体" w:cs="Times New Roman"/>
                      <w:b w:val="0"/>
                      <w:bCs w:val="0"/>
                      <w:color w:val="000000" w:themeColor="text1"/>
                      <w:szCs w:val="21"/>
                      <w:highlight w:val="none"/>
                      <w:vertAlign w:val="subscript"/>
                      <w:lang w:bidi="ar"/>
                      <w14:textFill>
                        <w14:solidFill>
                          <w14:schemeClr w14:val="tx1"/>
                        </w14:solidFill>
                      </w14:textFill>
                    </w:rPr>
                    <w:t>2</w:t>
                  </w:r>
                  <w:r>
                    <w:rPr>
                      <w:rFonts w:hint="default" w:ascii="Times New Roman" w:hAnsi="Times New Roman" w:eastAsia="宋体" w:cs="Times New Roman"/>
                      <w:b w:val="0"/>
                      <w:bCs w:val="0"/>
                      <w:color w:val="000000" w:themeColor="text1"/>
                      <w:szCs w:val="21"/>
                      <w:highlight w:val="none"/>
                      <w:lang w:bidi="ar"/>
                      <w14:textFill>
                        <w14:solidFill>
                          <w14:schemeClr w14:val="tx1"/>
                        </w14:solidFill>
                      </w14:textFill>
                    </w:rPr>
                    <w:t>CO</w:t>
                  </w:r>
                  <w:r>
                    <w:rPr>
                      <w:rFonts w:hint="default" w:ascii="Times New Roman" w:hAnsi="Times New Roman" w:eastAsia="宋体" w:cs="Times New Roman"/>
                      <w:b w:val="0"/>
                      <w:bCs w:val="0"/>
                      <w:color w:val="000000" w:themeColor="text1"/>
                      <w:szCs w:val="21"/>
                      <w:highlight w:val="none"/>
                      <w:vertAlign w:val="subscript"/>
                      <w:lang w:bidi="ar"/>
                      <w14:textFill>
                        <w14:solidFill>
                          <w14:schemeClr w14:val="tx1"/>
                        </w14:solidFill>
                      </w14:textFill>
                    </w:rPr>
                    <w:t>3</w:t>
                  </w:r>
                </w:p>
              </w:tc>
              <w:tc>
                <w:tcPr>
                  <w:tcW w:w="1068" w:type="pct"/>
                  <w:gridSpan w:val="2"/>
                  <w:vAlign w:val="center"/>
                </w:tcPr>
                <w:p w14:paraId="761B63BA">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602" w:type="pct"/>
                  <w:tcBorders>
                    <w:top w:val="nil"/>
                    <w:left w:val="single" w:color="auto" w:sz="4" w:space="0"/>
                    <w:bottom w:val="single" w:color="auto" w:sz="4" w:space="0"/>
                    <w:right w:val="single" w:color="auto" w:sz="4" w:space="0"/>
                  </w:tcBorders>
                  <w:vAlign w:val="center"/>
                </w:tcPr>
                <w:p w14:paraId="13CDCB50">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58FD6F89">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31" w:type="pct"/>
                  <w:tcBorders>
                    <w:top w:val="nil"/>
                    <w:left w:val="single" w:color="auto" w:sz="4" w:space="0"/>
                    <w:bottom w:val="single" w:color="auto" w:sz="4" w:space="0"/>
                    <w:right w:val="single" w:color="auto" w:sz="4" w:space="0"/>
                  </w:tcBorders>
                  <w:vAlign w:val="center"/>
                </w:tcPr>
                <w:p w14:paraId="0DACD2CF">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3A20023A">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w:t>
                  </w:r>
                </w:p>
              </w:tc>
            </w:tr>
            <w:tr w14:paraId="15CC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68" w:type="pct"/>
                  <w:vAlign w:val="center"/>
                </w:tcPr>
                <w:p w14:paraId="655CE45C">
                  <w:pPr>
                    <w:pStyle w:val="25"/>
                    <w:spacing w:line="300" w:lineRule="exact"/>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NaOH</w:t>
                  </w:r>
                </w:p>
              </w:tc>
              <w:tc>
                <w:tcPr>
                  <w:tcW w:w="1068" w:type="pct"/>
                  <w:gridSpan w:val="2"/>
                  <w:vAlign w:val="center"/>
                </w:tcPr>
                <w:p w14:paraId="37B18FD7">
                  <w:pPr>
                    <w:spacing w:line="300" w:lineRule="exact"/>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602" w:type="pct"/>
                  <w:tcBorders>
                    <w:top w:val="nil"/>
                    <w:left w:val="single" w:color="auto" w:sz="4" w:space="0"/>
                    <w:bottom w:val="single" w:color="auto" w:sz="4" w:space="0"/>
                    <w:right w:val="single" w:color="auto" w:sz="4" w:space="0"/>
                  </w:tcBorders>
                  <w:vAlign w:val="center"/>
                </w:tcPr>
                <w:p w14:paraId="31E7EC98">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w:t>
                  </w:r>
                </w:p>
              </w:tc>
              <w:tc>
                <w:tcPr>
                  <w:tcW w:w="841" w:type="pct"/>
                  <w:tcBorders>
                    <w:top w:val="nil"/>
                    <w:left w:val="single" w:color="auto" w:sz="4" w:space="0"/>
                    <w:bottom w:val="single" w:color="auto" w:sz="4" w:space="0"/>
                    <w:right w:val="single" w:color="auto" w:sz="4" w:space="0"/>
                  </w:tcBorders>
                  <w:vAlign w:val="center"/>
                </w:tcPr>
                <w:p w14:paraId="296C539E">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tcBorders>
                    <w:top w:val="nil"/>
                    <w:left w:val="single" w:color="auto" w:sz="4" w:space="0"/>
                    <w:bottom w:val="single" w:color="auto" w:sz="4" w:space="0"/>
                    <w:right w:val="single" w:color="auto" w:sz="4" w:space="0"/>
                  </w:tcBorders>
                  <w:vAlign w:val="center"/>
                </w:tcPr>
                <w:p w14:paraId="3BD0AA6B">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4F26926D">
                  <w:pPr>
                    <w:jc w:val="center"/>
                    <w:textAlignment w:val="bottom"/>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4</w:t>
                  </w:r>
                </w:p>
              </w:tc>
            </w:tr>
            <w:tr w14:paraId="4199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68" w:type="pct"/>
                  <w:vAlign w:val="center"/>
                </w:tcPr>
                <w:p w14:paraId="59735073">
                  <w:pPr>
                    <w:pStyle w:val="25"/>
                    <w:spacing w:line="300" w:lineRule="exact"/>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ZNP-1/CFB</w:t>
                  </w:r>
                </w:p>
              </w:tc>
              <w:tc>
                <w:tcPr>
                  <w:tcW w:w="1068" w:type="pct"/>
                  <w:gridSpan w:val="2"/>
                  <w:vAlign w:val="center"/>
                </w:tcPr>
                <w:p w14:paraId="37E231AE">
                  <w:pPr>
                    <w:spacing w:line="300" w:lineRule="exact"/>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1.5</w:t>
                  </w:r>
                </w:p>
              </w:tc>
              <w:tc>
                <w:tcPr>
                  <w:tcW w:w="602" w:type="pct"/>
                  <w:tcBorders>
                    <w:top w:val="nil"/>
                    <w:left w:val="single" w:color="auto" w:sz="4" w:space="0"/>
                    <w:bottom w:val="single" w:color="auto" w:sz="4" w:space="0"/>
                    <w:right w:val="single" w:color="auto" w:sz="4" w:space="0"/>
                  </w:tcBorders>
                  <w:vAlign w:val="center"/>
                </w:tcPr>
                <w:p w14:paraId="7B98BB3F">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6.5</w:t>
                  </w:r>
                </w:p>
              </w:tc>
              <w:tc>
                <w:tcPr>
                  <w:tcW w:w="841" w:type="pct"/>
                  <w:tcBorders>
                    <w:top w:val="nil"/>
                    <w:left w:val="single" w:color="auto" w:sz="4" w:space="0"/>
                    <w:bottom w:val="single" w:color="auto" w:sz="4" w:space="0"/>
                    <w:right w:val="single" w:color="auto" w:sz="4" w:space="0"/>
                  </w:tcBorders>
                  <w:vAlign w:val="center"/>
                </w:tcPr>
                <w:p w14:paraId="2D545454">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tcBorders>
                    <w:top w:val="nil"/>
                    <w:left w:val="single" w:color="auto" w:sz="4" w:space="0"/>
                    <w:bottom w:val="single" w:color="auto" w:sz="4" w:space="0"/>
                    <w:right w:val="single" w:color="auto" w:sz="4" w:space="0"/>
                  </w:tcBorders>
                  <w:vAlign w:val="center"/>
                </w:tcPr>
                <w:p w14:paraId="1733D87C">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3B04C8D7">
                  <w:pPr>
                    <w:jc w:val="center"/>
                    <w:textAlignment w:val="bottom"/>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8</w:t>
                  </w:r>
                </w:p>
              </w:tc>
            </w:tr>
            <w:tr w14:paraId="359C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568" w:type="pct"/>
                  <w:vAlign w:val="center"/>
                </w:tcPr>
                <w:p w14:paraId="41348DF3">
                  <w:pPr>
                    <w:jc w:val="center"/>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CMC-LV/CMC-HV/PAC-LV</w:t>
                  </w:r>
                </w:p>
              </w:tc>
              <w:tc>
                <w:tcPr>
                  <w:tcW w:w="1068" w:type="pct"/>
                  <w:gridSpan w:val="2"/>
                  <w:vAlign w:val="center"/>
                </w:tcPr>
                <w:p w14:paraId="183674BA">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602" w:type="pct"/>
                  <w:tcBorders>
                    <w:top w:val="nil"/>
                    <w:left w:val="single" w:color="auto" w:sz="4" w:space="0"/>
                    <w:bottom w:val="single" w:color="auto" w:sz="4" w:space="0"/>
                    <w:right w:val="single" w:color="auto" w:sz="4" w:space="0"/>
                  </w:tcBorders>
                  <w:vAlign w:val="center"/>
                </w:tcPr>
                <w:p w14:paraId="7C28C80D">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438F9BAD">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tcBorders>
                    <w:top w:val="nil"/>
                    <w:left w:val="single" w:color="auto" w:sz="4" w:space="0"/>
                    <w:bottom w:val="single" w:color="auto" w:sz="4" w:space="0"/>
                    <w:right w:val="single" w:color="auto" w:sz="4" w:space="0"/>
                  </w:tcBorders>
                  <w:vAlign w:val="center"/>
                </w:tcPr>
                <w:p w14:paraId="7754068C">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6D8C2CBB">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w:t>
                  </w:r>
                </w:p>
              </w:tc>
            </w:tr>
            <w:tr w14:paraId="7142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568" w:type="pct"/>
                  <w:vAlign w:val="center"/>
                </w:tcPr>
                <w:p w14:paraId="619BDF27">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NaHPAN/NH</w:t>
                  </w:r>
                  <w:r>
                    <w:rPr>
                      <w:rFonts w:hint="default" w:ascii="Times New Roman" w:hAnsi="Times New Roman" w:eastAsia="宋体" w:cs="Times New Roman"/>
                      <w:color w:val="000000" w:themeColor="text1"/>
                      <w:highlight w:val="none"/>
                      <w:vertAlign w:val="subscript"/>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HPAN/XY-27</w:t>
                  </w:r>
                </w:p>
              </w:tc>
              <w:tc>
                <w:tcPr>
                  <w:tcW w:w="1068" w:type="pct"/>
                  <w:gridSpan w:val="2"/>
                  <w:vAlign w:val="center"/>
                </w:tcPr>
                <w:p w14:paraId="33CCC2B8">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1.5</w:t>
                  </w:r>
                </w:p>
              </w:tc>
              <w:tc>
                <w:tcPr>
                  <w:tcW w:w="602" w:type="pct"/>
                  <w:tcBorders>
                    <w:top w:val="nil"/>
                    <w:left w:val="single" w:color="auto" w:sz="4" w:space="0"/>
                    <w:bottom w:val="single" w:color="auto" w:sz="4" w:space="0"/>
                    <w:right w:val="single" w:color="auto" w:sz="4" w:space="0"/>
                  </w:tcBorders>
                  <w:vAlign w:val="center"/>
                </w:tcPr>
                <w:p w14:paraId="5156E7BB">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6</w:t>
                  </w:r>
                </w:p>
              </w:tc>
              <w:tc>
                <w:tcPr>
                  <w:tcW w:w="841" w:type="pct"/>
                  <w:tcBorders>
                    <w:top w:val="nil"/>
                    <w:left w:val="single" w:color="auto" w:sz="4" w:space="0"/>
                    <w:bottom w:val="single" w:color="auto" w:sz="4" w:space="0"/>
                    <w:right w:val="single" w:color="auto" w:sz="4" w:space="0"/>
                  </w:tcBorders>
                  <w:vAlign w:val="center"/>
                </w:tcPr>
                <w:p w14:paraId="0E04D770">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31" w:type="pct"/>
                  <w:tcBorders>
                    <w:top w:val="nil"/>
                    <w:left w:val="single" w:color="auto" w:sz="4" w:space="0"/>
                    <w:bottom w:val="single" w:color="auto" w:sz="4" w:space="0"/>
                    <w:right w:val="single" w:color="auto" w:sz="4" w:space="0"/>
                  </w:tcBorders>
                  <w:vAlign w:val="center"/>
                </w:tcPr>
                <w:p w14:paraId="6AC9A9BE">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5581D7DB">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7.5</w:t>
                  </w:r>
                </w:p>
              </w:tc>
            </w:tr>
            <w:tr w14:paraId="2076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68" w:type="pct"/>
                  <w:vAlign w:val="center"/>
                </w:tcPr>
                <w:p w14:paraId="2BC77173">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白油/柴油</w:t>
                  </w:r>
                </w:p>
              </w:tc>
              <w:tc>
                <w:tcPr>
                  <w:tcW w:w="1068" w:type="pct"/>
                  <w:gridSpan w:val="2"/>
                  <w:vAlign w:val="center"/>
                </w:tcPr>
                <w:p w14:paraId="1D58156E">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tcBorders>
                    <w:top w:val="nil"/>
                    <w:left w:val="single" w:color="auto" w:sz="4" w:space="0"/>
                    <w:bottom w:val="single" w:color="auto" w:sz="4" w:space="0"/>
                    <w:right w:val="single" w:color="auto" w:sz="4" w:space="0"/>
                  </w:tcBorders>
                  <w:vAlign w:val="center"/>
                </w:tcPr>
                <w:p w14:paraId="573AEFD5">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0B0F942D">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400</w:t>
                  </w:r>
                </w:p>
              </w:tc>
              <w:tc>
                <w:tcPr>
                  <w:tcW w:w="431" w:type="pct"/>
                  <w:tcBorders>
                    <w:top w:val="nil"/>
                    <w:left w:val="single" w:color="auto" w:sz="4" w:space="0"/>
                    <w:bottom w:val="single" w:color="auto" w:sz="4" w:space="0"/>
                    <w:right w:val="single" w:color="auto" w:sz="4" w:space="0"/>
                  </w:tcBorders>
                  <w:vAlign w:val="center"/>
                </w:tcPr>
                <w:p w14:paraId="6FB434FF">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6F6212BF">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400</w:t>
                  </w:r>
                </w:p>
              </w:tc>
            </w:tr>
            <w:tr w14:paraId="2B57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68" w:type="pct"/>
                  <w:vAlign w:val="center"/>
                </w:tcPr>
                <w:p w14:paraId="6B638E6F">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CaCl</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tc>
              <w:tc>
                <w:tcPr>
                  <w:tcW w:w="1068" w:type="pct"/>
                  <w:gridSpan w:val="2"/>
                  <w:vAlign w:val="center"/>
                </w:tcPr>
                <w:p w14:paraId="655C2DA9">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tcBorders>
                    <w:top w:val="nil"/>
                    <w:left w:val="single" w:color="auto" w:sz="4" w:space="0"/>
                    <w:bottom w:val="single" w:color="auto" w:sz="4" w:space="0"/>
                    <w:right w:val="single" w:color="auto" w:sz="4" w:space="0"/>
                  </w:tcBorders>
                  <w:vAlign w:val="center"/>
                </w:tcPr>
                <w:p w14:paraId="1C50979F">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5AD55F77">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30</w:t>
                  </w:r>
                </w:p>
              </w:tc>
              <w:tc>
                <w:tcPr>
                  <w:tcW w:w="431" w:type="pct"/>
                  <w:tcBorders>
                    <w:top w:val="nil"/>
                    <w:left w:val="single" w:color="auto" w:sz="4" w:space="0"/>
                    <w:bottom w:val="single" w:color="auto" w:sz="4" w:space="0"/>
                    <w:right w:val="single" w:color="auto" w:sz="4" w:space="0"/>
                  </w:tcBorders>
                  <w:vAlign w:val="center"/>
                </w:tcPr>
                <w:p w14:paraId="46BC349E">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3D3B69D0">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30</w:t>
                  </w:r>
                </w:p>
              </w:tc>
            </w:tr>
            <w:tr w14:paraId="6F34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68" w:type="pct"/>
                  <w:vAlign w:val="center"/>
                </w:tcPr>
                <w:p w14:paraId="4BF0ECD8">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TYODF-301/XZ-OZR</w:t>
                  </w:r>
                </w:p>
              </w:tc>
              <w:tc>
                <w:tcPr>
                  <w:tcW w:w="1068" w:type="pct"/>
                  <w:gridSpan w:val="2"/>
                  <w:vAlign w:val="center"/>
                </w:tcPr>
                <w:p w14:paraId="74BB07F0">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tcBorders>
                    <w:top w:val="nil"/>
                    <w:left w:val="single" w:color="auto" w:sz="4" w:space="0"/>
                    <w:bottom w:val="single" w:color="auto" w:sz="4" w:space="0"/>
                    <w:right w:val="single" w:color="auto" w:sz="4" w:space="0"/>
                  </w:tcBorders>
                  <w:vAlign w:val="center"/>
                </w:tcPr>
                <w:p w14:paraId="462C6A7D">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30FE1142">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c>
                <w:tcPr>
                  <w:tcW w:w="431" w:type="pct"/>
                  <w:tcBorders>
                    <w:top w:val="nil"/>
                    <w:left w:val="single" w:color="auto" w:sz="4" w:space="0"/>
                    <w:bottom w:val="single" w:color="auto" w:sz="4" w:space="0"/>
                    <w:right w:val="single" w:color="auto" w:sz="4" w:space="0"/>
                  </w:tcBorders>
                  <w:vAlign w:val="center"/>
                </w:tcPr>
                <w:p w14:paraId="1DE8CE45">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073DF6E0">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r>
            <w:tr w14:paraId="3B47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50DCBC6D">
                  <w:pPr>
                    <w:spacing w:line="300" w:lineRule="exact"/>
                    <w:jc w:val="center"/>
                    <w:rPr>
                      <w:rFonts w:hint="default" w:ascii="Times New Roman" w:hAnsi="Times New Roman" w:eastAsia="宋体" w:cs="Times New Roman"/>
                      <w:strike/>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TYODF-401/XZ-OFR</w:t>
                  </w:r>
                </w:p>
              </w:tc>
              <w:tc>
                <w:tcPr>
                  <w:tcW w:w="1068" w:type="pct"/>
                  <w:gridSpan w:val="2"/>
                  <w:vAlign w:val="center"/>
                </w:tcPr>
                <w:p w14:paraId="3F3592D1">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tcBorders>
                    <w:top w:val="nil"/>
                    <w:left w:val="single" w:color="auto" w:sz="4" w:space="0"/>
                    <w:bottom w:val="single" w:color="auto" w:sz="4" w:space="0"/>
                    <w:right w:val="single" w:color="auto" w:sz="4" w:space="0"/>
                  </w:tcBorders>
                  <w:vAlign w:val="center"/>
                </w:tcPr>
                <w:p w14:paraId="054E2103">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215535B3">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c>
                <w:tcPr>
                  <w:tcW w:w="431" w:type="pct"/>
                  <w:tcBorders>
                    <w:top w:val="nil"/>
                    <w:left w:val="single" w:color="auto" w:sz="4" w:space="0"/>
                    <w:bottom w:val="single" w:color="auto" w:sz="4" w:space="0"/>
                    <w:right w:val="single" w:color="auto" w:sz="4" w:space="0"/>
                  </w:tcBorders>
                  <w:vAlign w:val="center"/>
                </w:tcPr>
                <w:p w14:paraId="5CF9E40D">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79AEA042">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r>
            <w:tr w14:paraId="231D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2ED14686">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TYODF-501/XZ-ORS</w:t>
                  </w:r>
                </w:p>
              </w:tc>
              <w:tc>
                <w:tcPr>
                  <w:tcW w:w="1068" w:type="pct"/>
                  <w:gridSpan w:val="2"/>
                  <w:vAlign w:val="center"/>
                </w:tcPr>
                <w:p w14:paraId="2D8B5D58">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tcBorders>
                    <w:top w:val="nil"/>
                    <w:left w:val="single" w:color="auto" w:sz="4" w:space="0"/>
                    <w:bottom w:val="single" w:color="auto" w:sz="4" w:space="0"/>
                    <w:right w:val="single" w:color="auto" w:sz="4" w:space="0"/>
                  </w:tcBorders>
                  <w:vAlign w:val="center"/>
                </w:tcPr>
                <w:p w14:paraId="5688CA91">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58CFEF19">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10</w:t>
                  </w:r>
                </w:p>
              </w:tc>
              <w:tc>
                <w:tcPr>
                  <w:tcW w:w="431" w:type="pct"/>
                  <w:tcBorders>
                    <w:top w:val="nil"/>
                    <w:left w:val="single" w:color="auto" w:sz="4" w:space="0"/>
                    <w:bottom w:val="single" w:color="auto" w:sz="4" w:space="0"/>
                    <w:right w:val="single" w:color="auto" w:sz="4" w:space="0"/>
                  </w:tcBorders>
                  <w:vAlign w:val="center"/>
                </w:tcPr>
                <w:p w14:paraId="3C14646E">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755D9B56">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10</w:t>
                  </w:r>
                </w:p>
              </w:tc>
            </w:tr>
            <w:tr w14:paraId="3D88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30986302">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TYODF-601/LH-OC</w:t>
                  </w:r>
                </w:p>
              </w:tc>
              <w:tc>
                <w:tcPr>
                  <w:tcW w:w="1068" w:type="pct"/>
                  <w:gridSpan w:val="2"/>
                  <w:vAlign w:val="center"/>
                </w:tcPr>
                <w:p w14:paraId="611B1D57">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tcBorders>
                    <w:top w:val="nil"/>
                    <w:left w:val="single" w:color="auto" w:sz="4" w:space="0"/>
                    <w:bottom w:val="single" w:color="auto" w:sz="4" w:space="0"/>
                    <w:right w:val="single" w:color="auto" w:sz="4" w:space="0"/>
                  </w:tcBorders>
                  <w:vAlign w:val="center"/>
                </w:tcPr>
                <w:p w14:paraId="684175BC">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324E930D">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c>
                <w:tcPr>
                  <w:tcW w:w="431" w:type="pct"/>
                  <w:tcBorders>
                    <w:top w:val="nil"/>
                    <w:left w:val="single" w:color="auto" w:sz="4" w:space="0"/>
                    <w:bottom w:val="single" w:color="auto" w:sz="4" w:space="0"/>
                    <w:right w:val="single" w:color="auto" w:sz="4" w:space="0"/>
                  </w:tcBorders>
                  <w:vAlign w:val="center"/>
                </w:tcPr>
                <w:p w14:paraId="0B6C26D4">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4F1A42F8">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r>
            <w:tr w14:paraId="1211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26957AF2">
                  <w:pPr>
                    <w:spacing w:line="300" w:lineRule="exact"/>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XZ-OJL</w:t>
                  </w:r>
                </w:p>
              </w:tc>
              <w:tc>
                <w:tcPr>
                  <w:tcW w:w="1068" w:type="pct"/>
                  <w:gridSpan w:val="2"/>
                  <w:vAlign w:val="center"/>
                </w:tcPr>
                <w:p w14:paraId="4F9A5288">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tcBorders>
                    <w:top w:val="nil"/>
                    <w:left w:val="single" w:color="auto" w:sz="4" w:space="0"/>
                    <w:bottom w:val="single" w:color="auto" w:sz="4" w:space="0"/>
                    <w:right w:val="single" w:color="auto" w:sz="4" w:space="0"/>
                  </w:tcBorders>
                  <w:vAlign w:val="center"/>
                </w:tcPr>
                <w:p w14:paraId="6E5D0338">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0151770E">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c>
                <w:tcPr>
                  <w:tcW w:w="431" w:type="pct"/>
                  <w:tcBorders>
                    <w:top w:val="nil"/>
                    <w:left w:val="single" w:color="auto" w:sz="4" w:space="0"/>
                    <w:bottom w:val="single" w:color="auto" w:sz="4" w:space="0"/>
                    <w:right w:val="single" w:color="auto" w:sz="4" w:space="0"/>
                  </w:tcBorders>
                  <w:vAlign w:val="center"/>
                </w:tcPr>
                <w:p w14:paraId="2D51035E">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17FAF83B">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r>
            <w:tr w14:paraId="677E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68" w:type="pct"/>
                  <w:vAlign w:val="center"/>
                </w:tcPr>
                <w:p w14:paraId="4B629235">
                  <w:pPr>
                    <w:spacing w:line="300" w:lineRule="exact"/>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FT-401/LH-LQ/ZK601</w:t>
                  </w:r>
                </w:p>
              </w:tc>
              <w:tc>
                <w:tcPr>
                  <w:tcW w:w="1068" w:type="pct"/>
                  <w:gridSpan w:val="2"/>
                  <w:vAlign w:val="center"/>
                </w:tcPr>
                <w:p w14:paraId="1F8FCCD1">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tcBorders>
                    <w:top w:val="nil"/>
                    <w:left w:val="single" w:color="auto" w:sz="4" w:space="0"/>
                    <w:bottom w:val="single" w:color="auto" w:sz="4" w:space="0"/>
                    <w:right w:val="single" w:color="auto" w:sz="4" w:space="0"/>
                  </w:tcBorders>
                  <w:vAlign w:val="center"/>
                </w:tcPr>
                <w:p w14:paraId="6AB129B7">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tcBorders>
                    <w:top w:val="nil"/>
                    <w:left w:val="single" w:color="auto" w:sz="4" w:space="0"/>
                    <w:bottom w:val="single" w:color="auto" w:sz="4" w:space="0"/>
                    <w:right w:val="single" w:color="auto" w:sz="4" w:space="0"/>
                  </w:tcBorders>
                  <w:vAlign w:val="center"/>
                </w:tcPr>
                <w:p w14:paraId="299A4FBD">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20</w:t>
                  </w:r>
                </w:p>
              </w:tc>
              <w:tc>
                <w:tcPr>
                  <w:tcW w:w="431" w:type="pct"/>
                  <w:tcBorders>
                    <w:top w:val="nil"/>
                    <w:left w:val="single" w:color="auto" w:sz="4" w:space="0"/>
                    <w:bottom w:val="single" w:color="auto" w:sz="4" w:space="0"/>
                    <w:right w:val="single" w:color="auto" w:sz="4" w:space="0"/>
                  </w:tcBorders>
                  <w:vAlign w:val="center"/>
                </w:tcPr>
                <w:p w14:paraId="1FF1BB9C">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tcBorders>
                    <w:top w:val="nil"/>
                    <w:left w:val="single" w:color="auto" w:sz="4" w:space="0"/>
                    <w:bottom w:val="single" w:color="auto" w:sz="4" w:space="0"/>
                    <w:right w:val="single" w:color="auto" w:sz="4" w:space="0"/>
                  </w:tcBorders>
                  <w:vAlign w:val="bottom"/>
                </w:tcPr>
                <w:p w14:paraId="17B7211F">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20</w:t>
                  </w:r>
                </w:p>
              </w:tc>
            </w:tr>
            <w:tr w14:paraId="099B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773887F9">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YL-XD/XZ-DL8</w:t>
                  </w:r>
                </w:p>
              </w:tc>
              <w:tc>
                <w:tcPr>
                  <w:tcW w:w="1068" w:type="pct"/>
                  <w:gridSpan w:val="2"/>
                  <w:vAlign w:val="center"/>
                </w:tcPr>
                <w:p w14:paraId="4EC54C73">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0212AE53">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vAlign w:val="center"/>
                </w:tcPr>
                <w:p w14:paraId="21B651C3">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c>
                <w:tcPr>
                  <w:tcW w:w="431" w:type="pct"/>
                  <w:vAlign w:val="center"/>
                </w:tcPr>
                <w:p w14:paraId="6A6B74BD">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376A71C5">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15</w:t>
                  </w:r>
                </w:p>
              </w:tc>
            </w:tr>
            <w:tr w14:paraId="15FE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275BE8D5">
                  <w:pPr>
                    <w:spacing w:line="300" w:lineRule="exact"/>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超细碳酸钙/ZS-3/ZS-5</w:t>
                  </w:r>
                </w:p>
              </w:tc>
              <w:tc>
                <w:tcPr>
                  <w:tcW w:w="1068" w:type="pct"/>
                  <w:gridSpan w:val="2"/>
                  <w:vAlign w:val="center"/>
                </w:tcPr>
                <w:p w14:paraId="0BFFE822">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73790F07">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841" w:type="pct"/>
                  <w:vAlign w:val="center"/>
                </w:tcPr>
                <w:p w14:paraId="064285F8">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25</w:t>
                  </w:r>
                </w:p>
              </w:tc>
              <w:tc>
                <w:tcPr>
                  <w:tcW w:w="431" w:type="pct"/>
                  <w:vAlign w:val="center"/>
                </w:tcPr>
                <w:p w14:paraId="411A297A">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23B5F182">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25</w:t>
                  </w:r>
                </w:p>
              </w:tc>
            </w:tr>
            <w:tr w14:paraId="6CF1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68" w:type="pct"/>
                  <w:vAlign w:val="center"/>
                </w:tcPr>
                <w:p w14:paraId="6A22E6A9">
                  <w:pPr>
                    <w:spacing w:line="300" w:lineRule="exact"/>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CaO</w:t>
                  </w:r>
                </w:p>
              </w:tc>
              <w:tc>
                <w:tcPr>
                  <w:tcW w:w="1068" w:type="pct"/>
                  <w:gridSpan w:val="2"/>
                  <w:vAlign w:val="center"/>
                </w:tcPr>
                <w:p w14:paraId="57F7DCCD">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5ADE8488">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841" w:type="pct"/>
                  <w:vAlign w:val="center"/>
                </w:tcPr>
                <w:p w14:paraId="258F2A01">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10</w:t>
                  </w:r>
                </w:p>
              </w:tc>
              <w:tc>
                <w:tcPr>
                  <w:tcW w:w="431" w:type="pct"/>
                  <w:vAlign w:val="center"/>
                </w:tcPr>
                <w:p w14:paraId="004B1E9E">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87" w:type="pct"/>
                  <w:vAlign w:val="bottom"/>
                </w:tcPr>
                <w:p w14:paraId="5CE233FE">
                  <w:pPr>
                    <w:jc w:val="center"/>
                    <w:textAlignment w:val="bottom"/>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10</w:t>
                  </w:r>
                </w:p>
              </w:tc>
            </w:tr>
            <w:tr w14:paraId="12D0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05A164B1">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801</w:t>
                  </w:r>
                </w:p>
              </w:tc>
              <w:tc>
                <w:tcPr>
                  <w:tcW w:w="1068" w:type="pct"/>
                  <w:gridSpan w:val="2"/>
                  <w:vAlign w:val="center"/>
                </w:tcPr>
                <w:p w14:paraId="1BA09220">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7A129576">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16</w:t>
                  </w:r>
                </w:p>
              </w:tc>
              <w:tc>
                <w:tcPr>
                  <w:tcW w:w="841" w:type="pct"/>
                  <w:vAlign w:val="center"/>
                </w:tcPr>
                <w:p w14:paraId="35FCC6C8">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vAlign w:val="center"/>
                </w:tcPr>
                <w:p w14:paraId="3D62A453">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0C46CA70">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16</w:t>
                  </w:r>
                </w:p>
              </w:tc>
            </w:tr>
            <w:tr w14:paraId="02B5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741569D6">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SP-8/REDU1</w:t>
                  </w:r>
                </w:p>
              </w:tc>
              <w:tc>
                <w:tcPr>
                  <w:tcW w:w="1068" w:type="pct"/>
                  <w:gridSpan w:val="2"/>
                  <w:vAlign w:val="center"/>
                </w:tcPr>
                <w:p w14:paraId="748A3CA3">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764529D4">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5.5</w:t>
                  </w:r>
                </w:p>
              </w:tc>
              <w:tc>
                <w:tcPr>
                  <w:tcW w:w="841" w:type="pct"/>
                  <w:vAlign w:val="center"/>
                </w:tcPr>
                <w:p w14:paraId="5662AA84">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vAlign w:val="center"/>
                </w:tcPr>
                <w:p w14:paraId="22347793">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51DC1246">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5.5</w:t>
                  </w:r>
                </w:p>
              </w:tc>
            </w:tr>
            <w:tr w14:paraId="3F79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1A2D7C19">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超细碳酸钙/ZS-3/ZS-5</w:t>
                  </w:r>
                </w:p>
              </w:tc>
              <w:tc>
                <w:tcPr>
                  <w:tcW w:w="1068" w:type="pct"/>
                  <w:gridSpan w:val="2"/>
                  <w:vAlign w:val="center"/>
                </w:tcPr>
                <w:p w14:paraId="5DFE8DD8">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0994823F">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27</w:t>
                  </w:r>
                </w:p>
              </w:tc>
              <w:tc>
                <w:tcPr>
                  <w:tcW w:w="841" w:type="pct"/>
                  <w:vAlign w:val="center"/>
                </w:tcPr>
                <w:p w14:paraId="21555825">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vAlign w:val="center"/>
                </w:tcPr>
                <w:p w14:paraId="62235230">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0014F7F9">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27</w:t>
                  </w:r>
                </w:p>
              </w:tc>
            </w:tr>
            <w:tr w14:paraId="567E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3BF7F000">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KCl</w:t>
                  </w:r>
                </w:p>
              </w:tc>
              <w:tc>
                <w:tcPr>
                  <w:tcW w:w="1068" w:type="pct"/>
                  <w:gridSpan w:val="2"/>
                  <w:vAlign w:val="center"/>
                </w:tcPr>
                <w:p w14:paraId="31BEF981">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0676AAF9">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37</w:t>
                  </w:r>
                </w:p>
              </w:tc>
              <w:tc>
                <w:tcPr>
                  <w:tcW w:w="841" w:type="pct"/>
                  <w:vAlign w:val="center"/>
                </w:tcPr>
                <w:p w14:paraId="1189D585">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vAlign w:val="center"/>
                </w:tcPr>
                <w:p w14:paraId="6FD11898">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43A971C9">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37</w:t>
                  </w:r>
                </w:p>
              </w:tc>
            </w:tr>
            <w:tr w14:paraId="58B7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6083EC70">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NaCl</w:t>
                  </w:r>
                </w:p>
              </w:tc>
              <w:tc>
                <w:tcPr>
                  <w:tcW w:w="1068" w:type="pct"/>
                  <w:gridSpan w:val="2"/>
                  <w:vAlign w:val="center"/>
                </w:tcPr>
                <w:p w14:paraId="40127DB2">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206CFCEB">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106</w:t>
                  </w:r>
                </w:p>
              </w:tc>
              <w:tc>
                <w:tcPr>
                  <w:tcW w:w="841" w:type="pct"/>
                  <w:vAlign w:val="center"/>
                </w:tcPr>
                <w:p w14:paraId="102F8264">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vAlign w:val="center"/>
                </w:tcPr>
                <w:p w14:paraId="09A9E097">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5519C56A">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106</w:t>
                  </w:r>
                </w:p>
              </w:tc>
            </w:tr>
            <w:tr w14:paraId="52A6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0C4733B0">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YN-YL/KR-n/FT-401</w:t>
                  </w:r>
                </w:p>
              </w:tc>
              <w:tc>
                <w:tcPr>
                  <w:tcW w:w="1068" w:type="pct"/>
                  <w:gridSpan w:val="2"/>
                  <w:vAlign w:val="center"/>
                </w:tcPr>
                <w:p w14:paraId="2296977E">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063E8B3A">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27</w:t>
                  </w:r>
                </w:p>
              </w:tc>
              <w:tc>
                <w:tcPr>
                  <w:tcW w:w="841" w:type="pct"/>
                  <w:vAlign w:val="center"/>
                </w:tcPr>
                <w:p w14:paraId="286FEA5E">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431" w:type="pct"/>
                  <w:vAlign w:val="center"/>
                </w:tcPr>
                <w:p w14:paraId="687ED7C3">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652835D8">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27</w:t>
                  </w:r>
                </w:p>
              </w:tc>
            </w:tr>
            <w:tr w14:paraId="45E6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5AE6F692">
                  <w:pPr>
                    <w:jc w:val="center"/>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堵漏剂</w:t>
                  </w:r>
                </w:p>
              </w:tc>
              <w:tc>
                <w:tcPr>
                  <w:tcW w:w="1068" w:type="pct"/>
                  <w:gridSpan w:val="2"/>
                  <w:vAlign w:val="center"/>
                </w:tcPr>
                <w:p w14:paraId="698E3619">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602" w:type="pct"/>
                  <w:vAlign w:val="center"/>
                </w:tcPr>
                <w:p w14:paraId="0FBE4EFA">
                  <w:pPr>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841" w:type="pct"/>
                  <w:vAlign w:val="center"/>
                </w:tcPr>
                <w:p w14:paraId="12E883E5">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w:t>
                  </w:r>
                </w:p>
              </w:tc>
              <w:tc>
                <w:tcPr>
                  <w:tcW w:w="431" w:type="pct"/>
                  <w:vAlign w:val="center"/>
                </w:tcPr>
                <w:p w14:paraId="7D18AF12">
                  <w:pPr>
                    <w:jc w:val="center"/>
                    <w:rPr>
                      <w:rFonts w:hint="default" w:ascii="Times New Roman" w:hAnsi="Times New Roman" w:eastAsia="宋体" w:cs="Times New Roman"/>
                      <w:color w:val="000000" w:themeColor="text1"/>
                      <w:highlight w:val="none"/>
                      <w:lang w:bidi="ar"/>
                      <w14:textFill>
                        <w14:solidFill>
                          <w14:schemeClr w14:val="tx1"/>
                        </w14:solidFill>
                      </w14:textFill>
                    </w:rPr>
                  </w:pPr>
                </w:p>
              </w:tc>
              <w:tc>
                <w:tcPr>
                  <w:tcW w:w="487" w:type="pct"/>
                  <w:vAlign w:val="bottom"/>
                </w:tcPr>
                <w:p w14:paraId="37013F4C">
                  <w:pPr>
                    <w:jc w:val="center"/>
                    <w:textAlignment w:val="bottom"/>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5</w:t>
                  </w:r>
                </w:p>
              </w:tc>
            </w:tr>
            <w:tr w14:paraId="26C0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000" w:type="pct"/>
                  <w:gridSpan w:val="7"/>
                  <w:vAlign w:val="center"/>
                </w:tcPr>
                <w:p w14:paraId="122B6B52">
                  <w:pPr>
                    <w:pStyle w:val="37"/>
                    <w:ind w:firstLine="420"/>
                    <w:jc w:val="center"/>
                    <w:rPr>
                      <w:rFonts w:hint="default" w:ascii="Times New Roman" w:hAnsi="Times New Roman" w:eastAsia="宋体" w:cs="Times New Roman"/>
                      <w:b w:val="0"/>
                      <w:color w:val="000000" w:themeColor="text1"/>
                      <w:highlight w:val="none"/>
                      <w:lang w:bidi="ar"/>
                      <w14:textFill>
                        <w14:solidFill>
                          <w14:schemeClr w14:val="tx1"/>
                        </w14:solidFill>
                      </w14:textFill>
                    </w:rPr>
                  </w:pPr>
                  <w:r>
                    <w:rPr>
                      <w:rFonts w:hint="default" w:ascii="Times New Roman" w:hAnsi="Times New Roman" w:eastAsia="宋体" w:cs="Times New Roman"/>
                      <w:b w:val="0"/>
                      <w:color w:val="000000" w:themeColor="text1"/>
                      <w:highlight w:val="none"/>
                      <w14:textFill>
                        <w14:solidFill>
                          <w14:schemeClr w14:val="tx1"/>
                        </w14:solidFill>
                      </w14:textFill>
                    </w:rPr>
                    <w:t>钻井液材料具体用量根据实际情况决定。</w:t>
                  </w:r>
                </w:p>
              </w:tc>
            </w:tr>
          </w:tbl>
          <w:p w14:paraId="38992CE7">
            <w:pPr>
              <w:pStyle w:val="9"/>
              <w:widowControl w:val="0"/>
              <w:kinsoku/>
              <w:jc w:val="both"/>
              <w:rPr>
                <w:rFonts w:hint="default" w:ascii="Times New Roman" w:hAnsi="Times New Roman" w:eastAsia="宋体" w:cs="Times New Roman"/>
                <w:color w:val="000000" w:themeColor="text1"/>
                <w:lang w:eastAsia="zh-CN"/>
                <w14:textFill>
                  <w14:solidFill>
                    <w14:schemeClr w14:val="tx1"/>
                  </w14:solidFill>
                </w14:textFill>
              </w:rPr>
            </w:pPr>
          </w:p>
          <w:p w14:paraId="675C6EF6">
            <w:pPr>
              <w:pStyle w:val="9"/>
              <w:widowControl w:val="0"/>
              <w:kinsoku/>
              <w:spacing w:line="281" w:lineRule="auto"/>
              <w:jc w:val="both"/>
              <w:rPr>
                <w:rFonts w:hint="default" w:ascii="Times New Roman" w:hAnsi="Times New Roman" w:eastAsia="宋体" w:cs="Times New Roman"/>
                <w:color w:val="000000" w:themeColor="text1"/>
                <w:lang w:eastAsia="zh-CN"/>
                <w14:textFill>
                  <w14:solidFill>
                    <w14:schemeClr w14:val="tx1"/>
                  </w14:solidFill>
                </w14:textFill>
              </w:rPr>
            </w:pPr>
          </w:p>
          <w:p w14:paraId="23951C5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钻井液体系选择的地质与工程合理性论证： 本项目两口评价井的井身结构设计为三开水平井（设计井深5000m），其各开次钻井液体系的选择（二开采用油基体系，三开采用水基复合盐体系）是结合准噶尔盆地特定地质特征及工程需求综合决定的，具有充分的合理性和科学性：</w:t>
            </w:r>
          </w:p>
          <w:p w14:paraId="31CD48C8">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二开井段长达2300m，该层段通常需钻穿大段的泥岩、页岩等地层。准噶尔盆地中浅层泥页岩水化膨胀性极强，若使用常规水基钻井液，极易引发泥岩吸水膨胀、剥落，导致严重的井壁坍塌、缩径及卡钻等复杂工程事故。此外，该井段包含水平井的造斜段，摩阻扭矩大。油基钻井液（以白油/柴油为连续相）具有极强的抑制性（不引起黏土水化）和优异的润滑性能，能有效保障长裸眼井段的井壁稳定，降低摩阻，是确保安全、顺利钻达目的层的技术必然选择。</w:t>
            </w:r>
          </w:p>
          <w:p w14:paraId="22B5324A">
            <w:pPr>
              <w:widowControl w:val="0"/>
              <w:kinsoku/>
              <w:spacing w:line="500" w:lineRule="exact"/>
              <w:ind w:firstLine="480" w:firstLineChars="200"/>
              <w:jc w:val="both"/>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三开井段为目的层水平段，此时套管已将上部易塌的复杂地层封固。在储层段转用水基复合盐钻井液主要基于以下原因：①储层保护需求： 复合盐钻井液（含有5-7% KCl和10-20% NaCl）通过合理的盐度匹配，一方面利用钾离子的强抑制性防止储层中敏感性黏土矿物膨胀，另一方面避免了油基钻井液侵入地层后可能引发的原油乳化堵塞，更有利于后续的试油求产和储层保护。②录井与地质评价需求： 评价井的核心任务是探明油气藏。水基钻井液不会像油基泥浆那样掩盖地层真实的油气显示，能提供更准确的录井数据和测井解释参数。③环保与经济效益考量： 三开水平段产生的岩屑量虽相对较小，但在满足工程和储层保护前提下，使用水基体系可大幅减少危险废物的产生量，符合固废“减量化”原则，同时降低了油基泥浆的昂贵成本。 综上所述，二开使用油基体系着眼于“防塌防卡、安全钻进”，三开改用水基复合盐体系着眼于“保护储层、准确评价及环保减排”，两者结合既保障了工程安全，又最大限度降低了环境风险，体系选择合理。</w:t>
            </w:r>
          </w:p>
          <w:p w14:paraId="3B0CFDF5">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7.压裂液成分</w:t>
            </w:r>
          </w:p>
          <w:p w14:paraId="7C7779EA">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根据建设单位提供的资料，压裂液主要成分为胍胶、复合添加剂及交联剂等，压裂液成分见表2-12。</w:t>
            </w:r>
          </w:p>
          <w:p w14:paraId="0E8D0504">
            <w:pPr>
              <w:widowControl w:val="0"/>
              <w:kinsoku/>
              <w:spacing w:line="5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表2-12 压裂液成分表</w:t>
            </w:r>
          </w:p>
          <w:tbl>
            <w:tblPr>
              <w:tblStyle w:val="17"/>
              <w:tblW w:w="82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3035"/>
              <w:gridCol w:w="4211"/>
            </w:tblGrid>
            <w:tr w14:paraId="49F4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top w:val="single" w:color="auto" w:sz="4" w:space="0"/>
                    <w:left w:val="single" w:color="auto" w:sz="0" w:space="0"/>
                    <w:tl2br w:val="nil"/>
                  </w:tcBorders>
                  <w:shd w:val="clear" w:color="auto" w:fill="FFFFFF"/>
                  <w:vAlign w:val="center"/>
                </w:tcPr>
                <w:p w14:paraId="5306196F">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c>
                <w:tcPr>
                  <w:tcW w:w="3035" w:type="dxa"/>
                  <w:tcBorders>
                    <w:top w:val="single" w:color="auto" w:sz="4" w:space="0"/>
                  </w:tcBorders>
                  <w:shd w:val="clear" w:color="auto" w:fill="FFFFFF"/>
                  <w:vAlign w:val="center"/>
                </w:tcPr>
                <w:p w14:paraId="2C0A8CE5">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压裂基液配方</w:t>
                  </w:r>
                </w:p>
              </w:tc>
              <w:tc>
                <w:tcPr>
                  <w:tcW w:w="4211" w:type="dxa"/>
                  <w:tcBorders>
                    <w:top w:val="single" w:color="auto" w:sz="4" w:space="0"/>
                    <w:right w:val="single" w:color="auto" w:sz="4" w:space="0"/>
                  </w:tcBorders>
                  <w:shd w:val="clear" w:color="auto" w:fill="FFFFFF"/>
                  <w:vAlign w:val="center"/>
                </w:tcPr>
                <w:p w14:paraId="2BCBF14E">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0.4%胍胶+0.2%复合添加剂+0.3%交联剂</w:t>
                  </w:r>
                </w:p>
              </w:tc>
            </w:tr>
            <w:tr w14:paraId="0A00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556B05DD">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w:t>
                  </w:r>
                </w:p>
              </w:tc>
              <w:tc>
                <w:tcPr>
                  <w:tcW w:w="3035" w:type="dxa"/>
                  <w:shd w:val="clear" w:color="auto" w:fill="FFFFFF"/>
                  <w:vAlign w:val="center"/>
                </w:tcPr>
                <w:p w14:paraId="05CCC3F5">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交联比</w:t>
                  </w:r>
                </w:p>
              </w:tc>
              <w:tc>
                <w:tcPr>
                  <w:tcW w:w="4211" w:type="dxa"/>
                  <w:tcBorders>
                    <w:right w:val="single" w:color="auto" w:sz="4" w:space="0"/>
                  </w:tcBorders>
                  <w:shd w:val="clear" w:color="auto" w:fill="FFFFFF"/>
                  <w:vAlign w:val="center"/>
                </w:tcPr>
                <w:p w14:paraId="1B864B39">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0.3%交联剂</w:t>
                  </w:r>
                </w:p>
              </w:tc>
            </w:tr>
            <w:tr w14:paraId="7144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521C8B3C">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p>
              </w:tc>
              <w:tc>
                <w:tcPr>
                  <w:tcW w:w="3035" w:type="dxa"/>
                  <w:shd w:val="clear" w:color="auto" w:fill="FFFFFF"/>
                  <w:vAlign w:val="center"/>
                </w:tcPr>
                <w:p w14:paraId="2C16555D">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基液粘度</w:t>
                  </w:r>
                </w:p>
              </w:tc>
              <w:tc>
                <w:tcPr>
                  <w:tcW w:w="4211" w:type="dxa"/>
                  <w:tcBorders>
                    <w:right w:val="single" w:color="auto" w:sz="4" w:space="0"/>
                  </w:tcBorders>
                  <w:shd w:val="clear" w:color="auto" w:fill="FFFFFF"/>
                  <w:vAlign w:val="center"/>
                </w:tcPr>
                <w:p w14:paraId="6FD59F15">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30~40mPa·s</w:t>
                  </w:r>
                </w:p>
              </w:tc>
            </w:tr>
            <w:tr w14:paraId="48FD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7A93F155">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4</w:t>
                  </w:r>
                </w:p>
              </w:tc>
              <w:tc>
                <w:tcPr>
                  <w:tcW w:w="3035" w:type="dxa"/>
                  <w:shd w:val="clear" w:color="auto" w:fill="FFFFFF"/>
                  <w:vAlign w:val="center"/>
                </w:tcPr>
                <w:p w14:paraId="189E5194">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冻胶粘度</w:t>
                  </w:r>
                </w:p>
              </w:tc>
              <w:tc>
                <w:tcPr>
                  <w:tcW w:w="4211" w:type="dxa"/>
                  <w:tcBorders>
                    <w:right w:val="single" w:color="auto" w:sz="4" w:space="0"/>
                  </w:tcBorders>
                  <w:shd w:val="clear" w:color="auto" w:fill="FFFFFF"/>
                  <w:vAlign w:val="center"/>
                </w:tcPr>
                <w:p w14:paraId="0CAC4C72">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220mPa·s</w:t>
                  </w:r>
                </w:p>
              </w:tc>
            </w:tr>
            <w:tr w14:paraId="44E3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3E89D42E">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w:t>
                  </w:r>
                </w:p>
              </w:tc>
              <w:tc>
                <w:tcPr>
                  <w:tcW w:w="3035" w:type="dxa"/>
                  <w:shd w:val="clear" w:color="auto" w:fill="FFFFFF"/>
                  <w:vAlign w:val="center"/>
                </w:tcPr>
                <w:p w14:paraId="489DADF2">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pH值</w:t>
                  </w:r>
                </w:p>
              </w:tc>
              <w:tc>
                <w:tcPr>
                  <w:tcW w:w="4211" w:type="dxa"/>
                  <w:tcBorders>
                    <w:right w:val="single" w:color="auto" w:sz="4" w:space="0"/>
                  </w:tcBorders>
                  <w:shd w:val="clear" w:color="auto" w:fill="FFFFFF"/>
                  <w:vAlign w:val="center"/>
                </w:tcPr>
                <w:p w14:paraId="6426F075">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9~10</w:t>
                  </w:r>
                </w:p>
              </w:tc>
            </w:tr>
            <w:tr w14:paraId="2944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bottom w:val="single" w:color="auto" w:sz="4" w:space="0"/>
                  </w:tcBorders>
                  <w:shd w:val="clear" w:color="auto" w:fill="FFFFFF"/>
                  <w:vAlign w:val="center"/>
                </w:tcPr>
                <w:p w14:paraId="6C7D0897">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w:t>
                  </w:r>
                </w:p>
              </w:tc>
              <w:tc>
                <w:tcPr>
                  <w:tcW w:w="3035" w:type="dxa"/>
                  <w:tcBorders>
                    <w:bottom w:val="single" w:color="auto" w:sz="4" w:space="0"/>
                  </w:tcBorders>
                  <w:shd w:val="clear" w:color="auto" w:fill="FFFFFF"/>
                  <w:vAlign w:val="center"/>
                </w:tcPr>
                <w:p w14:paraId="13BF8457">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滑溜水配方</w:t>
                  </w:r>
                </w:p>
              </w:tc>
              <w:tc>
                <w:tcPr>
                  <w:tcW w:w="4211" w:type="dxa"/>
                  <w:tcBorders>
                    <w:bottom w:val="single" w:color="auto" w:sz="4" w:space="0"/>
                    <w:right w:val="single" w:color="auto" w:sz="4" w:space="0"/>
                  </w:tcBorders>
                  <w:shd w:val="clear" w:color="auto" w:fill="FFFFFF"/>
                  <w:vAlign w:val="center"/>
                </w:tcPr>
                <w:p w14:paraId="3544BE45">
                  <w:pPr>
                    <w:widowControl w:val="0"/>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0.05%～0.2%环保型减阻剂</w:t>
                  </w:r>
                </w:p>
              </w:tc>
            </w:tr>
            <w:bookmarkEnd w:id="15"/>
          </w:tbl>
          <w:p w14:paraId="24E14FDA">
            <w:pPr>
              <w:pStyle w:val="22"/>
              <w:widowControl w:val="0"/>
              <w:numPr>
                <w:ilvl w:val="0"/>
                <w:numId w:val="4"/>
              </w:numPr>
              <w:kinsoku/>
              <w:spacing w:before="283" w:line="228" w:lineRule="auto"/>
              <w:jc w:val="both"/>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t xml:space="preserve">原辅材料及燃料消耗汇总 </w:t>
            </w:r>
          </w:p>
          <w:p w14:paraId="1BC00DF3">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 xml:space="preserve">本工程主要原辅材料及燃料消耗情况如下： </w:t>
            </w:r>
          </w:p>
          <w:p w14:paraId="0A49A0E2">
            <w:pPr>
              <w:widowControl w:val="0"/>
              <w:numPr>
                <w:ilvl w:val="0"/>
                <w:numId w:val="5"/>
              </w:numPr>
              <w:kinsoku/>
              <w:spacing w:line="50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 xml:space="preserve">钻井液与压裂液消耗： 项目2口井共消耗水基泥浆材料及油基泥浆材料，单井钻井液材料主要包括重晶石粉（440t）、膨润土（31t）、白油/柴油（400t）、各类盐类（KCl 37t、NaCl 106t）及高分子聚合物等。两口井试油期共需压裂用水约70000m³，压裂液体系主要由0.4%胍胶+0.2%复合添加剂+0.3%交联剂组成。 </w:t>
            </w:r>
          </w:p>
          <w:p w14:paraId="6926EB1A">
            <w:pPr>
              <w:widowControl w:val="0"/>
              <w:numPr>
                <w:ilvl w:val="0"/>
                <w:numId w:val="5"/>
              </w:numPr>
              <w:kinsoku/>
              <w:spacing w:line="50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柴油消耗： 本项目钻机等主要动力采用网电驱动，仅配备柴油发电机作为应急备用电源。柴油消耗量极小，依托单井配备的1个20m³卧式柴油罐进行储存。</w:t>
            </w:r>
          </w:p>
          <w:p w14:paraId="7F767590">
            <w:pPr>
              <w:widowControl w:val="0"/>
              <w:numPr>
                <w:ilvl w:val="0"/>
                <w:numId w:val="5"/>
              </w:numPr>
              <w:kinsoku/>
              <w:spacing w:line="50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生物质燃料消耗及组分分析： 冬季施工期间启用的1台2.5t/h生物质蒸汽锅炉，以生物质成型颗粒为燃料。按冬季最不利施工期60天、每天消耗7.5t计算，单井冬季施工生物质燃料总消耗量约为450t。 生物质燃料组分特征（关键参数）： 根据供应商提供的生物质颗粒工业分析及元素分析报告，该燃料平均低位发热值为16.11 MJ/kg。其含硫量极低，硫元素含量（S）仅为0.022%。低硫特性是从源头控制二氧化硫产生的关键，配合末端“水幕+布袋”除尘，确保废气满足排放标准。</w:t>
            </w:r>
          </w:p>
          <w:p w14:paraId="3793E41F">
            <w:pPr>
              <w:pStyle w:val="22"/>
              <w:widowControl w:val="0"/>
              <w:kinsoku/>
              <w:spacing w:before="283" w:line="228"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pacing w:val="3"/>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t>.一般工业固体废物类别</w:t>
            </w:r>
          </w:p>
          <w:p w14:paraId="3FA33CB3">
            <w:pPr>
              <w:widowControl w:val="0"/>
              <w:kinsoku/>
              <w:spacing w:line="500" w:lineRule="exact"/>
              <w:ind w:firstLine="480" w:firstLineChars="200"/>
              <w:jc w:val="both"/>
              <w:rPr>
                <w:rFonts w:hint="default" w:ascii="Times New Roman" w:hAnsi="Times New Roman" w:eastAsia="宋体" w:cs="Times New Roman"/>
                <w:color w:val="000000" w:themeColor="text1"/>
                <w:spacing w:val="7"/>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根据《一般工业固体废物管理台账制定指南（试行）》要求，一般固体废物类别和代码见表2-13。</w:t>
            </w:r>
          </w:p>
          <w:p w14:paraId="745C64C8">
            <w:pPr>
              <w:widowControl w:val="0"/>
              <w:kinsoku/>
              <w:spacing w:line="5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表2-13 一般固体废物类别和代码</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949"/>
              <w:gridCol w:w="1542"/>
              <w:gridCol w:w="5613"/>
            </w:tblGrid>
            <w:tr w14:paraId="402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Align w:val="center"/>
                </w:tcPr>
                <w:p w14:paraId="179350FB">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14:textFill>
                        <w14:solidFill>
                          <w14:schemeClr w14:val="tx1"/>
                        </w14:solidFill>
                      </w14:textFill>
                    </w:rPr>
                    <w:t>序号</w:t>
                  </w:r>
                </w:p>
              </w:tc>
              <w:tc>
                <w:tcPr>
                  <w:tcW w:w="548" w:type="pct"/>
                  <w:vAlign w:val="center"/>
                </w:tcPr>
                <w:p w14:paraId="09967EA2">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废物代码</w:t>
                  </w:r>
                </w:p>
              </w:tc>
              <w:tc>
                <w:tcPr>
                  <w:tcW w:w="890" w:type="pct"/>
                  <w:vAlign w:val="center"/>
                </w:tcPr>
                <w:p w14:paraId="6D84D155">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废物种类</w:t>
                  </w:r>
                </w:p>
              </w:tc>
              <w:tc>
                <w:tcPr>
                  <w:tcW w:w="3239" w:type="pct"/>
                  <w:vAlign w:val="center"/>
                </w:tcPr>
                <w:p w14:paraId="1B5FAAD5">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废物种类</w:t>
                  </w:r>
                </w:p>
              </w:tc>
            </w:tr>
            <w:tr w14:paraId="427A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Align w:val="center"/>
                </w:tcPr>
                <w:p w14:paraId="11F09B24">
                  <w:pPr>
                    <w:widowControl/>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548" w:type="pct"/>
                  <w:vAlign w:val="center"/>
                </w:tcPr>
                <w:p w14:paraId="567C81ED">
                  <w:pPr>
                    <w:widowControl/>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SW</w:t>
                  </w:r>
                  <w:r>
                    <w:rPr>
                      <w:rFonts w:hint="default" w:ascii="Times New Roman" w:hAnsi="Times New Roman" w:eastAsia="宋体" w:cs="Times New Roman"/>
                      <w:color w:val="000000" w:themeColor="text1"/>
                      <w:spacing w:val="4"/>
                      <w14:textFill>
                        <w14:solidFill>
                          <w14:schemeClr w14:val="tx1"/>
                        </w14:solidFill>
                      </w14:textFill>
                    </w:rPr>
                    <w:t>07</w:t>
                  </w:r>
                </w:p>
              </w:tc>
              <w:tc>
                <w:tcPr>
                  <w:tcW w:w="890" w:type="pct"/>
                  <w:vAlign w:val="center"/>
                </w:tcPr>
                <w:p w14:paraId="019156BD">
                  <w:pPr>
                    <w:pStyle w:val="22"/>
                    <w:widowControl/>
                    <w:kinsoku/>
                    <w:spacing w:line="240" w:lineRule="atLeast"/>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不含油</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污泥</w:t>
                  </w:r>
                </w:p>
              </w:tc>
              <w:tc>
                <w:tcPr>
                  <w:tcW w:w="3239" w:type="pct"/>
                  <w:vAlign w:val="center"/>
                </w:tcPr>
                <w:p w14:paraId="3FB94AE1">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各类污水处理产生的固体沉淀物。</w:t>
                  </w:r>
                </w:p>
              </w:tc>
            </w:tr>
            <w:tr w14:paraId="6028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Align w:val="center"/>
                </w:tcPr>
                <w:p w14:paraId="6F7728FA">
                  <w:pPr>
                    <w:widowControl/>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548" w:type="pct"/>
                  <w:vAlign w:val="center"/>
                </w:tcPr>
                <w:p w14:paraId="496BE6BF">
                  <w:pPr>
                    <w:widowControl/>
                    <w:kinsoku/>
                    <w:spacing w:line="240" w:lineRule="atLeas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SW</w:t>
                  </w:r>
                  <w:r>
                    <w:rPr>
                      <w:rFonts w:hint="default" w:ascii="Times New Roman" w:hAnsi="Times New Roman" w:eastAsia="宋体" w:cs="Times New Roman"/>
                      <w:color w:val="000000" w:themeColor="text1"/>
                      <w:spacing w:val="4"/>
                      <w14:textFill>
                        <w14:solidFill>
                          <w14:schemeClr w14:val="tx1"/>
                        </w14:solidFill>
                      </w14:textFill>
                    </w:rPr>
                    <w:t>12</w:t>
                  </w:r>
                </w:p>
              </w:tc>
              <w:tc>
                <w:tcPr>
                  <w:tcW w:w="890" w:type="pct"/>
                  <w:vAlign w:val="center"/>
                </w:tcPr>
                <w:p w14:paraId="4B8004D4">
                  <w:pPr>
                    <w:pStyle w:val="22"/>
                    <w:widowControl/>
                    <w:kinsoku/>
                    <w:spacing w:line="240" w:lineRule="atLeast"/>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一开阶段</w:t>
                  </w: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水基</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钻井岩屑</w:t>
                  </w:r>
                </w:p>
              </w:tc>
              <w:tc>
                <w:tcPr>
                  <w:tcW w:w="3239" w:type="pct"/>
                  <w:vAlign w:val="center"/>
                </w:tcPr>
                <w:p w14:paraId="094611E2">
                  <w:pPr>
                    <w:pStyle w:val="22"/>
                    <w:widowControl/>
                    <w:kinsoku/>
                    <w:spacing w:line="240" w:lineRule="atLeas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石油、天然气开采活动以及其他采矿业产生的钻井岩屑等矿业固体废物，不包括煤矸石、尾矿。</w:t>
                  </w:r>
                </w:p>
              </w:tc>
            </w:tr>
          </w:tbl>
          <w:p w14:paraId="1896A93F">
            <w:pPr>
              <w:pStyle w:val="22"/>
              <w:widowControl w:val="0"/>
              <w:kinsoku/>
              <w:spacing w:before="65" w:line="228"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.公用工程</w:t>
            </w:r>
          </w:p>
          <w:p w14:paraId="66E79F3D">
            <w:pPr>
              <w:pStyle w:val="22"/>
              <w:widowControl w:val="0"/>
              <w:kinsoku/>
              <w:spacing w:before="160"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pacing w:val="4"/>
                <w:sz w:val="24"/>
                <w:szCs w:val="24"/>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4"/>
                <w:sz w:val="24"/>
                <w:szCs w:val="24"/>
                <w:lang w:eastAsia="zh-CN"/>
                <w14:textFill>
                  <w14:solidFill>
                    <w14:schemeClr w14:val="tx1"/>
                  </w14:solidFill>
                </w14:textFill>
              </w:rPr>
              <w:t>.1给水</w:t>
            </w:r>
          </w:p>
          <w:p w14:paraId="5ED4E0B1">
            <w:pPr>
              <w:pStyle w:val="22"/>
              <w:widowControl w:val="0"/>
              <w:kinsoku/>
              <w:spacing w:line="360" w:lineRule="auto"/>
              <w:ind w:firstLine="496" w:firstLineChars="200"/>
              <w:jc w:val="both"/>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本工程在钻井过程中用水主要为钻井液配比用水。根据建设单位提供的资料，钻井期单井泥浆配比用水500m</w:t>
            </w:r>
            <w:r>
              <w:rPr>
                <w:rFonts w:hint="default" w:ascii="Times New Roman" w:hAnsi="Times New Roman" w:eastAsia="宋体" w:cs="Times New Roman"/>
                <w:color w:val="000000" w:themeColor="text1"/>
                <w:spacing w:val="4"/>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/井，本工程2口井，钻井液配比用水1000m</w:t>
            </w:r>
            <w:r>
              <w:rPr>
                <w:rFonts w:hint="default" w:ascii="Times New Roman" w:hAnsi="Times New Roman" w:eastAsia="宋体" w:cs="Times New Roman"/>
                <w:color w:val="000000" w:themeColor="text1"/>
                <w:spacing w:val="4"/>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w:t>
            </w:r>
          </w:p>
          <w:p w14:paraId="27BCD7F8">
            <w:pPr>
              <w:pStyle w:val="22"/>
              <w:widowControl w:val="0"/>
              <w:kinsoku/>
              <w:spacing w:line="360" w:lineRule="auto"/>
              <w:ind w:firstLine="496" w:firstLineChars="200"/>
              <w:jc w:val="both"/>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钻井期钻井人数</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人，单井钻井天数90天，本工程设置2口评价井，按每人每天用水80L计算，钻井期生活用水</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720</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。本工程用水由罐车就近拉运至钻井</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；因本工程钻井期用水量较小，供水可满足其需求量。试油期，设2人巡井，不在钻井</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井场</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食宿。</w:t>
            </w:r>
          </w:p>
          <w:p w14:paraId="12B60DA1">
            <w:pPr>
              <w:pStyle w:val="22"/>
              <w:widowControl w:val="0"/>
              <w:kinsoku/>
              <w:spacing w:line="360" w:lineRule="auto"/>
              <w:ind w:firstLine="480" w:firstLineChars="200"/>
              <w:jc w:val="both"/>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根据建设单位提供的资料，</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洗井水用量83</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/口计，</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两口井共需洗井用水166m</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w:t>
            </w:r>
          </w:p>
          <w:p w14:paraId="6D35865E">
            <w:pPr>
              <w:pStyle w:val="22"/>
              <w:widowControl w:val="0"/>
              <w:kinsoku/>
              <w:spacing w:line="360" w:lineRule="auto"/>
              <w:ind w:firstLine="480" w:firstLineChars="200"/>
              <w:jc w:val="both"/>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en-US" w:bidi="ar-SA"/>
                <w14:textFill>
                  <w14:solidFill>
                    <w14:schemeClr w14:val="tx1"/>
                  </w14:solidFill>
                </w14:textFill>
              </w:rPr>
              <w:t>根据建设单位提供的工程设计资料，本项目评价井为长水平段水平井，由于目的层储层较为致密，试油阶段需进行大规模体积压裂。结合周边已开发老区块（吉康油田萨探1块）同类型水平井的压裂施工类比数据：邻井单段压裂液用量通常在1500m³~2000m³之间，设计压裂段数约在18~24段左右。基于此地质与工程类比计算，本项目单井压裂用水量核算为35000m³是合理且必要的。两口井共需压裂新鲜用水70000m³</w:t>
            </w:r>
            <w:r>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t>。</w:t>
            </w:r>
          </w:p>
          <w:p w14:paraId="1BC4A8EB">
            <w:pPr>
              <w:pStyle w:val="22"/>
              <w:widowControl w:val="0"/>
              <w:kinsoku/>
              <w:spacing w:line="360" w:lineRule="auto"/>
              <w:ind w:firstLine="480" w:firstLineChars="200"/>
              <w:jc w:val="both"/>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en-US" w:bidi="ar-SA"/>
                <w14:textFill>
                  <w14:solidFill>
                    <w14:schemeClr w14:val="tx1"/>
                  </w14:solidFill>
                </w14:textFill>
              </w:rPr>
              <w:t>本项目施工及压裂用水取自项目区周边</w:t>
            </w:r>
            <w:r>
              <w:rPr>
                <w:rFonts w:hint="eastAsia" w:ascii="Times New Roman" w:hAnsi="Times New Roman" w:eastAsia="宋体" w:cs="Times New Roman"/>
                <w:snapToGrid w:val="0"/>
                <w:color w:val="000000" w:themeColor="text1"/>
                <w:sz w:val="24"/>
                <w:szCs w:val="24"/>
                <w:lang w:val="en-US" w:eastAsia="zh-CN" w:bidi="ar-SA"/>
                <w14:textFill>
                  <w14:solidFill>
                    <w14:schemeClr w14:val="tx1"/>
                  </w14:solidFill>
                </w14:textFill>
              </w:rPr>
              <w:t>村庄红山子村</w:t>
            </w:r>
            <w:r>
              <w:rPr>
                <w:rFonts w:hint="default" w:ascii="Times New Roman" w:hAnsi="Times New Roman" w:eastAsia="宋体" w:cs="Times New Roman"/>
                <w:snapToGrid w:val="0"/>
                <w:color w:val="000000" w:themeColor="text1"/>
                <w:sz w:val="24"/>
                <w:szCs w:val="24"/>
                <w:lang w:val="en-US" w:eastAsia="en-US" w:bidi="ar-SA"/>
                <w14:textFill>
                  <w14:solidFill>
                    <w14:schemeClr w14:val="tx1"/>
                  </w14:solidFill>
                </w14:textFill>
              </w:rPr>
              <w:t>距离项目井场约1km。为满足压裂施工期间短时间、大液量的连续用水需求，井场提前建设有容积为3000m³的大型蓄水池（防渗软体水罐）进行前期蓄水调配。取水全部采用重型环保水罐车拉运，为符合道路交通及环保限载要求，单次运输装载量严格控制在≤25m³。在压裂准备期的集中蓄水阶段及压裂施工高峰期，采取多台水罐车循环作业模式，预计单车每日往返拉运约3~4次。通过“提前蓄水+多车循环拉运”的模式，有效保障了压裂施工的顺利进行。</w:t>
            </w:r>
          </w:p>
          <w:p w14:paraId="3970BCC9">
            <w:pPr>
              <w:pStyle w:val="22"/>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pacing w:val="4"/>
                <w:sz w:val="24"/>
                <w:szCs w:val="24"/>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4"/>
                <w:sz w:val="24"/>
                <w:szCs w:val="24"/>
                <w:lang w:eastAsia="zh-CN"/>
                <w14:textFill>
                  <w14:solidFill>
                    <w14:schemeClr w14:val="tx1"/>
                  </w14:solidFill>
                </w14:textFill>
              </w:rPr>
              <w:t>.2排水</w:t>
            </w:r>
          </w:p>
          <w:p w14:paraId="35072F94">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本项目在钻井过程中，钻井液经固控系统（泥浆不落地设备）处理后循环利用，不直接外排；经固液分离后的钻井岩屑及完井后无法回用的废弃钻井液，采用专用车辆拉运至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有资质的</w:t>
            </w:r>
            <w:r>
              <w:rPr>
                <w:rFonts w:hint="default" w:ascii="Times New Roman" w:hAnsi="Times New Roman" w:eastAsia="宋体" w:cs="Times New Roman"/>
                <w:color w:val="000000" w:themeColor="text1"/>
                <w:sz w:val="24"/>
                <w:szCs w:val="24"/>
                <w14:textFill>
                  <w14:solidFill>
                    <w14:schemeClr w14:val="tx1"/>
                  </w14:solidFill>
                </w14:textFill>
              </w:rPr>
              <w:t>环保处置单位集中处理。本项目废水主要为钻井期生活污水，以及试油期产生的井下作业洗井废水、压裂返排液</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p>
          <w:p w14:paraId="6FB9225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（1）生</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活污水：本项目施工期生活污水产生量为用水量的80%，预计生活污水产生量为</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576</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。施工期生活营地设置1个</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污水防渗收集池</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，下垫防渗层，生活污水排入</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污水防渗收集池</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，采取密闭式吸污罐车定期拉运至</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吉木萨尔县</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市政污水处理厂进行</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处理，确保生活污水不外排。</w:t>
            </w:r>
          </w:p>
          <w:p w14:paraId="2C6690A9">
            <w:pPr>
              <w:widowControl w:val="0"/>
              <w:kinsoku/>
              <w:spacing w:line="500" w:lineRule="exact"/>
              <w:ind w:firstLine="480" w:firstLineChars="200"/>
              <w:jc w:val="both"/>
              <w:rPr>
                <w:rFonts w:hint="default" w:ascii="Times New Roman" w:hAnsi="Times New Roman" w:eastAsia="宋体" w:cs="Times New Roman"/>
                <w:b w:val="0"/>
                <w:bCs w:val="0"/>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eastAsia="zh-CN" w:bidi="ar"/>
                <w14:textFill>
                  <w14:solidFill>
                    <w14:schemeClr w14:val="tx1"/>
                  </w14:solidFill>
                </w14:textFill>
              </w:rPr>
              <w:t>压裂返排液：</w:t>
            </w:r>
            <w:r>
              <w:rPr>
                <w:rFonts w:hint="default" w:ascii="Times New Roman" w:hAnsi="Times New Roman" w:eastAsia="宋体" w:cs="Times New Roman"/>
                <w:b w:val="0"/>
                <w:bCs w:val="0"/>
                <w:color w:val="000000" w:themeColor="text1"/>
                <w:sz w:val="24"/>
                <w:szCs w:val="24"/>
                <w14:textFill>
                  <w14:solidFill>
                    <w14:schemeClr w14:val="tx1"/>
                  </w14:solidFill>
                </w14:textFill>
              </w:rPr>
              <w:t>根据建设单位提供资料，本项目单井压裂用水量为35000m³，两口井共需压裂用水70000m³。</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根据建设单位提供资料，同时</w:t>
            </w:r>
            <w:r>
              <w:rPr>
                <w:rFonts w:hint="default" w:ascii="Times New Roman" w:hAnsi="Times New Roman" w:eastAsia="宋体" w:cs="Times New Roman"/>
                <w:b w:val="0"/>
                <w:bCs w:val="0"/>
                <w:color w:val="000000" w:themeColor="text1"/>
                <w:sz w:val="24"/>
                <w:szCs w:val="24"/>
                <w14:textFill>
                  <w14:solidFill>
                    <w14:schemeClr w14:val="tx1"/>
                  </w14:solidFill>
                </w14:textFill>
              </w:rPr>
              <w:t>参考邻井及区域地质资料，按压裂液返排率约5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14:textFill>
                  <w14:solidFill>
                    <w14:schemeClr w14:val="tx1"/>
                  </w14:solidFill>
                </w14:textFill>
              </w:rPr>
              <w:t>%估算，本项目两口井试油期间压裂返排液总产生量约为3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000m³。产生的压裂返排液全部经过</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吉康</w:t>
            </w:r>
            <w:r>
              <w:rPr>
                <w:rFonts w:hint="default" w:ascii="Times New Roman" w:hAnsi="Times New Roman" w:eastAsia="宋体" w:cs="Times New Roman"/>
                <w:b w:val="0"/>
                <w:bCs w:val="0"/>
                <w:color w:val="000000" w:themeColor="text1"/>
                <w:sz w:val="24"/>
                <w:szCs w:val="24"/>
                <w14:textFill>
                  <w14:solidFill>
                    <w14:schemeClr w14:val="tx1"/>
                  </w14:solidFill>
                </w14:textFill>
              </w:rPr>
              <w:t>脱水站处理达标后回注，不外排</w:t>
            </w:r>
            <w:r>
              <w:rPr>
                <w:rFonts w:hint="default" w:ascii="Times New Roman" w:hAnsi="Times New Roman" w:eastAsia="宋体" w:cs="Times New Roman"/>
                <w:b w:val="0"/>
                <w:bCs w:val="0"/>
                <w:color w:val="000000" w:themeColor="text1"/>
                <w:sz w:val="24"/>
                <w:szCs w:val="24"/>
                <w:lang w:eastAsia="zh-CN" w:bidi="ar"/>
                <w14:textFill>
                  <w14:solidFill>
                    <w14:schemeClr w14:val="tx1"/>
                  </w14:solidFill>
                </w14:textFill>
              </w:rPr>
              <w:t>。</w:t>
            </w:r>
          </w:p>
          <w:p w14:paraId="75C87A6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（3）洗井废水：项目洗井废水按照用水量的90%计算，本项目产生洗井废水150m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井下作业过程中，作业单位自带回收罐回收作业废水，运至</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吉康</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脱水站污水处理系统处理达标后全部回注，不外排。</w:t>
            </w:r>
          </w:p>
          <w:p w14:paraId="270BFD63">
            <w:pPr>
              <w:widowControl w:val="0"/>
              <w:kinsoku/>
              <w:spacing w:line="500" w:lineRule="exact"/>
              <w:jc w:val="both"/>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10</w:t>
            </w: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.3供暖</w:t>
            </w:r>
          </w:p>
          <w:p w14:paraId="12047524">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如</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钻井期</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在冬季</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，需对井口、泥浆罐、水罐、钻井</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井场</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通过管线进行保温，</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本项目拟</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新</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建1台2.5t/h的生物质蒸汽锅炉</w:t>
            </w:r>
            <w:r>
              <w:rPr>
                <w:rFonts w:hint="default" w:ascii="Times New Roman" w:hAnsi="Times New Roman" w:eastAsia="宋体" w:cs="Times New Roman"/>
                <w:color w:val="000000" w:themeColor="text1"/>
                <w:sz w:val="24"/>
                <w:szCs w:val="24"/>
                <w14:textFill>
                  <w14:solidFill>
                    <w14:schemeClr w14:val="tx1"/>
                  </w14:solidFill>
                </w14:textFill>
              </w:rPr>
              <w:t>仅在冬季施工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设备管线</w:t>
            </w:r>
            <w:r>
              <w:rPr>
                <w:rFonts w:hint="default" w:ascii="Times New Roman" w:hAnsi="Times New Roman" w:eastAsia="宋体" w:cs="Times New Roman"/>
                <w:color w:val="000000" w:themeColor="text1"/>
                <w:sz w:val="24"/>
                <w:szCs w:val="24"/>
                <w14:textFill>
                  <w14:solidFill>
                    <w14:schemeClr w14:val="tx1"/>
                  </w14:solidFill>
                </w14:textFill>
              </w:rPr>
              <w:t>确需供热时启用，非冬季不运</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行。</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锅炉</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以生物质成型颗粒为燃料，锅炉运行过程的锅炉水循环使用不外排</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至外环境</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，锅炉补水量为3m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/d，按最不利影响下，本项目</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冬季施工期间</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需供暖60d，共需补水新鲜水量</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180</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p>
          <w:p w14:paraId="7D1E43A1">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供热思路与可行性：本项目选用 WNS2.5-0.8-SCII型卧式集成生物质蒸汽锅炉 用于生产管线保温 。该锅炉采用火室燃烧方式 ，设计热效率高达 90.05% 。实测数据显示，其反平衡热效率达到 90.08% ，超过国家工业锅炉产品热效率限定值要求 ，在能源利用上具有显著的高效性和可行性。</w:t>
            </w:r>
          </w:p>
          <w:p w14:paraId="5280571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热源匹配性说明：该锅炉额定负荷为 2.50t/h 。测试期间，锅炉在 2.51t/h 的实际负荷下稳定运行 ，折算蒸发量满足额定蒸发量的 97%~105% 要求 。其 2.5t/h 的蒸汽供应能力可完全满足钻井现场生产管线及伴热系统的峰值用汽需求，规模匹配合理。</w:t>
            </w:r>
          </w:p>
          <w:p w14:paraId="00A65DE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生物质燃料组分符合性分析</w:t>
            </w:r>
          </w:p>
          <w:p w14:paraId="2C135E6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根据燃料化验数据，本项目使用的生物质成型燃料关键组分与</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生物质锅炉</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技术规范</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GB/T44906-2024</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对照如下：</w:t>
            </w:r>
          </w:p>
          <w:p w14:paraId="084B914B">
            <w:pPr>
              <w:widowControl w:val="0"/>
              <w:kinsoku/>
              <w:spacing w:line="50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表2-14 </w:t>
            </w:r>
            <w:r>
              <w:rPr>
                <w:rFonts w:hint="default" w:ascii="Times New Roman" w:hAnsi="Times New Roman" w:eastAsia="宋体" w:cs="Times New Roman"/>
                <w:b/>
                <w:bCs/>
                <w:color w:val="000000" w:themeColor="text1"/>
                <w:lang w:eastAsia="zh-CN"/>
                <w14:textFill>
                  <w14:solidFill>
                    <w14:schemeClr w14:val="tx1"/>
                  </w14:solidFill>
                </w14:textFill>
              </w:rPr>
              <w:t>生物质成型燃料</w:t>
            </w:r>
            <w:r>
              <w:rPr>
                <w:rFonts w:hint="eastAsia" w:ascii="Times New Roman" w:hAnsi="Times New Roman" w:eastAsia="宋体" w:cs="Times New Roman"/>
                <w:b/>
                <w:bCs/>
                <w:color w:val="000000" w:themeColor="text1"/>
                <w:lang w:val="en-US" w:eastAsia="zh-CN"/>
                <w14:textFill>
                  <w14:solidFill>
                    <w14:schemeClr w14:val="tx1"/>
                  </w14:solidFill>
                </w14:textFill>
              </w:rPr>
              <w:t>符合性分析表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753"/>
              <w:gridCol w:w="2281"/>
              <w:gridCol w:w="2237"/>
              <w:gridCol w:w="1352"/>
            </w:tblGrid>
            <w:tr w14:paraId="4162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vAlign w:val="center"/>
                </w:tcPr>
                <w:p w14:paraId="4C108FCD">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项目指标</w:t>
                  </w:r>
                </w:p>
              </w:tc>
              <w:tc>
                <w:tcPr>
                  <w:tcW w:w="434" w:type="pct"/>
                  <w:vAlign w:val="center"/>
                </w:tcPr>
                <w:p w14:paraId="0A9086FF">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单位</w:t>
                  </w:r>
                </w:p>
              </w:tc>
              <w:tc>
                <w:tcPr>
                  <w:tcW w:w="1316" w:type="pct"/>
                  <w:vAlign w:val="center"/>
                </w:tcPr>
                <w:p w14:paraId="71382D6E">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GB/T44906-2024 (表1要求)</w:t>
                  </w:r>
                </w:p>
              </w:tc>
              <w:tc>
                <w:tcPr>
                  <w:tcW w:w="1291" w:type="pct"/>
                  <w:vAlign w:val="center"/>
                </w:tcPr>
                <w:p w14:paraId="10C1EC43">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本项目燃料实测值 (收到基)</w:t>
                  </w:r>
                </w:p>
              </w:tc>
              <w:tc>
                <w:tcPr>
                  <w:tcW w:w="780" w:type="pct"/>
                  <w:vAlign w:val="center"/>
                </w:tcPr>
                <w:p w14:paraId="0A6FEB61">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符合性说明</w:t>
                  </w:r>
                </w:p>
              </w:tc>
            </w:tr>
            <w:tr w14:paraId="35FF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vAlign w:val="center"/>
                </w:tcPr>
                <w:p w14:paraId="18AF8ED4">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收到基水分 (Mar​)</w:t>
                  </w:r>
                </w:p>
              </w:tc>
              <w:tc>
                <w:tcPr>
                  <w:tcW w:w="434" w:type="pct"/>
                  <w:vAlign w:val="center"/>
                </w:tcPr>
                <w:p w14:paraId="3E77E2DC">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w:t>
                  </w:r>
                </w:p>
              </w:tc>
              <w:tc>
                <w:tcPr>
                  <w:tcW w:w="1316" w:type="pct"/>
                  <w:vAlign w:val="center"/>
                </w:tcPr>
                <w:p w14:paraId="5B36CBDE">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1</w:t>
                  </w:r>
                  <w:r>
                    <w:rPr>
                      <w:rFonts w:hint="eastAsia"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2</w:t>
                  </w: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.0</w:t>
                  </w:r>
                </w:p>
              </w:tc>
              <w:tc>
                <w:tcPr>
                  <w:tcW w:w="1291" w:type="pct"/>
                  <w:vAlign w:val="center"/>
                </w:tcPr>
                <w:p w14:paraId="0A60B6D9">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7.8% ~ 7.9%</w:t>
                  </w:r>
                </w:p>
              </w:tc>
              <w:tc>
                <w:tcPr>
                  <w:tcW w:w="780" w:type="pct"/>
                  <w:vAlign w:val="center"/>
                </w:tcPr>
                <w:p w14:paraId="5127EA5F">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远优于标准要求</w:t>
                  </w:r>
                </w:p>
              </w:tc>
            </w:tr>
            <w:tr w14:paraId="7E0A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vAlign w:val="center"/>
                </w:tcPr>
                <w:p w14:paraId="7C4B8C4F">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收到基灰分 (Aar​)</w:t>
                  </w:r>
                </w:p>
              </w:tc>
              <w:tc>
                <w:tcPr>
                  <w:tcW w:w="434" w:type="pct"/>
                  <w:vAlign w:val="center"/>
                </w:tcPr>
                <w:p w14:paraId="2C148CAA">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w:t>
                  </w:r>
                </w:p>
              </w:tc>
              <w:tc>
                <w:tcPr>
                  <w:tcW w:w="1316" w:type="pct"/>
                  <w:vAlign w:val="center"/>
                </w:tcPr>
                <w:p w14:paraId="3595CD65">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10.0</w:t>
                  </w:r>
                </w:p>
              </w:tc>
              <w:tc>
                <w:tcPr>
                  <w:tcW w:w="1291" w:type="pct"/>
                  <w:vAlign w:val="center"/>
                </w:tcPr>
                <w:p w14:paraId="41FDE07B">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2.23% ~ 2.31%</w:t>
                  </w:r>
                </w:p>
              </w:tc>
              <w:tc>
                <w:tcPr>
                  <w:tcW w:w="780" w:type="pct"/>
                  <w:vAlign w:val="center"/>
                </w:tcPr>
                <w:p w14:paraId="3D062872">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符合标准</w:t>
                  </w:r>
                </w:p>
              </w:tc>
            </w:tr>
            <w:tr w14:paraId="4455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vAlign w:val="center"/>
                </w:tcPr>
                <w:p w14:paraId="299EF141">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低位发热量 (Qnet,ar​)</w:t>
                  </w:r>
                </w:p>
              </w:tc>
              <w:tc>
                <w:tcPr>
                  <w:tcW w:w="434" w:type="pct"/>
                  <w:vAlign w:val="center"/>
                </w:tcPr>
                <w:p w14:paraId="62AAEFBE">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MJ/kg</w:t>
                  </w:r>
                </w:p>
              </w:tc>
              <w:tc>
                <w:tcPr>
                  <w:tcW w:w="1316" w:type="pct"/>
                  <w:vAlign w:val="center"/>
                </w:tcPr>
                <w:p w14:paraId="1E9B6BC4">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1</w:t>
                  </w:r>
                  <w:r>
                    <w:rPr>
                      <w:rFonts w:hint="eastAsia"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0.</w:t>
                  </w: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45</w:t>
                  </w:r>
                </w:p>
              </w:tc>
              <w:tc>
                <w:tcPr>
                  <w:tcW w:w="1291" w:type="pct"/>
                  <w:vAlign w:val="center"/>
                </w:tcPr>
                <w:p w14:paraId="6EE1081C">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16.45 ~ 16.46 MJ/kg </w:t>
                  </w:r>
                </w:p>
              </w:tc>
              <w:tc>
                <w:tcPr>
                  <w:tcW w:w="780" w:type="pct"/>
                  <w:vAlign w:val="center"/>
                </w:tcPr>
                <w:p w14:paraId="477C47FD">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符合标准</w:t>
                  </w:r>
                </w:p>
              </w:tc>
            </w:tr>
            <w:tr w14:paraId="325B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vAlign w:val="center"/>
                </w:tcPr>
                <w:p w14:paraId="189EB4DC">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收到基硫 (Sar​)</w:t>
                  </w:r>
                </w:p>
              </w:tc>
              <w:tc>
                <w:tcPr>
                  <w:tcW w:w="434" w:type="pct"/>
                  <w:vAlign w:val="center"/>
                </w:tcPr>
                <w:p w14:paraId="7A99C3D3">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w:t>
                  </w:r>
                </w:p>
              </w:tc>
              <w:tc>
                <w:tcPr>
                  <w:tcW w:w="1316" w:type="pct"/>
                  <w:vAlign w:val="center"/>
                </w:tcPr>
                <w:p w14:paraId="21E9E080">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0.10</w:t>
                  </w:r>
                </w:p>
              </w:tc>
              <w:tc>
                <w:tcPr>
                  <w:tcW w:w="1291" w:type="pct"/>
                  <w:vAlign w:val="center"/>
                </w:tcPr>
                <w:p w14:paraId="71C909AF">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0.0</w:t>
                  </w:r>
                  <w:r>
                    <w:rPr>
                      <w:rFonts w:hint="eastAsia"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2</w:t>
                  </w: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 ~ 0.05% </w:t>
                  </w:r>
                </w:p>
              </w:tc>
              <w:tc>
                <w:tcPr>
                  <w:tcW w:w="780" w:type="pct"/>
                  <w:vAlign w:val="center"/>
                </w:tcPr>
                <w:p w14:paraId="5436C142">
                  <w:pPr>
                    <w:keepNext w:val="0"/>
                    <w:keepLines w:val="0"/>
                    <w:pageBreakBefore w:val="0"/>
                    <w:widowControl/>
                    <w:suppressLineNumbers w:val="0"/>
                    <w:kinsoku w:val="0"/>
                    <w:wordWrap/>
                    <w:overflowPunct/>
                    <w:topLinePunct w:val="0"/>
                    <w:autoSpaceDE w:val="0"/>
                    <w:autoSpaceDN w:val="0"/>
                    <w:bidi w:val="0"/>
                    <w:adjustRightInd w:val="0"/>
                    <w:snapToGrid w:val="0"/>
                    <w:jc w:val="center"/>
                    <w:textAlignment w:val="bottom"/>
                    <w:rPr>
                      <w:rFonts w:hint="default" w:ascii="Times New Roman Regular" w:hAnsi="Times New Roman Regular" w:eastAsia="宋体" w:cs="Times New Roman Regular"/>
                      <w:color w:val="000000" w:themeColor="text1"/>
                      <w:sz w:val="21"/>
                      <w:szCs w:val="21"/>
                      <w:vertAlign w:val="baseline"/>
                      <w:lang w:eastAsia="zh-CN"/>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符合标准</w:t>
                  </w:r>
                </w:p>
              </w:tc>
            </w:tr>
          </w:tbl>
          <w:p w14:paraId="4206E35C">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生物质锅炉</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锅炉技术参数符合性分析</w:t>
            </w:r>
          </w:p>
          <w:p w14:paraId="2DB7A6C6">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热效率：规范要求82%。本项目锅炉设计热效率90.05% ，实测热效率 90.08% ，显著高于规范要求。</w:t>
            </w:r>
          </w:p>
          <w:p w14:paraId="1DE1B6B0">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额定工作压力：设计额定压力为0.80 MPa ，实测运行压力稳定在0.76~0.77 MPa ，满足管线伴热所需的蒸汽压力。</w:t>
            </w:r>
          </w:p>
          <w:p w14:paraId="6A96F831">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排烟温度： 设计值为 158.20℃ ，实测排烟温度为 164.7℃ ~ 165.3℃ 。虽然实测值略高于设计值，但仍符合规范中关于排烟温度的要求</w:t>
            </w:r>
          </w:p>
          <w:p w14:paraId="660D4B7A">
            <w:pPr>
              <w:widowControl w:val="0"/>
              <w:kinsoku/>
              <w:spacing w:line="50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表2-15 </w:t>
            </w:r>
            <w:r>
              <w:rPr>
                <w:rFonts w:hint="default" w:ascii="Times New Roman" w:hAnsi="Times New Roman" w:eastAsia="宋体" w:cs="Times New Roman"/>
                <w:b/>
                <w:bCs/>
                <w:color w:val="000000" w:themeColor="text1"/>
                <w:lang w:val="en-US" w:eastAsia="zh-CN"/>
                <w14:textFill>
                  <w14:solidFill>
                    <w14:schemeClr w14:val="tx1"/>
                  </w14:solidFill>
                </w14:textFill>
              </w:rPr>
              <w:t>生物质锅炉物料平衡表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873"/>
              <w:gridCol w:w="2459"/>
              <w:gridCol w:w="920"/>
              <w:gridCol w:w="873"/>
              <w:gridCol w:w="2450"/>
            </w:tblGrid>
            <w:tr w14:paraId="5F3B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2F8915FD">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输入项</w:t>
                  </w:r>
                </w:p>
              </w:tc>
              <w:tc>
                <w:tcPr>
                  <w:tcW w:w="504" w:type="pct"/>
                  <w:vAlign w:val="center"/>
                </w:tcPr>
                <w:p w14:paraId="1403587F">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数量 (t)</w:t>
                  </w:r>
                </w:p>
              </w:tc>
              <w:tc>
                <w:tcPr>
                  <w:tcW w:w="1419" w:type="pct"/>
                  <w:vAlign w:val="center"/>
                </w:tcPr>
                <w:p w14:paraId="2C39585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备注</w:t>
                  </w:r>
                </w:p>
              </w:tc>
              <w:tc>
                <w:tcPr>
                  <w:tcW w:w="531" w:type="pct"/>
                  <w:vAlign w:val="center"/>
                </w:tcPr>
                <w:p w14:paraId="1318D117">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输出项</w:t>
                  </w:r>
                </w:p>
              </w:tc>
              <w:tc>
                <w:tcPr>
                  <w:tcW w:w="504" w:type="pct"/>
                  <w:vAlign w:val="center"/>
                </w:tcPr>
                <w:p w14:paraId="17A47DB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数量 (t)</w:t>
                  </w:r>
                </w:p>
              </w:tc>
              <w:tc>
                <w:tcPr>
                  <w:tcW w:w="1413" w:type="pct"/>
                  <w:vAlign w:val="center"/>
                </w:tcPr>
                <w:p w14:paraId="0D385942">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备注</w:t>
                  </w:r>
                </w:p>
              </w:tc>
            </w:tr>
            <w:tr w14:paraId="2C7F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4F2075CE">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生物质燃料</w:t>
                  </w:r>
                </w:p>
              </w:tc>
              <w:tc>
                <w:tcPr>
                  <w:tcW w:w="504" w:type="pct"/>
                  <w:vAlign w:val="center"/>
                </w:tcPr>
                <w:p w14:paraId="5E2A498F">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450</w:t>
                  </w:r>
                </w:p>
              </w:tc>
              <w:tc>
                <w:tcPr>
                  <w:tcW w:w="1419" w:type="pct"/>
                  <w:vAlign w:val="center"/>
                </w:tcPr>
                <w:p w14:paraId="2A5B4C7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平均低位发热量 16.11 MJ/kg</w:t>
                  </w:r>
                </w:p>
              </w:tc>
              <w:tc>
                <w:tcPr>
                  <w:tcW w:w="531" w:type="pct"/>
                  <w:vAlign w:val="center"/>
                </w:tcPr>
                <w:p w14:paraId="10AB105A">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烟气排空</w:t>
                  </w:r>
                </w:p>
              </w:tc>
              <w:tc>
                <w:tcPr>
                  <w:tcW w:w="504" w:type="pct"/>
                  <w:vAlign w:val="center"/>
                </w:tcPr>
                <w:p w14:paraId="591E2AAF">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3433</w:t>
                  </w:r>
                </w:p>
              </w:tc>
              <w:tc>
                <w:tcPr>
                  <w:tcW w:w="1413" w:type="pct"/>
                  <w:vAlign w:val="center"/>
                </w:tcPr>
                <w:p w14:paraId="1D182752">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包含干烟气及烟气水分 </w:t>
                  </w:r>
                </w:p>
              </w:tc>
            </w:tr>
            <w:tr w14:paraId="0DE9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50967333">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补给新鲜水</w:t>
                  </w:r>
                </w:p>
              </w:tc>
              <w:tc>
                <w:tcPr>
                  <w:tcW w:w="504" w:type="pct"/>
                  <w:vAlign w:val="center"/>
                </w:tcPr>
                <w:p w14:paraId="7D17398E">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180</w:t>
                  </w:r>
                </w:p>
              </w:tc>
              <w:tc>
                <w:tcPr>
                  <w:tcW w:w="1419" w:type="pct"/>
                  <w:vAlign w:val="center"/>
                </w:tcPr>
                <w:p w14:paraId="25D23D34">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锅炉水循环，仅补足损耗 </w:t>
                  </w:r>
                </w:p>
              </w:tc>
              <w:tc>
                <w:tcPr>
                  <w:tcW w:w="531" w:type="pct"/>
                  <w:vAlign w:val="center"/>
                </w:tcPr>
                <w:p w14:paraId="0120B7A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产汽</w:t>
                  </w:r>
                </w:p>
              </w:tc>
              <w:tc>
                <w:tcPr>
                  <w:tcW w:w="504" w:type="pct"/>
                  <w:vAlign w:val="center"/>
                </w:tcPr>
                <w:p w14:paraId="0EB8C1E6">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180</w:t>
                  </w:r>
                </w:p>
              </w:tc>
              <w:tc>
                <w:tcPr>
                  <w:tcW w:w="1413" w:type="pct"/>
                  <w:vAlign w:val="center"/>
                </w:tcPr>
                <w:p w14:paraId="6A0830A4">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对应总补水量，用于伴热损耗 </w:t>
                  </w:r>
                </w:p>
              </w:tc>
            </w:tr>
            <w:tr w14:paraId="5FFB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26974596">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助燃空气</w:t>
                  </w:r>
                </w:p>
              </w:tc>
              <w:tc>
                <w:tcPr>
                  <w:tcW w:w="504" w:type="pct"/>
                  <w:vAlign w:val="center"/>
                </w:tcPr>
                <w:p w14:paraId="5C1FA1E2">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2827</w:t>
                  </w:r>
                </w:p>
              </w:tc>
              <w:tc>
                <w:tcPr>
                  <w:tcW w:w="1419" w:type="pct"/>
                  <w:vAlign w:val="center"/>
                </w:tcPr>
                <w:p w14:paraId="06A70440">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按 α=1.39 及理论空气量核算 </w:t>
                  </w:r>
                </w:p>
              </w:tc>
              <w:tc>
                <w:tcPr>
                  <w:tcW w:w="531" w:type="pct"/>
                  <w:vAlign w:val="center"/>
                </w:tcPr>
                <w:p w14:paraId="70B057C5">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锅炉灰渣</w:t>
                  </w:r>
                </w:p>
              </w:tc>
              <w:tc>
                <w:tcPr>
                  <w:tcW w:w="504" w:type="pct"/>
                  <w:vAlign w:val="center"/>
                </w:tcPr>
                <w:p w14:paraId="1A7BD904">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24</w:t>
                  </w:r>
                </w:p>
              </w:tc>
              <w:tc>
                <w:tcPr>
                  <w:tcW w:w="1413" w:type="pct"/>
                  <w:vAlign w:val="center"/>
                </w:tcPr>
                <w:p w14:paraId="15E1E0AC">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含湿炉渣、漏料及飞灰</w:t>
                  </w:r>
                </w:p>
              </w:tc>
            </w:tr>
            <w:tr w14:paraId="4175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19D001F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合计</w:t>
                  </w:r>
                </w:p>
              </w:tc>
              <w:tc>
                <w:tcPr>
                  <w:tcW w:w="504" w:type="pct"/>
                  <w:vAlign w:val="center"/>
                </w:tcPr>
                <w:p w14:paraId="62D431EF">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3457</w:t>
                  </w:r>
                </w:p>
              </w:tc>
              <w:tc>
                <w:tcPr>
                  <w:tcW w:w="1419" w:type="pct"/>
                  <w:vAlign w:val="center"/>
                </w:tcPr>
                <w:p w14:paraId="2F43900A">
                  <w:pPr>
                    <w:widowControl w:val="0"/>
                    <w:jc w:val="center"/>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p>
              </w:tc>
              <w:tc>
                <w:tcPr>
                  <w:tcW w:w="531" w:type="pct"/>
                  <w:vAlign w:val="center"/>
                </w:tcPr>
                <w:p w14:paraId="0831057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合计</w:t>
                  </w:r>
                </w:p>
              </w:tc>
              <w:tc>
                <w:tcPr>
                  <w:tcW w:w="504" w:type="pct"/>
                  <w:vAlign w:val="center"/>
                </w:tcPr>
                <w:p w14:paraId="01A41B83">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3457</w:t>
                  </w:r>
                </w:p>
              </w:tc>
              <w:tc>
                <w:tcPr>
                  <w:tcW w:w="1413" w:type="pct"/>
                  <w:vAlign w:val="center"/>
                </w:tcPr>
                <w:p w14:paraId="211A6532">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系统质量平衡</w:t>
                  </w:r>
                </w:p>
              </w:tc>
            </w:tr>
          </w:tbl>
          <w:p w14:paraId="500EA611">
            <w:pPr>
              <w:pStyle w:val="22"/>
              <w:widowControl w:val="0"/>
              <w:kinsoku/>
              <w:spacing w:before="179" w:line="219" w:lineRule="auto"/>
              <w:ind w:left="48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综上所述，本项目水平衡见表2-1</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p>
          <w:p w14:paraId="5D05B8A9">
            <w:pPr>
              <w:widowControl w:val="0"/>
              <w:kinsoku/>
              <w:spacing w:line="5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表2-1</w:t>
            </w:r>
            <w:r>
              <w:rPr>
                <w:rFonts w:hint="eastAsia"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eastAsia="zh-CN"/>
                <w14:textFill>
                  <w14:solidFill>
                    <w14:schemeClr w14:val="tx1"/>
                  </w14:solidFill>
                </w14:textFill>
              </w:rPr>
              <w:t xml:space="preserve"> 项目水平衡一览表 单位：m</w:t>
            </w:r>
            <w:r>
              <w:rPr>
                <w:rFonts w:hint="default" w:ascii="Times New Roman" w:hAnsi="Times New Roman" w:eastAsia="宋体" w:cs="Times New Roman"/>
                <w:b/>
                <w:bCs/>
                <w:color w:val="000000" w:themeColor="text1"/>
                <w:vertAlign w:val="superscript"/>
                <w:lang w:eastAsia="zh-CN"/>
                <w14:textFill>
                  <w14:solidFill>
                    <w14:schemeClr w14:val="tx1"/>
                  </w14:solidFill>
                </w14:textFill>
              </w:rPr>
              <w:t>3</w:t>
            </w:r>
          </w:p>
          <w:tbl>
            <w:tblPr>
              <w:tblStyle w:val="21"/>
              <w:tblW w:w="81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12"/>
              <w:gridCol w:w="1229"/>
              <w:gridCol w:w="1478"/>
              <w:gridCol w:w="1507"/>
              <w:gridCol w:w="2204"/>
            </w:tblGrid>
            <w:tr w14:paraId="68C24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12" w:type="dxa"/>
                  <w:tcBorders>
                    <w:left w:val="single" w:color="000000" w:sz="2" w:space="0"/>
                  </w:tcBorders>
                  <w:vAlign w:val="center"/>
                </w:tcPr>
                <w:p w14:paraId="3F8A071B">
                  <w:pPr>
                    <w:pStyle w:val="22"/>
                    <w:kinsoku/>
                    <w:spacing w:before="29" w:line="22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lang w:eastAsia="zh-CN"/>
                      <w14:textFill>
                        <w14:solidFill>
                          <w14:schemeClr w14:val="tx1"/>
                        </w14:solidFill>
                      </w14:textFill>
                    </w:rPr>
                    <w:t>项目</w:t>
                  </w:r>
                </w:p>
              </w:tc>
              <w:tc>
                <w:tcPr>
                  <w:tcW w:w="1229" w:type="dxa"/>
                  <w:vAlign w:val="center"/>
                </w:tcPr>
                <w:p w14:paraId="2D3F7D3D">
                  <w:pPr>
                    <w:pStyle w:val="22"/>
                    <w:kinsoku/>
                    <w:spacing w:before="29" w:line="22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新鲜水</w:t>
                  </w:r>
                </w:p>
              </w:tc>
              <w:tc>
                <w:tcPr>
                  <w:tcW w:w="1478" w:type="dxa"/>
                  <w:vAlign w:val="center"/>
                </w:tcPr>
                <w:p w14:paraId="77B44C3F">
                  <w:pPr>
                    <w:pStyle w:val="22"/>
                    <w:kinsoku/>
                    <w:spacing w:before="29" w:line="22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损失量</w:t>
                  </w:r>
                </w:p>
              </w:tc>
              <w:tc>
                <w:tcPr>
                  <w:tcW w:w="1507" w:type="dxa"/>
                  <w:vAlign w:val="center"/>
                </w:tcPr>
                <w:p w14:paraId="5ADE0AD7">
                  <w:pPr>
                    <w:pStyle w:val="22"/>
                    <w:kinsoku/>
                    <w:spacing w:before="29" w:line="22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废水量</w:t>
                  </w:r>
                </w:p>
              </w:tc>
              <w:tc>
                <w:tcPr>
                  <w:tcW w:w="2204" w:type="dxa"/>
                  <w:vAlign w:val="center"/>
                </w:tcPr>
                <w:p w14:paraId="1352C0FC">
                  <w:pPr>
                    <w:pStyle w:val="22"/>
                    <w:kinsoku/>
                    <w:spacing w:before="29" w:line="220" w:lineRule="auto"/>
                    <w:jc w:val="cente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备注</w:t>
                  </w:r>
                </w:p>
              </w:tc>
            </w:tr>
            <w:tr w14:paraId="1AF76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712" w:type="dxa"/>
                  <w:tcBorders>
                    <w:left w:val="single" w:color="000000" w:sz="2" w:space="0"/>
                  </w:tcBorders>
                  <w:vAlign w:val="center"/>
                </w:tcPr>
                <w:p w14:paraId="000778DC">
                  <w:pPr>
                    <w:pStyle w:val="22"/>
                    <w:kinsoku/>
                    <w:spacing w:before="29" w:line="219"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钻井液配比用水</w:t>
                  </w:r>
                </w:p>
              </w:tc>
              <w:tc>
                <w:tcPr>
                  <w:tcW w:w="1229" w:type="dxa"/>
                  <w:vAlign w:val="center"/>
                </w:tcPr>
                <w:p w14:paraId="39B4529C">
                  <w:pPr>
                    <w:jc w:val="center"/>
                    <w:textAlignment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1000</w:t>
                  </w:r>
                </w:p>
              </w:tc>
              <w:tc>
                <w:tcPr>
                  <w:tcW w:w="1478" w:type="dxa"/>
                  <w:vAlign w:val="center"/>
                </w:tcPr>
                <w:p w14:paraId="55D1F779">
                  <w:pPr>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50</w:t>
                  </w:r>
                </w:p>
              </w:tc>
              <w:tc>
                <w:tcPr>
                  <w:tcW w:w="1507" w:type="dxa"/>
                  <w:vAlign w:val="center"/>
                </w:tcPr>
                <w:p w14:paraId="730FCB66">
                  <w:pPr>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950</w:t>
                  </w:r>
                </w:p>
              </w:tc>
              <w:tc>
                <w:tcPr>
                  <w:tcW w:w="2204" w:type="dxa"/>
                  <w:vAlign w:val="center"/>
                </w:tcPr>
                <w:p w14:paraId="3FFAFE38">
                  <w:pPr>
                    <w:pStyle w:val="22"/>
                    <w:kinsoku/>
                    <w:spacing w:before="29" w:line="219" w:lineRule="auto"/>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循环利用，</w:t>
                  </w: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无法回用</w:t>
                  </w: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的由第三方有资质单位处置</w:t>
                  </w:r>
                </w:p>
              </w:tc>
            </w:tr>
            <w:tr w14:paraId="74F47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1712" w:type="dxa"/>
                  <w:tcBorders>
                    <w:left w:val="single" w:color="000000" w:sz="2" w:space="0"/>
                  </w:tcBorders>
                  <w:vAlign w:val="center"/>
                </w:tcPr>
                <w:p w14:paraId="216C3538">
                  <w:pPr>
                    <w:pStyle w:val="22"/>
                    <w:kinsoku/>
                    <w:spacing w:before="29" w:line="219" w:lineRule="auto"/>
                    <w:jc w:val="cente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压裂液配比用水</w:t>
                  </w:r>
                </w:p>
              </w:tc>
              <w:tc>
                <w:tcPr>
                  <w:tcW w:w="1229" w:type="dxa"/>
                  <w:vAlign w:val="center"/>
                </w:tcPr>
                <w:p w14:paraId="4F42639C">
                  <w:pPr>
                    <w:jc w:val="center"/>
                    <w:textAlignment w:val="center"/>
                    <w:rPr>
                      <w:rFonts w:hint="default" w:ascii="Times New Roman" w:hAnsi="Times New Roman" w:eastAsia="宋体" w:cs="Times New Roman"/>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70000</w:t>
                  </w:r>
                </w:p>
              </w:tc>
              <w:tc>
                <w:tcPr>
                  <w:tcW w:w="1478" w:type="dxa"/>
                  <w:vAlign w:val="center"/>
                </w:tcPr>
                <w:p w14:paraId="40F42F57">
                  <w:pPr>
                    <w:jc w:val="center"/>
                    <w:textAlignment w:val="center"/>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highlight w:val="none"/>
                      <w:lang w:eastAsia="zh-CN" w:bidi="ar"/>
                      <w14:textFill>
                        <w14:solidFill>
                          <w14:schemeClr w14:val="tx1"/>
                        </w14:solidFill>
                      </w14:textFill>
                    </w:rPr>
                    <w:t>000</w:t>
                  </w:r>
                </w:p>
              </w:tc>
              <w:tc>
                <w:tcPr>
                  <w:tcW w:w="1507" w:type="dxa"/>
                  <w:vAlign w:val="center"/>
                </w:tcPr>
                <w:p w14:paraId="72C8E402">
                  <w:pPr>
                    <w:jc w:val="center"/>
                    <w:textAlignment w:val="center"/>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highlight w:val="none"/>
                      <w:lang w:eastAsia="zh-CN" w:bidi="ar"/>
                      <w14:textFill>
                        <w14:solidFill>
                          <w14:schemeClr w14:val="tx1"/>
                        </w14:solidFill>
                      </w14:textFill>
                    </w:rPr>
                    <w:t>000</w:t>
                  </w:r>
                </w:p>
              </w:tc>
              <w:tc>
                <w:tcPr>
                  <w:tcW w:w="2204" w:type="dxa"/>
                  <w:vMerge w:val="restart"/>
                  <w:vAlign w:val="center"/>
                </w:tcPr>
                <w:p w14:paraId="1FE024E7">
                  <w:pPr>
                    <w:kinsoku/>
                    <w:spacing w:before="65" w:line="195" w:lineRule="auto"/>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吉康</w:t>
                  </w:r>
                  <w:r>
                    <w:rPr>
                      <w:rFonts w:hint="default" w:ascii="Times New Roman" w:hAnsi="Times New Roman" w:eastAsia="宋体" w:cs="Times New Roman"/>
                      <w:color w:val="000000" w:themeColor="text1"/>
                      <w:highlight w:val="none"/>
                      <w:lang w:eastAsia="zh-CN" w:bidi="ar"/>
                      <w14:textFill>
                        <w14:solidFill>
                          <w14:schemeClr w14:val="tx1"/>
                        </w14:solidFill>
                      </w14:textFill>
                    </w:rPr>
                    <w:t>脱水站处理达标后回注</w:t>
                  </w:r>
                </w:p>
              </w:tc>
            </w:tr>
            <w:tr w14:paraId="4DFCC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12" w:type="dxa"/>
                  <w:tcBorders>
                    <w:left w:val="single" w:color="000000" w:sz="2" w:space="0"/>
                  </w:tcBorders>
                  <w:vAlign w:val="center"/>
                </w:tcPr>
                <w:p w14:paraId="614409F2">
                  <w:pPr>
                    <w:pStyle w:val="22"/>
                    <w:kinsoku/>
                    <w:spacing w:before="29" w:line="219" w:lineRule="auto"/>
                    <w:jc w:val="cente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洗井用水</w:t>
                  </w:r>
                </w:p>
              </w:tc>
              <w:tc>
                <w:tcPr>
                  <w:tcW w:w="1229" w:type="dxa"/>
                  <w:vAlign w:val="center"/>
                </w:tcPr>
                <w:p w14:paraId="0A3E6B26">
                  <w:pPr>
                    <w:jc w:val="center"/>
                    <w:textAlignment w:val="center"/>
                    <w:rPr>
                      <w:rFonts w:hint="default" w:ascii="Times New Roman" w:hAnsi="Times New Roman" w:eastAsia="宋体" w:cs="Times New Roman"/>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166</w:t>
                  </w:r>
                </w:p>
              </w:tc>
              <w:tc>
                <w:tcPr>
                  <w:tcW w:w="1478" w:type="dxa"/>
                  <w:vAlign w:val="center"/>
                </w:tcPr>
                <w:p w14:paraId="17A1494E">
                  <w:pPr>
                    <w:jc w:val="center"/>
                    <w:textAlignment w:val="center"/>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16</w:t>
                  </w:r>
                </w:p>
              </w:tc>
              <w:tc>
                <w:tcPr>
                  <w:tcW w:w="1507" w:type="dxa"/>
                  <w:vAlign w:val="center"/>
                </w:tcPr>
                <w:p w14:paraId="2185E72A">
                  <w:pPr>
                    <w:jc w:val="center"/>
                    <w:textAlignment w:val="center"/>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150</w:t>
                  </w:r>
                </w:p>
              </w:tc>
              <w:tc>
                <w:tcPr>
                  <w:tcW w:w="2204" w:type="dxa"/>
                  <w:vMerge w:val="continue"/>
                  <w:vAlign w:val="center"/>
                </w:tcPr>
                <w:p w14:paraId="29020815">
                  <w:pPr>
                    <w:kinsoku/>
                    <w:spacing w:before="65" w:line="195" w:lineRule="auto"/>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p>
              </w:tc>
            </w:tr>
            <w:tr w14:paraId="0B523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1712" w:type="dxa"/>
                  <w:tcBorders>
                    <w:left w:val="single" w:color="000000" w:sz="2" w:space="0"/>
                  </w:tcBorders>
                  <w:vAlign w:val="center"/>
                </w:tcPr>
                <w:p w14:paraId="768E6333">
                  <w:pPr>
                    <w:pStyle w:val="22"/>
                    <w:kinsoku/>
                    <w:spacing w:before="28" w:line="22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生活用水</w:t>
                  </w:r>
                </w:p>
              </w:tc>
              <w:tc>
                <w:tcPr>
                  <w:tcW w:w="1229" w:type="dxa"/>
                  <w:vAlign w:val="center"/>
                </w:tcPr>
                <w:p w14:paraId="4F808E64">
                  <w:pPr>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720</w:t>
                  </w:r>
                </w:p>
              </w:tc>
              <w:tc>
                <w:tcPr>
                  <w:tcW w:w="1478" w:type="dxa"/>
                  <w:vAlign w:val="center"/>
                </w:tcPr>
                <w:p w14:paraId="11E37DB4">
                  <w:pPr>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144</w:t>
                  </w:r>
                </w:p>
              </w:tc>
              <w:tc>
                <w:tcPr>
                  <w:tcW w:w="1507" w:type="dxa"/>
                  <w:vAlign w:val="center"/>
                </w:tcPr>
                <w:p w14:paraId="5F5A2107">
                  <w:pPr>
                    <w:jc w:val="center"/>
                    <w:textAlignment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576</w:t>
                  </w:r>
                </w:p>
              </w:tc>
              <w:tc>
                <w:tcPr>
                  <w:tcW w:w="2204" w:type="dxa"/>
                  <w:vAlign w:val="center"/>
                </w:tcPr>
                <w:p w14:paraId="1FB2040E">
                  <w:pPr>
                    <w:kinsoku/>
                    <w:spacing w:before="64" w:line="195"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highlight w:val="none"/>
                      <w:lang w:eastAsia="zh-CN"/>
                      <w14:textFill>
                        <w14:solidFill>
                          <w14:schemeClr w14:val="tx1"/>
                        </w14:solidFill>
                      </w14:textFill>
                    </w:rPr>
                    <w:t>市政污水处理厂处理</w:t>
                  </w:r>
                </w:p>
              </w:tc>
            </w:tr>
            <w:tr w14:paraId="1265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1712" w:type="dxa"/>
                  <w:tcBorders>
                    <w:left w:val="single" w:color="000000" w:sz="2" w:space="0"/>
                  </w:tcBorders>
                  <w:vAlign w:val="center"/>
                </w:tcPr>
                <w:p w14:paraId="6D69C725">
                  <w:pPr>
                    <w:pStyle w:val="22"/>
                    <w:kinsoku/>
                    <w:spacing w:before="28" w:line="220" w:lineRule="auto"/>
                    <w:jc w:val="cente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锅炉用水</w:t>
                  </w:r>
                </w:p>
              </w:tc>
              <w:tc>
                <w:tcPr>
                  <w:tcW w:w="1229" w:type="dxa"/>
                  <w:vAlign w:val="center"/>
                </w:tcPr>
                <w:p w14:paraId="0E09D4EC">
                  <w:pPr>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180</w:t>
                  </w:r>
                </w:p>
              </w:tc>
              <w:tc>
                <w:tcPr>
                  <w:tcW w:w="1478" w:type="dxa"/>
                  <w:vAlign w:val="center"/>
                </w:tcPr>
                <w:p w14:paraId="2A3A2C97">
                  <w:pPr>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180</w:t>
                  </w:r>
                </w:p>
              </w:tc>
              <w:tc>
                <w:tcPr>
                  <w:tcW w:w="1507" w:type="dxa"/>
                  <w:vAlign w:val="center"/>
                </w:tcPr>
                <w:p w14:paraId="14CD61F1">
                  <w:pPr>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p>
              </w:tc>
              <w:tc>
                <w:tcPr>
                  <w:tcW w:w="2204" w:type="dxa"/>
                  <w:vAlign w:val="center"/>
                </w:tcPr>
                <w:p w14:paraId="26332029">
                  <w:pPr>
                    <w:kinsoku/>
                    <w:spacing w:before="64" w:line="195"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r>
            <w:tr w14:paraId="430C5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1712" w:type="dxa"/>
                  <w:tcBorders>
                    <w:left w:val="single" w:color="000000" w:sz="2" w:space="0"/>
                  </w:tcBorders>
                  <w:vAlign w:val="center"/>
                </w:tcPr>
                <w:p w14:paraId="5E0ED4E9">
                  <w:pPr>
                    <w:pStyle w:val="22"/>
                    <w:kinsoku/>
                    <w:spacing w:before="29" w:line="22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合计</w:t>
                  </w:r>
                </w:p>
              </w:tc>
              <w:tc>
                <w:tcPr>
                  <w:tcW w:w="1229" w:type="dxa"/>
                  <w:vAlign w:val="center"/>
                </w:tcPr>
                <w:p w14:paraId="7A0ACACE">
                  <w:pPr>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72046</w:t>
                  </w:r>
                </w:p>
              </w:tc>
              <w:tc>
                <w:tcPr>
                  <w:tcW w:w="1478" w:type="dxa"/>
                  <w:vAlign w:val="center"/>
                </w:tcPr>
                <w:p w14:paraId="0B132AB7">
                  <w:pPr>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36260</w:t>
                  </w:r>
                </w:p>
              </w:tc>
              <w:tc>
                <w:tcPr>
                  <w:tcW w:w="1507" w:type="dxa"/>
                  <w:vAlign w:val="center"/>
                </w:tcPr>
                <w:p w14:paraId="795A54EA">
                  <w:pPr>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35786</w:t>
                  </w:r>
                </w:p>
              </w:tc>
              <w:tc>
                <w:tcPr>
                  <w:tcW w:w="2204" w:type="dxa"/>
                  <w:vAlign w:val="center"/>
                </w:tcPr>
                <w:p w14:paraId="19789C2E">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bl>
          <w:p w14:paraId="4C890A1A">
            <w:pPr>
              <w:pStyle w:val="22"/>
              <w:widowControl w:val="0"/>
              <w:kinsoku/>
              <w:spacing w:before="34" w:line="219" w:lineRule="auto"/>
              <w:ind w:left="519"/>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项目水平衡图见图2-3。</w:t>
            </w:r>
          </w:p>
          <w:p w14:paraId="40557883">
            <w:pPr>
              <w:pStyle w:val="22"/>
              <w:widowControl w:val="0"/>
              <w:kinsoku/>
              <w:spacing w:before="161"/>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drawing>
                <wp:inline distT="0" distB="0" distL="114300" distR="114300">
                  <wp:extent cx="4891405" cy="4310380"/>
                  <wp:effectExtent l="0" t="0" r="4445" b="13970"/>
                  <wp:docPr id="10" name="F360BE8B-6686-4F3D-AEAF-501FE73E4058-1" descr="C:/Users/2025.1/AppData/Local/Temp/绘图1(11).png绘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0BE8B-6686-4F3D-AEAF-501FE73E4058-1" descr="C:/Users/2025.1/AppData/Local/Temp/绘图1(11).png绘图1(11)"/>
                          <pic:cNvPicPr>
                            <a:picLocks noChangeAspect="1"/>
                          </pic:cNvPicPr>
                        </pic:nvPicPr>
                        <pic:blipFill>
                          <a:blip r:embed="rId11"/>
                          <a:stretch>
                            <a:fillRect/>
                          </a:stretch>
                        </pic:blipFill>
                        <pic:spPr>
                          <a:xfrm>
                            <a:off x="0" y="0"/>
                            <a:ext cx="4891405" cy="4310380"/>
                          </a:xfrm>
                          <a:prstGeom prst="rect">
                            <a:avLst/>
                          </a:prstGeom>
                        </pic:spPr>
                      </pic:pic>
                    </a:graphicData>
                  </a:graphic>
                </wp:inline>
              </w:drawing>
            </w:r>
          </w:p>
          <w:p w14:paraId="29FD171A">
            <w:pPr>
              <w:pStyle w:val="22"/>
              <w:widowControl w:val="0"/>
              <w:kinsoku/>
              <w:spacing w:before="161"/>
              <w:jc w:val="center"/>
              <w:rPr>
                <w:rFonts w:hint="default" w:ascii="Times New Roman" w:hAnsi="Times New Roman" w:eastAsia="宋体" w:cs="Times New Roman"/>
                <w:b/>
                <w:bCs/>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图2-3 项目水平衡图（单位：m</w:t>
            </w:r>
            <w:r>
              <w:rPr>
                <w:rFonts w:hint="default" w:ascii="Times New Roman" w:hAnsi="Times New Roman" w:eastAsia="宋体" w:cs="Times New Roman"/>
                <w:b/>
                <w:bCs/>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p w14:paraId="6D6C0E4B">
            <w:pPr>
              <w:pStyle w:val="22"/>
              <w:widowControl w:val="0"/>
              <w:kinsoku/>
              <w:spacing w:before="181" w:line="219"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pacing w:val="-3"/>
                <w:sz w:val="24"/>
                <w:szCs w:val="24"/>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t>.4供电</w:t>
            </w:r>
          </w:p>
          <w:p w14:paraId="2C91E6D6">
            <w:pPr>
              <w:pStyle w:val="22"/>
              <w:widowControl w:val="0"/>
              <w:kinsoku/>
              <w:spacing w:line="361" w:lineRule="auto"/>
              <w:ind w:left="30" w:firstLine="418"/>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本项目钻井作业动力主要依靠工业用电。每井钻井队配备柴油发电机作为备用电源，仅在工业用电中断等应急情况下使用，消耗的柴油均符合国家标准；电力供应有充分保障</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p>
          <w:p w14:paraId="74516652">
            <w:pPr>
              <w:pStyle w:val="22"/>
              <w:widowControl w:val="0"/>
              <w:kinsoku/>
              <w:spacing w:before="65"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1</w:t>
            </w: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.依托工程</w:t>
            </w:r>
          </w:p>
          <w:p w14:paraId="46C64912">
            <w:pPr>
              <w:pStyle w:val="22"/>
              <w:widowControl w:val="0"/>
              <w:spacing w:before="1" w:line="359" w:lineRule="auto"/>
              <w:ind w:left="5" w:right="3" w:firstLine="487"/>
              <w:jc w:val="both"/>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吉康脱水站</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主要服务于</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吉康油田萨探1块二叠系井井子沟组油藏开发先导试验工程</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项目，根据新疆维吾尔自治区生态环境厅《关于吉康油田萨探1块二叠系井井子沟组油藏开发先导试验工程环境影响报告书的批复》（新环审〔2024〕200号）及环评文件，吉康油田萨探1块二叠系井井子沟组油藏开发先导试验工程位于昌吉州吉木萨尔县境内，中心地理坐标为：东经89°15'2.83"，北纬43°54'53.79"，本项目2口井与</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吉康脱水站</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距离约为9km，主要建设内容包括扩建吉康脱水站（新建设计日处理规模2000立方米的一体化污水处理撬装装置，新建日注水能力700立方米的注水站），原油处理规模为19.3×10</w:t>
            </w:r>
            <w:r>
              <w:rPr>
                <w:rFonts w:hint="default" w:ascii="Times New Roman" w:hAnsi="Times New Roman" w:eastAsia="宋体" w:cs="Times New Roman"/>
                <w:color w:val="000000" w:themeColor="text1"/>
                <w:spacing w:val="-1"/>
                <w:sz w:val="24"/>
                <w:szCs w:val="24"/>
                <w:highlight w:val="none"/>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t/a。一体化污水处理撬装装置位于吉康脱水站内，该撬装装置设计处理规模2000m</w:t>
            </w:r>
            <w:r>
              <w:rPr>
                <w:rFonts w:hint="default" w:ascii="Times New Roman" w:hAnsi="Times New Roman" w:eastAsia="宋体" w:cs="Times New Roman"/>
                <w:color w:val="000000" w:themeColor="text1"/>
                <w:spacing w:val="-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d，采用“预除油+GEM三相涡流混合气浮＋石英砂、核桃壳、超滤膜三级过滤”工艺，废水处理达到《碎屑岩油藏注水水质指标技术要求及分析方法》（SY/T5329-2022）中标准后，回注吉康油田萨探1井区，回注后多余污水进行注水吞吐或外运。该脱水站</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工程于20</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年</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18日取得环评批复，截至目前进入调试运营自主验收阶段</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p>
          <w:p w14:paraId="10B5ED06">
            <w:pPr>
              <w:pStyle w:val="22"/>
              <w:widowControl w:val="0"/>
              <w:spacing w:before="1" w:line="359" w:lineRule="auto"/>
              <w:ind w:left="5" w:right="3" w:firstLine="487"/>
              <w:jc w:val="both"/>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随着准东区块的滚动开发，该区域会有新增探井或评价井陆续实施。吉康脱水站作为区域中心站，在设计之初已充分考虑了萨探区块滚动开发的废液处理需求（2000m³/d的设计规模具有较大余量）。 目前，该区域开发尚处于先导试验和评价阶段，尚未形成大规模全面投产的生产井网，现状汇入该站的废液量远未达到其设计满负荷。 分析结论： 即使考虑本项目实施后新增的废水量，以及近期区块内其他滚动开发井位的废液汇入，吉康脱水站现有的2000m³/d处理能力仍有较大富余（预计目前剩余处理能力大于1000m³/d），完全具备接纳本项目及周边滚动开发项目废液并处理达标回注的能力。依托该站进行处理在技术上可行，容量上充足。</w:t>
            </w:r>
          </w:p>
          <w:p w14:paraId="2D14D47E">
            <w:pPr>
              <w:pStyle w:val="22"/>
              <w:widowControl w:val="0"/>
              <w:kinsoku/>
              <w:spacing w:line="361" w:lineRule="auto"/>
              <w:ind w:left="30" w:firstLine="418"/>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该污水处理装置出水水质执行《碎屑岩油藏注水水质指标技术要求及分析方法》（SY/T5329-2022）中标准要求</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p>
          <w:p w14:paraId="4F6173E8">
            <w:pPr>
              <w:pStyle w:val="22"/>
              <w:widowControl w:val="0"/>
              <w:spacing w:before="1" w:line="359" w:lineRule="auto"/>
              <w:ind w:left="5" w:right="3" w:firstLine="487"/>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2口井，</w:t>
            </w:r>
            <w:r>
              <w:rPr>
                <w:rFonts w:hint="default" w:ascii="Times New Roman" w:hAnsi="Times New Roman" w:eastAsia="宋体" w:cs="Times New Roman"/>
                <w:color w:val="000000" w:themeColor="text1"/>
                <w:sz w:val="24"/>
                <w:szCs w:val="24"/>
                <w:highlight w:val="none"/>
                <w:lang w:val="en-US" w:eastAsia="en-US" w:bidi="ar"/>
                <w14:textFill>
                  <w14:solidFill>
                    <w14:schemeClr w14:val="tx1"/>
                  </w14:solidFill>
                </w14:textFill>
              </w:rPr>
              <w:t>试油期井下作业</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废压裂液产生量为35000m</w:t>
            </w:r>
            <w:r>
              <w:rPr>
                <w:rFonts w:hint="default" w:ascii="Times New Roman" w:hAnsi="Times New Roman" w:eastAsia="宋体" w:cs="Times New Roman"/>
                <w:color w:val="000000" w:themeColor="text1"/>
                <w:spacing w:val="-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，洗井废水产生量为150t</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，可以满足本工程</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试油</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期洗井废水和压裂返排液处理需求。</w:t>
            </w:r>
          </w:p>
        </w:tc>
      </w:tr>
      <w:bookmarkEnd w:id="3"/>
      <w:tr w14:paraId="42F2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4" w:type="dxa"/>
            <w:vAlign w:val="center"/>
          </w:tcPr>
          <w:p w14:paraId="1F92640E">
            <w:pPr>
              <w:widowControl w:val="0"/>
              <w:kinsoku/>
              <w:spacing w:line="36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总平面及现场布置</w:t>
            </w:r>
          </w:p>
        </w:tc>
        <w:tc>
          <w:tcPr>
            <w:tcW w:w="8394" w:type="dxa"/>
            <w:tcBorders>
              <w:top w:val="single" w:color="auto" w:sz="4" w:space="0"/>
            </w:tcBorders>
          </w:tcPr>
          <w:p w14:paraId="4E153DEF">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1.钻井期井场平面布置</w:t>
            </w:r>
          </w:p>
          <w:p w14:paraId="1FF5D34A">
            <w:pPr>
              <w:pStyle w:val="22"/>
              <w:widowControl w:val="0"/>
              <w:spacing w:before="1" w:line="359" w:lineRule="auto"/>
              <w:ind w:left="5" w:right="3" w:firstLine="487"/>
              <w:jc w:val="both"/>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本项目新钻井2口，本项目不设置取料场（借土场）</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井场平整时剥离的表层土（厚度约0.2m），单独集中堆放于井场上风向的“临时堆土区”，表面采用密目防尘网100%全覆盖并设置临时围挡，完井后全部用于原场地的地貌及植被恢复。本工程不设混凝土现场拌合站。 钻机设备基础等所需的混凝土设施均采用商品混凝土由商混运输车直接拉运至现场浇筑。钻井及施工作业动力主要依托区域工业电网供电，仅配备柴油发电机作为应急备用电源</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钻井期井场布置依据《钻前工程及井场布置技术要求》（SY/T5466-2013）相关要求，设有柴油储罐、发电机房、不落地系统、泥浆储罐区、岩屑储罐区、值班房等，钻井期井场平面布置示意图见附图11。</w:t>
            </w:r>
          </w:p>
          <w:p w14:paraId="34B79314">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2.试油期井场平面布置</w:t>
            </w:r>
          </w:p>
          <w:p w14:paraId="01922DE7">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试油期井场布置发电</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机</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房、采出液储罐、试油废水罐、值班</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房等设施并设置紧急</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集合点等，试油期井场平面布置示意图见附图12。</w:t>
            </w:r>
          </w:p>
          <w:p w14:paraId="5FF79CE8">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3.工期安排</w:t>
            </w:r>
          </w:p>
          <w:p w14:paraId="394B4DA5">
            <w:pPr>
              <w:pStyle w:val="22"/>
              <w:widowControl w:val="0"/>
              <w:kinsoku/>
              <w:spacing w:line="360" w:lineRule="auto"/>
              <w:ind w:firstLine="476" w:firstLineChars="200"/>
              <w:jc w:val="both"/>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本项目施</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工时序依次为钻井、试油、完井三部分，本项目单井钻井期为90天，试油期为300天。本项目用工实行轮休制度，采用两班两倒工作制，每班12小时。</w:t>
            </w:r>
          </w:p>
          <w:p w14:paraId="18EE7E52">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4.临时工程平面布置</w:t>
            </w:r>
          </w:p>
          <w:p w14:paraId="1070DF4B">
            <w:pPr>
              <w:pStyle w:val="22"/>
              <w:widowControl w:val="0"/>
              <w:kinsoku/>
              <w:spacing w:line="360" w:lineRule="auto"/>
              <w:ind w:firstLine="476" w:firstLineChars="200"/>
              <w:jc w:val="both"/>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本项目设1处生活营地，</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污水防渗收集池</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设置在生活营地内，生活污水排</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入</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污水防渗收集池</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定期用吸污车外运处理。根据井口位置和周围已建道路情况修建临时道路。</w:t>
            </w:r>
          </w:p>
          <w:p w14:paraId="5532E902">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5.土石方平衡</w:t>
            </w:r>
          </w:p>
          <w:p w14:paraId="1BAD05C9">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井场平整过程中需要对占地范围内表土进行剥离，剥离后用砂石料对井场和探临道路进行铺垫，剥离表土单独堆放，用于完井后临时占地的恢复，无弃方产生。土石方平衡分析具体如下：</w:t>
            </w:r>
          </w:p>
          <w:p w14:paraId="06C0382F">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钻前工程挖方作业为井场平整、铺垫过程中表层土的剥离，表层土剥离厚度约0.2m，本项目</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口井临时占地总面积为</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18020</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m²，则总挖方量约为</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3604</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。根据设计资料可知，井场平均铺垫厚度约0.</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m，据此计算，本项目总填方量</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约</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为</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3604</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p>
          <w:p w14:paraId="2580ACDB">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临时堆土场设置情况 为确保剥离的清洁表土不被施工产污环节污染，本项目临时堆土场的设置严格遵循“源头避让、物理隔离、防护到位”的原则：</w:t>
            </w:r>
          </w:p>
          <w:p w14:paraId="08883674">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选址布局（源头避让）：临时堆土场规划设置在井场上风向或地势较高的边缘区域。在平面布置上，堆土场与泥浆罐区、岩屑储罐区、危废暂存间等高风险产污单元保持10m以上的安全隔离距离，严禁在泥浆循环系统旁堆放表土，从源头上杜绝泥浆喷溅或废液漫流污染表土。</w:t>
            </w:r>
          </w:p>
          <w:p w14:paraId="4449123A">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堆存与防护措施：</w:t>
            </w:r>
          </w:p>
          <w:p w14:paraId="2E7D9C6C">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表土剥离：钻前施工时，对井场及道路占用范围内的表层土（约0.2m厚）进行剥离，单独运至临时堆土场集中堆放，严禁与下层生土或钻井岩屑混合。</w:t>
            </w:r>
          </w:p>
          <w:p w14:paraId="0FCA508D">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隔离防护：堆土场周边设置临时土埂或围堰，防止雨水径流冲刷导致水土流失，同时也防止井场内的雨污水流入堆土区。</w:t>
            </w:r>
          </w:p>
          <w:p w14:paraId="744B6739">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抑尘措施：堆土表面采用防尘网（密目网）进行全覆盖，防止大风天气产生扬尘。</w:t>
            </w:r>
          </w:p>
          <w:p w14:paraId="01DB89E1">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警示管理：设置“表土存放区”标识牌，严禁施工人员向土堆上倾倒垃圾、废油或废渣。</w:t>
            </w:r>
          </w:p>
          <w:p w14:paraId="78853DF5">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恢复利用 完井后，该部分未受污染的清洁表土将全部回铺于井场和道路，实现土石方内部平衡，无弃方外排。</w:t>
            </w:r>
          </w:p>
          <w:p w14:paraId="1D21C460">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项目土石方平衡见下表。</w:t>
            </w:r>
          </w:p>
          <w:p w14:paraId="337757C4">
            <w:pPr>
              <w:pStyle w:val="22"/>
              <w:widowControl w:val="0"/>
              <w:kinsoku/>
              <w:jc w:val="cente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eastAsia="zh-CN"/>
                <w14:textFill>
                  <w14:solidFill>
                    <w14:schemeClr w14:val="tx1"/>
                  </w14:solidFill>
                </w14:textFill>
              </w:rPr>
              <w:t>表2-1</w:t>
            </w:r>
            <w:r>
              <w:rPr>
                <w:rFonts w:hint="eastAsia" w:ascii="Times New Roman" w:hAnsi="Times New Roman" w:cs="Times New Roman"/>
                <w:b/>
                <w:bCs/>
                <w:color w:val="000000" w:themeColor="text1"/>
                <w:spacing w:val="-2"/>
                <w:sz w:val="21"/>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2"/>
                <w:sz w:val="21"/>
                <w:szCs w:val="21"/>
                <w:lang w:eastAsia="zh-CN"/>
                <w14:textFill>
                  <w14:solidFill>
                    <w14:schemeClr w14:val="tx1"/>
                  </w14:solidFill>
                </w14:textFill>
              </w:rPr>
              <w:t xml:space="preserve"> 土石方平衡一览表</w:t>
            </w:r>
          </w:p>
          <w:tbl>
            <w:tblPr>
              <w:tblStyle w:val="21"/>
              <w:tblW w:w="81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14"/>
              <w:gridCol w:w="1215"/>
              <w:gridCol w:w="1455"/>
              <w:gridCol w:w="1744"/>
              <w:gridCol w:w="1274"/>
              <w:gridCol w:w="1416"/>
            </w:tblGrid>
            <w:tr w14:paraId="3B0B2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Merge w:val="restart"/>
                  <w:vAlign w:val="center"/>
                </w:tcPr>
                <w:p w14:paraId="046EB939">
                  <w:pPr>
                    <w:pStyle w:val="22"/>
                    <w:kinsoku/>
                    <w:spacing w:before="177" w:line="229" w:lineRule="auto"/>
                    <w:jc w:val="cente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类别</w:t>
                  </w:r>
                </w:p>
              </w:tc>
              <w:tc>
                <w:tcPr>
                  <w:tcW w:w="1215" w:type="dxa"/>
                  <w:vMerge w:val="restart"/>
                  <w:tcBorders>
                    <w:bottom w:val="nil"/>
                  </w:tcBorders>
                  <w:vAlign w:val="center"/>
                </w:tcPr>
                <w:p w14:paraId="26C469F8">
                  <w:pPr>
                    <w:pStyle w:val="22"/>
                    <w:kinsoku/>
                    <w:spacing w:before="39" w:line="235" w:lineRule="auto"/>
                    <w:ind w:right="120"/>
                    <w:jc w:val="cente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t>挖方</w:t>
                  </w:r>
                </w:p>
                <w:p w14:paraId="582213A7">
                  <w:pPr>
                    <w:pStyle w:val="22"/>
                    <w:kinsoku/>
                    <w:spacing w:before="39" w:line="235" w:lineRule="auto"/>
                    <w:ind w:right="120"/>
                    <w:jc w:val="cente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pacing w:val="8"/>
                      <w:sz w:val="21"/>
                      <w:szCs w:val="21"/>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t>）</w:t>
                  </w:r>
                </w:p>
              </w:tc>
              <w:tc>
                <w:tcPr>
                  <w:tcW w:w="1455" w:type="dxa"/>
                  <w:vMerge w:val="restart"/>
                  <w:tcBorders>
                    <w:bottom w:val="nil"/>
                  </w:tcBorders>
                  <w:vAlign w:val="center"/>
                </w:tcPr>
                <w:p w14:paraId="2E58CF3A">
                  <w:pPr>
                    <w:pStyle w:val="22"/>
                    <w:kinsoku/>
                    <w:spacing w:before="39" w:line="235" w:lineRule="auto"/>
                    <w:ind w:right="120"/>
                    <w:jc w:val="cente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t>填方</w:t>
                  </w:r>
                </w:p>
                <w:p w14:paraId="2012AA95">
                  <w:pPr>
                    <w:pStyle w:val="22"/>
                    <w:kinsoku/>
                    <w:spacing w:before="39" w:line="235" w:lineRule="auto"/>
                    <w:ind w:right="120"/>
                    <w:jc w:val="cente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pacing w:val="8"/>
                      <w:sz w:val="21"/>
                      <w:szCs w:val="21"/>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t>）</w:t>
                  </w:r>
                </w:p>
              </w:tc>
              <w:tc>
                <w:tcPr>
                  <w:tcW w:w="1744" w:type="dxa"/>
                  <w:vMerge w:val="restart"/>
                  <w:tcBorders>
                    <w:bottom w:val="nil"/>
                  </w:tcBorders>
                  <w:vAlign w:val="center"/>
                </w:tcPr>
                <w:p w14:paraId="0726C6B0">
                  <w:pPr>
                    <w:pStyle w:val="22"/>
                    <w:kinsoku/>
                    <w:spacing w:before="39" w:line="235" w:lineRule="auto"/>
                    <w:ind w:right="12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8"/>
                      <w:sz w:val="21"/>
                      <w:szCs w:val="21"/>
                      <w:lang w:eastAsia="zh-CN"/>
                      <w14:textFill>
                        <w14:solidFill>
                          <w14:schemeClr w14:val="tx1"/>
                        </w14:solidFill>
                      </w14:textFill>
                    </w:rPr>
                    <w:t>借方</w:t>
                  </w:r>
                  <w:r>
                    <w:rPr>
                      <w:rFonts w:hint="default" w:ascii="Times New Roman" w:hAnsi="Times New Roman" w:eastAsia="宋体" w:cs="Times New Roman"/>
                      <w:b/>
                      <w:bCs/>
                      <w:color w:val="000000" w:themeColor="text1"/>
                      <w:spacing w:val="1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3"/>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pacing w:val="3"/>
                      <w:position w:val="6"/>
                      <w:sz w:val="21"/>
                      <w:szCs w:val="21"/>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pacing w:val="3"/>
                      <w:sz w:val="21"/>
                      <w:szCs w:val="21"/>
                      <w:lang w:eastAsia="zh-CN"/>
                      <w14:textFill>
                        <w14:solidFill>
                          <w14:schemeClr w14:val="tx1"/>
                        </w14:solidFill>
                      </w14:textFill>
                    </w:rPr>
                    <w:t>）</w:t>
                  </w:r>
                </w:p>
              </w:tc>
              <w:tc>
                <w:tcPr>
                  <w:tcW w:w="2690" w:type="dxa"/>
                  <w:gridSpan w:val="2"/>
                  <w:tcBorders>
                    <w:right w:val="single" w:color="000000" w:sz="4" w:space="0"/>
                  </w:tcBorders>
                  <w:vAlign w:val="center"/>
                </w:tcPr>
                <w:p w14:paraId="75A0F605">
                  <w:pPr>
                    <w:pStyle w:val="22"/>
                    <w:kinsoku/>
                    <w:spacing w:before="36" w:line="213"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弃方（m</w:t>
                  </w:r>
                  <w:r>
                    <w:rPr>
                      <w:rFonts w:hint="default" w:ascii="Times New Roman" w:hAnsi="Times New Roman" w:eastAsia="宋体" w:cs="Times New Roman"/>
                      <w:b/>
                      <w:bCs/>
                      <w:color w:val="000000" w:themeColor="text1"/>
                      <w:spacing w:val="5"/>
                      <w:sz w:val="21"/>
                      <w:szCs w:val="21"/>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w:t>
                  </w:r>
                </w:p>
              </w:tc>
            </w:tr>
            <w:tr w14:paraId="14592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Merge w:val="continue"/>
                  <w:vAlign w:val="center"/>
                </w:tcPr>
                <w:p w14:paraId="35910BDF">
                  <w:pPr>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tc>
              <w:tc>
                <w:tcPr>
                  <w:tcW w:w="1215" w:type="dxa"/>
                  <w:vMerge w:val="continue"/>
                  <w:tcBorders>
                    <w:top w:val="nil"/>
                  </w:tcBorders>
                  <w:vAlign w:val="center"/>
                </w:tcPr>
                <w:p w14:paraId="18813398">
                  <w:pPr>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tc>
              <w:tc>
                <w:tcPr>
                  <w:tcW w:w="1455" w:type="dxa"/>
                  <w:vMerge w:val="continue"/>
                  <w:tcBorders>
                    <w:top w:val="nil"/>
                  </w:tcBorders>
                  <w:vAlign w:val="center"/>
                </w:tcPr>
                <w:p w14:paraId="2FA50FEF">
                  <w:pPr>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tc>
              <w:tc>
                <w:tcPr>
                  <w:tcW w:w="1744" w:type="dxa"/>
                  <w:vMerge w:val="continue"/>
                  <w:tcBorders>
                    <w:top w:val="nil"/>
                  </w:tcBorders>
                  <w:vAlign w:val="center"/>
                </w:tcPr>
                <w:p w14:paraId="6A6102C3">
                  <w:pPr>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tc>
              <w:tc>
                <w:tcPr>
                  <w:tcW w:w="1274" w:type="dxa"/>
                  <w:vAlign w:val="center"/>
                </w:tcPr>
                <w:p w14:paraId="26B3E2DC">
                  <w:pPr>
                    <w:pStyle w:val="22"/>
                    <w:kinsoku/>
                    <w:spacing w:before="37" w:line="212"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3"/>
                      <w:sz w:val="21"/>
                      <w:szCs w:val="21"/>
                      <w:lang w:eastAsia="zh-CN"/>
                      <w14:textFill>
                        <w14:solidFill>
                          <w14:schemeClr w14:val="tx1"/>
                        </w14:solidFill>
                      </w14:textFill>
                    </w:rPr>
                    <w:t>数量</w:t>
                  </w:r>
                </w:p>
              </w:tc>
              <w:tc>
                <w:tcPr>
                  <w:tcW w:w="1416" w:type="dxa"/>
                  <w:tcBorders>
                    <w:right w:val="single" w:color="000000" w:sz="4" w:space="0"/>
                  </w:tcBorders>
                  <w:vAlign w:val="center"/>
                </w:tcPr>
                <w:p w14:paraId="5E12DA9A">
                  <w:pPr>
                    <w:pStyle w:val="22"/>
                    <w:kinsoku/>
                    <w:spacing w:before="37" w:line="212"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3"/>
                      <w:sz w:val="21"/>
                      <w:szCs w:val="21"/>
                      <w:lang w:eastAsia="zh-CN"/>
                      <w14:textFill>
                        <w14:solidFill>
                          <w14:schemeClr w14:val="tx1"/>
                        </w14:solidFill>
                      </w14:textFill>
                    </w:rPr>
                    <w:t>去向</w:t>
                  </w:r>
                </w:p>
              </w:tc>
            </w:tr>
            <w:tr w14:paraId="5E27A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Align w:val="center"/>
                </w:tcPr>
                <w:p w14:paraId="3B3EE705">
                  <w:pPr>
                    <w:kinsoku/>
                    <w:spacing w:before="58" w:line="194" w:lineRule="auto"/>
                    <w:jc w:val="center"/>
                    <w:rPr>
                      <w:rFonts w:hint="default" w:ascii="Times New Roman" w:hAnsi="Times New Roman" w:eastAsia="宋体" w:cs="Times New Roman"/>
                      <w:color w:val="000000" w:themeColor="text1"/>
                      <w:spacing w:val="3"/>
                      <w:lang w:eastAsia="zh-CN"/>
                      <w14:textFill>
                        <w14:solidFill>
                          <w14:schemeClr w14:val="tx1"/>
                        </w14:solidFill>
                      </w14:textFill>
                    </w:rPr>
                  </w:pPr>
                  <w:r>
                    <w:rPr>
                      <w:rFonts w:hint="default" w:ascii="Times New Roman" w:hAnsi="Times New Roman" w:eastAsia="宋体" w:cs="Times New Roman"/>
                      <w:color w:val="000000" w:themeColor="text1"/>
                      <w:spacing w:val="3"/>
                      <w:lang w:eastAsia="zh-CN"/>
                      <w14:textFill>
                        <w14:solidFill>
                          <w14:schemeClr w14:val="tx1"/>
                        </w14:solidFill>
                      </w14:textFill>
                    </w:rPr>
                    <w:t>合计</w:t>
                  </w:r>
                </w:p>
              </w:tc>
              <w:tc>
                <w:tcPr>
                  <w:tcW w:w="1215" w:type="dxa"/>
                  <w:vAlign w:val="center"/>
                </w:tcPr>
                <w:p w14:paraId="77316FF9">
                  <w:pPr>
                    <w:pStyle w:val="22"/>
                    <w:kinsoku/>
                    <w:spacing w:before="39" w:line="235" w:lineRule="auto"/>
                    <w:ind w:right="120"/>
                    <w:jc w:val="cente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3604</w:t>
                  </w:r>
                </w:p>
              </w:tc>
              <w:tc>
                <w:tcPr>
                  <w:tcW w:w="1455" w:type="dxa"/>
                  <w:vAlign w:val="center"/>
                </w:tcPr>
                <w:p w14:paraId="3EA19666">
                  <w:pPr>
                    <w:pStyle w:val="22"/>
                    <w:kinsoku/>
                    <w:spacing w:before="39" w:line="235" w:lineRule="auto"/>
                    <w:ind w:right="120"/>
                    <w:jc w:val="cente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3604</w:t>
                  </w:r>
                </w:p>
              </w:tc>
              <w:tc>
                <w:tcPr>
                  <w:tcW w:w="1744" w:type="dxa"/>
                  <w:vAlign w:val="center"/>
                </w:tcPr>
                <w:p w14:paraId="5813931B">
                  <w:pPr>
                    <w:pStyle w:val="22"/>
                    <w:kinsoku/>
                    <w:spacing w:before="39" w:line="235" w:lineRule="auto"/>
                    <w:ind w:right="120"/>
                    <w:jc w:val="cente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0</w:t>
                  </w:r>
                </w:p>
              </w:tc>
              <w:tc>
                <w:tcPr>
                  <w:tcW w:w="1274" w:type="dxa"/>
                  <w:vAlign w:val="center"/>
                </w:tcPr>
                <w:p w14:paraId="01FF5AAA">
                  <w:pPr>
                    <w:kinsoku/>
                    <w:spacing w:before="58" w:line="194"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w:t>
                  </w:r>
                </w:p>
              </w:tc>
              <w:tc>
                <w:tcPr>
                  <w:tcW w:w="1416" w:type="dxa"/>
                  <w:tcBorders>
                    <w:right w:val="single" w:color="000000" w:sz="4" w:space="0"/>
                  </w:tcBorders>
                  <w:vAlign w:val="center"/>
                </w:tcPr>
                <w:p w14:paraId="3C45D5CB">
                  <w:pPr>
                    <w:kinsoku/>
                    <w:spacing w:before="54" w:line="198" w:lineRule="auto"/>
                    <w:jc w:val="center"/>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w:t>
                  </w:r>
                </w:p>
              </w:tc>
            </w:tr>
          </w:tbl>
          <w:p w14:paraId="319C17C4">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p>
          <w:p w14:paraId="4C487685">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6.防渗设计</w:t>
            </w:r>
          </w:p>
          <w:p w14:paraId="12F7AEA0">
            <w:pPr>
              <w:widowControl/>
              <w:tabs>
                <w:tab w:val="left" w:pos="4584"/>
              </w:tabs>
              <w:kinsoku/>
              <w:spacing w:line="500" w:lineRule="exact"/>
              <w:ind w:firstLine="476" w:firstLineChars="200"/>
              <w:jc w:val="both"/>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本项目钻井井场</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柴油储罐、发电</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机</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房、不落地系统、泥浆储罐区、岩屑储罐区、危险</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贮存库</w:t>
            </w:r>
            <w:r>
              <w:rPr>
                <w:rFonts w:hint="default" w:ascii="Times New Roman" w:hAnsi="Times New Roman" w:eastAsia="宋体" w:cs="Times New Roman"/>
                <w:color w:val="000000" w:themeColor="text1"/>
                <w:sz w:val="24"/>
                <w:szCs w:val="24"/>
                <w:lang w:eastAsia="zh-CN"/>
                <w14:textFill>
                  <w14:solidFill>
                    <w14:schemeClr w14:val="tx1"/>
                  </w14:solidFill>
                </w14:textFill>
              </w:rPr>
              <w:t>采取重点防渗，参照《危险废物贮存污染控制标准》（</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GB18597-2023）中相应防渗要求进行防渗；</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防渗收集池</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为一般</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防渗区；水罐区、库房和值班房等其他区域为简单防渗区。</w:t>
            </w:r>
          </w:p>
        </w:tc>
      </w:tr>
      <w:tr w14:paraId="2F63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7CDE47EC">
            <w:pPr>
              <w:widowControl w:val="0"/>
              <w:kinsoku/>
              <w:spacing w:line="36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施工方案</w:t>
            </w:r>
          </w:p>
        </w:tc>
        <w:tc>
          <w:tcPr>
            <w:tcW w:w="8394" w:type="dxa"/>
          </w:tcPr>
          <w:p w14:paraId="767A214A">
            <w:pPr>
              <w:pStyle w:val="22"/>
              <w:widowControl w:val="0"/>
              <w:kinsoku/>
              <w:spacing w:before="36" w:line="227"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7"/>
                <w:sz w:val="24"/>
                <w:szCs w:val="24"/>
                <w:lang w:eastAsia="zh-CN"/>
                <w14:textFill>
                  <w14:solidFill>
                    <w14:schemeClr w14:val="tx1"/>
                  </w14:solidFill>
                </w14:textFill>
              </w:rPr>
              <w:t>工艺流程简述（图示</w:t>
            </w:r>
            <w:r>
              <w:rPr>
                <w:rFonts w:hint="default" w:ascii="Times New Roman" w:hAnsi="Times New Roman" w:eastAsia="宋体" w:cs="Times New Roman"/>
                <w:b/>
                <w:bCs/>
                <w:color w:val="000000" w:themeColor="text1"/>
                <w:spacing w:val="-1"/>
                <w:sz w:val="24"/>
                <w:szCs w:val="24"/>
                <w:lang w:eastAsia="zh-CN"/>
                <w14:textFill>
                  <w14:solidFill>
                    <w14:schemeClr w14:val="tx1"/>
                  </w14:solidFill>
                </w14:textFill>
              </w:rPr>
              <w:t>）：</w:t>
            </w:r>
          </w:p>
          <w:p w14:paraId="465C1E20">
            <w:pPr>
              <w:pStyle w:val="22"/>
              <w:widowControl w:val="0"/>
              <w:kinsoku/>
              <w:spacing w:before="183" w:line="360" w:lineRule="auto"/>
              <w:ind w:firstLine="492"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本项目包括钻井及试油工程，其中单井</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钻</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井期为90天，</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试油期300天。</w:t>
            </w:r>
          </w:p>
          <w:p w14:paraId="56FC9069">
            <w:pPr>
              <w:pStyle w:val="22"/>
              <w:widowControl w:val="0"/>
              <w:numPr>
                <w:ilvl w:val="0"/>
                <w:numId w:val="6"/>
              </w:numPr>
              <w:kinsoku/>
              <w:spacing w:before="39" w:line="360" w:lineRule="auto"/>
              <w:ind w:left="12"/>
              <w:jc w:val="both"/>
              <w:rPr>
                <w:rFonts w:hint="default" w:ascii="Times New Roman" w:hAnsi="Times New Roman" w:eastAsia="宋体" w:cs="Times New Roman"/>
                <w:b/>
                <w:bCs/>
                <w:color w:val="000000" w:themeColor="text1"/>
                <w:spacing w:val="-8"/>
                <w:sz w:val="24"/>
                <w:szCs w:val="24"/>
                <w14:textFill>
                  <w14:solidFill>
                    <w14:schemeClr w14:val="tx1"/>
                  </w14:solidFill>
                </w14:textFill>
              </w:rPr>
            </w:pPr>
            <w:r>
              <w:rPr>
                <w:rFonts w:hint="default" w:ascii="Times New Roman" w:hAnsi="Times New Roman" w:eastAsia="宋体" w:cs="Times New Roman"/>
                <w:b/>
                <w:bCs/>
                <w:color w:val="000000" w:themeColor="text1"/>
                <w:spacing w:val="-8"/>
                <w:sz w:val="24"/>
                <w:szCs w:val="24"/>
                <w14:textFill>
                  <w14:solidFill>
                    <w14:schemeClr w14:val="tx1"/>
                  </w14:solidFill>
                </w14:textFill>
              </w:rPr>
              <w:t>钻井工艺流程</w:t>
            </w:r>
          </w:p>
          <w:p w14:paraId="323CDD5E">
            <w:pPr>
              <w:pStyle w:val="22"/>
              <w:widowControl w:val="0"/>
              <w:kinsoku/>
              <w:spacing w:before="183" w:line="360" w:lineRule="auto"/>
              <w:ind w:firstLine="492" w:firstLineChars="200"/>
              <w:jc w:val="both"/>
              <w:rPr>
                <w:rFonts w:hint="default" w:ascii="Times New Roman" w:hAnsi="Times New Roman" w:eastAsia="宋体" w:cs="Times New Roman"/>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项目钻井工艺流程及其产污节点图见图2-4。</w:t>
            </w:r>
          </w:p>
          <w:p w14:paraId="64053517">
            <w:pPr>
              <w:pStyle w:val="22"/>
              <w:widowControl w:val="0"/>
              <w:kinsoku/>
              <w:spacing w:before="39"/>
              <w:ind w:left="12" w:firstLine="400" w:firstLineChars="20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position w:val="-66"/>
                <w14:textFill>
                  <w14:solidFill>
                    <w14:schemeClr w14:val="tx1"/>
                  </w14:solidFill>
                </w14:textFill>
              </w:rPr>
              <w:drawing>
                <wp:inline distT="0" distB="0" distL="0" distR="0">
                  <wp:extent cx="4810760" cy="2095500"/>
                  <wp:effectExtent l="0" t="0" r="8890" b="0"/>
                  <wp:docPr id="40" name="IM 26"/>
                  <wp:cNvGraphicFramePr/>
                  <a:graphic xmlns:a="http://schemas.openxmlformats.org/drawingml/2006/main">
                    <a:graphicData uri="http://schemas.openxmlformats.org/drawingml/2006/picture">
                      <pic:pic xmlns:pic="http://schemas.openxmlformats.org/drawingml/2006/picture">
                        <pic:nvPicPr>
                          <pic:cNvPr id="40" name="IM 26"/>
                          <pic:cNvPicPr/>
                        </pic:nvPicPr>
                        <pic:blipFill>
                          <a:blip r:embed="rId12"/>
                          <a:stretch>
                            <a:fillRect/>
                          </a:stretch>
                        </pic:blipFill>
                        <pic:spPr>
                          <a:xfrm>
                            <a:off x="0" y="0"/>
                            <a:ext cx="4811267" cy="2095500"/>
                          </a:xfrm>
                          <a:prstGeom prst="rect">
                            <a:avLst/>
                          </a:prstGeom>
                        </pic:spPr>
                      </pic:pic>
                    </a:graphicData>
                  </a:graphic>
                </wp:inline>
              </w:drawing>
            </w:r>
          </w:p>
          <w:p w14:paraId="36D29A4F">
            <w:pPr>
              <w:pStyle w:val="22"/>
              <w:widowControl w:val="0"/>
              <w:kinsoku/>
              <w:spacing w:before="169"/>
              <w:jc w:val="center"/>
              <w:rPr>
                <w:rFonts w:hint="default" w:ascii="Times New Roman" w:hAnsi="Times New Roman" w:eastAsia="宋体" w:cs="Times New Roman"/>
                <w:b/>
                <w:bCs/>
                <w:color w:val="000000" w:themeColor="text1"/>
                <w:spacing w:val="4"/>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lang w:eastAsia="zh-CN"/>
                <w14:textFill>
                  <w14:solidFill>
                    <w14:schemeClr w14:val="tx1"/>
                  </w14:solidFill>
                </w14:textFill>
              </w:rPr>
              <w:t>图2-4 钻井工艺流程及产污节点图</w:t>
            </w:r>
          </w:p>
          <w:p w14:paraId="07D3B600">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钻井工程包括：钻前作业、设备进场，钻井施工、试油作业、地貌恢复。</w:t>
            </w:r>
          </w:p>
          <w:p w14:paraId="5FF9E10F">
            <w:pPr>
              <w:pStyle w:val="22"/>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1.1钻前</w:t>
            </w:r>
            <w:r>
              <w:rPr>
                <w:rFonts w:hint="default" w:ascii="Times New Roman" w:hAnsi="Times New Roman" w:eastAsia="宋体" w:cs="Times New Roman"/>
                <w:b/>
                <w:bCs/>
                <w:color w:val="000000" w:themeColor="text1"/>
                <w:spacing w:val="-4"/>
                <w:sz w:val="24"/>
                <w:szCs w:val="24"/>
                <w:lang w:eastAsia="zh-CN"/>
                <w14:textFill>
                  <w14:solidFill>
                    <w14:schemeClr w14:val="tx1"/>
                  </w14:solidFill>
                </w14:textFill>
              </w:rPr>
              <w:t>作业</w:t>
            </w:r>
          </w:p>
          <w:p w14:paraId="103BEC18">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（1）钻前整理场地，并保证全套钻井设备达到相关的安装标准。</w:t>
            </w:r>
          </w:p>
          <w:p w14:paraId="65DD20EB">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（2）在钻机安装的过程中，注意保护井口设备。</w:t>
            </w:r>
          </w:p>
          <w:p w14:paraId="6F44CD28">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（3）要求天车、转盘、井口三点成一条铅垂线，误差小于10mm；确保在施工过程中不偏磨井口套管及井控设备。</w:t>
            </w:r>
          </w:p>
          <w:p w14:paraId="3D7F660D">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（4）设备运转正常，安全装置灵活好用。各种仪器仪表准确灵敏好用。</w:t>
            </w:r>
          </w:p>
          <w:p w14:paraId="5B7AD790">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（5）地面高压管线用清水按标准试压。</w:t>
            </w:r>
          </w:p>
          <w:p w14:paraId="12AC9D29">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（6）钻具在入井前必须用通径规通径。</w:t>
            </w:r>
          </w:p>
          <w:p w14:paraId="0315EC50">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（7）对所有的下井钻具进行外观检查和超声波探伤，准确丈量钻具，钻具记录上注明内外径、扣型，特殊工具要画草图。</w:t>
            </w:r>
          </w:p>
          <w:p w14:paraId="7B17784C">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（8）修建进场道路。</w:t>
            </w:r>
          </w:p>
          <w:p w14:paraId="4E6F0781">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1.2钻井施工</w:t>
            </w:r>
          </w:p>
          <w:p w14:paraId="147FAF11">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钻井是采用旋转的钻头给所钻的地层一定的压力，使钻头的牙齿嵌入地层，然后旋转钻头，利用旋转钻头的扭矩来切削地层，并用循环的钻井液将钻屑带出井眼，以保证持续钻井。</w:t>
            </w:r>
            <w:r>
              <w:rPr>
                <w:rFonts w:hint="default" w:ascii="Times New Roman" w:hAnsi="Times New Roman" w:eastAsia="宋体" w:cs="Times New Roman"/>
                <w:color w:val="000000" w:themeColor="text1"/>
                <w:sz w:val="24"/>
                <w:szCs w:val="24"/>
                <w14:textFill>
                  <w14:solidFill>
                    <w14:schemeClr w14:val="tx1"/>
                  </w14:solidFill>
                </w14:textFill>
              </w:rPr>
              <w:t>钻井施工作业流程及排污节点见图2-</w:t>
            </w:r>
            <w:r>
              <w:rPr>
                <w:rFonts w:hint="default" w:ascii="Times New Roman" w:hAnsi="Times New Roman" w:eastAsia="宋体" w:cs="Times New Roman"/>
                <w:color w:val="000000" w:themeColor="text1"/>
                <w:sz w:val="24"/>
                <w:szCs w:val="24"/>
                <w:lang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p>
          <w:p w14:paraId="016BD26E">
            <w:pPr>
              <w:pStyle w:val="22"/>
              <w:widowControl w:val="0"/>
              <w:kinsoku/>
              <w:spacing w:line="360" w:lineRule="auto"/>
              <w:ind w:firstLine="482" w:firstLineChars="200"/>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drawing>
                <wp:inline distT="0" distB="0" distL="114300" distR="114300">
                  <wp:extent cx="5237480" cy="3155950"/>
                  <wp:effectExtent l="0" t="0" r="1270" b="6350"/>
                  <wp:docPr id="15" name="图片 15"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nnamed (1)"/>
                          <pic:cNvPicPr>
                            <a:picLocks noChangeAspect="1"/>
                          </pic:cNvPicPr>
                        </pic:nvPicPr>
                        <pic:blipFill>
                          <a:blip r:embed="rId13"/>
                          <a:stretch>
                            <a:fillRect/>
                          </a:stretch>
                        </pic:blipFill>
                        <pic:spPr>
                          <a:xfrm>
                            <a:off x="0" y="0"/>
                            <a:ext cx="5237480" cy="3155950"/>
                          </a:xfrm>
                          <a:prstGeom prst="rect">
                            <a:avLst/>
                          </a:prstGeom>
                        </pic:spPr>
                      </pic:pic>
                    </a:graphicData>
                  </a:graphic>
                </wp:inline>
              </w:drawing>
            </w:r>
          </w:p>
          <w:p w14:paraId="207482BB">
            <w:pPr>
              <w:pStyle w:val="22"/>
              <w:widowControl w:val="0"/>
              <w:kinsoku/>
              <w:spacing w:before="176" w:line="360" w:lineRule="auto"/>
              <w:ind w:left="2416"/>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图2-5 钻井施工作业流程及产污节点图</w:t>
            </w:r>
          </w:p>
          <w:p w14:paraId="38492141">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钻井时井筒排出的钻井泥浆及岩屑进</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入泥浆不落地循环系统，随后用专用车辆拉至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有资质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单位集中处理。</w:t>
            </w:r>
          </w:p>
          <w:p w14:paraId="4148529A">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1.3固井作业</w:t>
            </w:r>
          </w:p>
          <w:p w14:paraId="0E95C6B3">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固井是在已钻成的井眼内下入套管，然后在套管与井壁之间环空内注入水泥浆将套管和地层固结在一起的工艺过程，可防止复杂情况以保证安全继续钻进下一段井眼或保证顺利开采生产层中的油、气。</w:t>
            </w:r>
          </w:p>
          <w:p w14:paraId="22F471F5">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防喷设备等。</w:t>
            </w:r>
          </w:p>
          <w:p w14:paraId="16C48EEF">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另外，现场施工前根据实际情况要做水泥浆配方及性能复核试验，同时，如果是钻井中井漏严重，则应考虑采用双凝水泥浆体系固井，从而提高固井质量，防止因为井漏事故造成地下水环境污染。</w:t>
            </w:r>
          </w:p>
          <w:p w14:paraId="0DAC32E1">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2.试油作业</w:t>
            </w:r>
          </w:p>
          <w:p w14:paraId="2228A33A">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在钻井施工完毕后对目的层进行试油作业。主要包括试油准备、储层改造和试油。</w:t>
            </w:r>
          </w:p>
          <w:p w14:paraId="0C0AB879">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2.1试油准备</w:t>
            </w:r>
          </w:p>
          <w:p w14:paraId="1253A99D">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试油准备主要进行通井、洗井和试压工作。通井时用钻杆或油管带通井规下入井内，检查套管是否有影响试油工具通过的弯曲和固体物质等；洗井使用泵注设备，利用洗井液，通过井内管柱内外循环，清除套管壁杂物等；试压用气体或液体介质，对地面流程、井口设备、井下套管等进行耐压程度检验。</w:t>
            </w:r>
          </w:p>
          <w:p w14:paraId="2E9EB398">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2.2储层改造</w:t>
            </w:r>
          </w:p>
          <w:p w14:paraId="195C939B">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储层改造包括射孔和压裂两个工序。射孔时利用专用设备和射孔枪，对套管和井壁进行射孔，建立地层与井筒之间的通道；射孔方式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为：桥射联作；压裂时用泵车将压裂液挤入油层，当把油层压出许多裂缝后加入支撑剂（如石英砂</w:t>
            </w:r>
            <w:r>
              <w:rPr>
                <w:rFonts w:hint="default" w:ascii="Times New Roman" w:hAnsi="Times New Roman" w:eastAsia="宋体" w:cs="Times New Roman"/>
                <w:color w:val="000000" w:themeColor="text1"/>
                <w:sz w:val="24"/>
                <w:szCs w:val="24"/>
                <w:lang w:eastAsia="zh-CN"/>
                <w14:textFill>
                  <w14:solidFill>
                    <w14:schemeClr w14:val="tx1"/>
                  </w14:solidFill>
                </w14:textFill>
              </w:rPr>
              <w:t>等），使其充填进裂缝，可有效提高油气层的渗透能力。停泵后，压裂返排液自喷返排至地面专用废液收集罐中，拉运至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吉康</w:t>
            </w:r>
            <w:r>
              <w:rPr>
                <w:rFonts w:hint="default" w:ascii="Times New Roman" w:hAnsi="Times New Roman" w:eastAsia="宋体" w:cs="Times New Roman"/>
                <w:color w:val="000000" w:themeColor="text1"/>
                <w:sz w:val="24"/>
                <w:szCs w:val="24"/>
                <w:lang w:eastAsia="zh-CN"/>
                <w14:textFill>
                  <w14:solidFill>
                    <w14:schemeClr w14:val="tx1"/>
                  </w14:solidFill>
                </w14:textFill>
              </w:rPr>
              <w:t>脱水站污水处理系统处理。</w:t>
            </w:r>
          </w:p>
          <w:p w14:paraId="0F975C6E">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其中压裂工艺具体为：泵注桥塞射孔连作→压裂→焖井→排液→测试生产。</w:t>
            </w:r>
          </w:p>
          <w:p w14:paraId="3CC1A780">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项目压裂作业工艺流程及其产污环节图见图2-6。</w:t>
            </w:r>
          </w:p>
          <w:p w14:paraId="6C43B489">
            <w:pPr>
              <w:pStyle w:val="22"/>
              <w:widowControl w:val="0"/>
              <w:kinsoku/>
              <w:spacing w:line="360"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drawing>
                <wp:inline distT="0" distB="0" distL="114300" distR="114300">
                  <wp:extent cx="4613275" cy="1137920"/>
                  <wp:effectExtent l="0" t="0" r="15875" b="5080"/>
                  <wp:docPr id="5" name="图片 5" descr="压裂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压裂工艺"/>
                          <pic:cNvPicPr>
                            <a:picLocks noChangeAspect="1"/>
                          </pic:cNvPicPr>
                        </pic:nvPicPr>
                        <pic:blipFill>
                          <a:blip r:embed="rId14"/>
                          <a:stretch>
                            <a:fillRect/>
                          </a:stretch>
                        </pic:blipFill>
                        <pic:spPr>
                          <a:xfrm>
                            <a:off x="0" y="0"/>
                            <a:ext cx="4613275" cy="1137920"/>
                          </a:xfrm>
                          <a:prstGeom prst="rect">
                            <a:avLst/>
                          </a:prstGeom>
                        </pic:spPr>
                      </pic:pic>
                    </a:graphicData>
                  </a:graphic>
                </wp:inline>
              </w:drawing>
            </w:r>
          </w:p>
          <w:p w14:paraId="7C71E034">
            <w:pPr>
              <w:widowControl/>
              <w:kinsoku/>
              <w:spacing w:line="360"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5"/>
                <w:lang w:eastAsia="zh-CN"/>
                <w14:textFill>
                  <w14:solidFill>
                    <w14:schemeClr w14:val="tx1"/>
                  </w14:solidFill>
                </w14:textFill>
              </w:rPr>
              <w:t>图2-6 压裂作业工艺流程及产污环节图</w:t>
            </w:r>
          </w:p>
          <w:p w14:paraId="37B33595">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2.3试油</w:t>
            </w:r>
          </w:p>
          <w:p w14:paraId="711B775B">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储层改造完成后方可进行试油作业，需在井口安装分离器，对获取的地层油、气、水进行取样。采出液进入地面储罐，最终由罐车拉运至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吉康</w:t>
            </w:r>
            <w:r>
              <w:rPr>
                <w:rFonts w:hint="default" w:ascii="Times New Roman" w:hAnsi="Times New Roman" w:eastAsia="宋体" w:cs="Times New Roman"/>
                <w:color w:val="000000" w:themeColor="text1"/>
                <w:sz w:val="24"/>
                <w:szCs w:val="24"/>
                <w:lang w:eastAsia="zh-CN"/>
                <w14:textFill>
                  <w14:solidFill>
                    <w14:schemeClr w14:val="tx1"/>
                  </w14:solidFill>
                </w14:textFill>
              </w:rPr>
              <w:t>脱水站原油处理系统处理，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具备燃烧条件的伴生</w:t>
            </w:r>
            <w:r>
              <w:rPr>
                <w:rFonts w:hint="default" w:ascii="Times New Roman" w:hAnsi="Times New Roman" w:eastAsia="宋体" w:cs="Times New Roman"/>
                <w:color w:val="000000" w:themeColor="text1"/>
                <w:sz w:val="24"/>
                <w:szCs w:val="24"/>
                <w:lang w:eastAsia="zh-CN"/>
                <w14:textFill>
                  <w14:solidFill>
                    <w14:schemeClr w14:val="tx1"/>
                  </w14:solidFill>
                </w14:textFill>
              </w:rPr>
              <w:t>气通过地面排气管线充分燃烧后放空。</w:t>
            </w:r>
          </w:p>
          <w:p w14:paraId="45BEE348">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项目试油作业流程见图2-7。</w:t>
            </w:r>
          </w:p>
          <w:p w14:paraId="4722197F">
            <w:pPr>
              <w:pStyle w:val="22"/>
              <w:widowControl w:val="0"/>
              <w:kinsoku/>
              <w:spacing w:line="360" w:lineRule="auto"/>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drawing>
                <wp:inline distT="0" distB="0" distL="114300" distR="114300">
                  <wp:extent cx="5501005" cy="2546350"/>
                  <wp:effectExtent l="0" t="0" r="4445" b="6350"/>
                  <wp:docPr id="11" name="图片 1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nnamed"/>
                          <pic:cNvPicPr>
                            <a:picLocks noChangeAspect="1"/>
                          </pic:cNvPicPr>
                        </pic:nvPicPr>
                        <pic:blipFill>
                          <a:blip r:embed="rId15"/>
                          <a:stretch>
                            <a:fillRect/>
                          </a:stretch>
                        </pic:blipFill>
                        <pic:spPr>
                          <a:xfrm>
                            <a:off x="0" y="0"/>
                            <a:ext cx="5501005" cy="2546350"/>
                          </a:xfrm>
                          <a:prstGeom prst="rect">
                            <a:avLst/>
                          </a:prstGeom>
                        </pic:spPr>
                      </pic:pic>
                    </a:graphicData>
                  </a:graphic>
                </wp:inline>
              </w:drawing>
            </w:r>
          </w:p>
          <w:p w14:paraId="0238FCE6">
            <w:pPr>
              <w:pStyle w:val="22"/>
              <w:widowControl w:val="0"/>
              <w:kinsoku/>
              <w:spacing w:before="183" w:line="360" w:lineRule="auto"/>
              <w:ind w:left="2624"/>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图2-7 试油作业流程及产污节点图</w:t>
            </w:r>
          </w:p>
          <w:p w14:paraId="5F4ABC46">
            <w:pPr>
              <w:pStyle w:val="22"/>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3.钻后工程（完井和封井）</w:t>
            </w:r>
          </w:p>
          <w:p w14:paraId="5125B687">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试油作业结束后，如该油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井具备商业开采价值，则对油井进行关井，后期根据油田开发要求转入开采井（转开采井的污染影响不包含在本次评价工作中）。如该油井不具备开采价值，则对地面设施进行拆除，对井口按照《吐哈油田报废井封井实施细则（试行）》进行封井作业。撤去所有生产设施、平整井场；清理钻井现场，将垃圾、物料清理干净。</w:t>
            </w:r>
          </w:p>
          <w:p w14:paraId="2ED83581">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（1）临时封井：在试油获得相关参数后，进行临时封井，在井下50—100m注入水形成水泥塞，水泥塞试压合格后完成临时封井。</w:t>
            </w:r>
          </w:p>
          <w:p w14:paraId="3789753F">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永久封井：具体按照吐哈油田报废井封井实施细则执行，如果有农田，应该按照敏感级报废油水井封井处理，措施为：①挤封已射孔井段，对射孔井段进行挤封，挤封后余留水泥塞面不得低于射孔井段顶界50m；②打水泥塞，在表套管脚位置用100m厚水泥塞进行封堵；③打水泥塞，在井口段附近（井深6m-15m）以下，用不小于50m水泥塞进行封堵；④封堵套管环空，卸套管法兰处放压堵头，注入水泥浆；⑤封堵井口，用水泥封堵井口，地面打混凝土墩，尺寸宜长1m×宽1m高×0.8m；混凝土上表面标注井号（字体深度大于15mm，长宽60mm×40mm）。</w:t>
            </w:r>
          </w:p>
        </w:tc>
      </w:tr>
      <w:tr w14:paraId="5E78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23DBC11D">
            <w:pPr>
              <w:widowControl w:val="0"/>
              <w:kinsoku/>
              <w:spacing w:line="5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其他</w:t>
            </w:r>
          </w:p>
        </w:tc>
        <w:tc>
          <w:tcPr>
            <w:tcW w:w="8394" w:type="dxa"/>
            <w:vAlign w:val="center"/>
          </w:tcPr>
          <w:p w14:paraId="408C391F">
            <w:pPr>
              <w:widowControl w:val="0"/>
              <w:kinsoku/>
              <w:spacing w:line="50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w:t>
            </w:r>
          </w:p>
        </w:tc>
      </w:tr>
    </w:tbl>
    <w:p w14:paraId="4387E5B9">
      <w:pPr>
        <w:kinsoku/>
        <w:rPr>
          <w:rFonts w:ascii="Times New Roman" w:hAnsi="Times New Roman" w:eastAsia="宋体" w:cs="Times New Roman"/>
          <w:b/>
          <w:bCs/>
          <w:color w:val="000000" w:themeColor="text1"/>
          <w:spacing w:val="7"/>
          <w:sz w:val="31"/>
          <w:szCs w:val="31"/>
          <w14:textFill>
            <w14:solidFill>
              <w14:schemeClr w14:val="tx1"/>
            </w14:solidFill>
          </w14:textFill>
        </w:rPr>
      </w:pPr>
      <w:r>
        <w:rPr>
          <w:rFonts w:ascii="Times New Roman" w:hAnsi="Times New Roman" w:eastAsia="宋体" w:cs="Times New Roman"/>
          <w:b/>
          <w:bCs/>
          <w:color w:val="000000" w:themeColor="text1"/>
          <w:spacing w:val="7"/>
          <w:sz w:val="31"/>
          <w:szCs w:val="31"/>
          <w14:textFill>
            <w14:solidFill>
              <w14:schemeClr w14:val="tx1"/>
            </w14:solidFill>
          </w14:textFill>
        </w:rPr>
        <w:br w:type="page"/>
      </w:r>
    </w:p>
    <w:p w14:paraId="4F84BC41">
      <w:pPr>
        <w:kinsoku/>
        <w:spacing w:before="101" w:line="360" w:lineRule="auto"/>
        <w:jc w:val="center"/>
        <w:outlineLvl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eastAsia="宋体" w:cs="Times New Roman"/>
          <w:b/>
          <w:bCs/>
          <w:color w:val="000000" w:themeColor="text1"/>
          <w:spacing w:val="7"/>
          <w:sz w:val="31"/>
          <w:szCs w:val="31"/>
          <w:lang w:eastAsia="zh-CN"/>
          <w14:textFill>
            <w14:solidFill>
              <w14:schemeClr w14:val="tx1"/>
            </w14:solidFill>
          </w14:textFill>
        </w:rPr>
        <w:t>三、生态环境现状、保护目标及评价标准</w:t>
      </w:r>
    </w:p>
    <w:tbl>
      <w:tblPr>
        <w:tblStyle w:val="21"/>
        <w:tblW w:w="90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8108"/>
      </w:tblGrid>
      <w:tr w14:paraId="647C7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91" w:type="dxa"/>
            <w:tcBorders>
              <w:left w:val="single" w:color="000000" w:sz="4" w:space="0"/>
            </w:tcBorders>
            <w:vAlign w:val="center"/>
          </w:tcPr>
          <w:p w14:paraId="3236DF7B">
            <w:pPr>
              <w:pStyle w:val="22"/>
              <w:kinsoku/>
              <w:spacing w:before="65" w:line="36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14"/>
                <w:sz w:val="24"/>
                <w:szCs w:val="24"/>
                <w14:textFill>
                  <w14:solidFill>
                    <w14:schemeClr w14:val="tx1"/>
                  </w14:solidFill>
                </w14:textFill>
              </w:rPr>
              <w:t>生态环境</w:t>
            </w:r>
            <w:r>
              <w:rPr>
                <w:rFonts w:hint="default" w:ascii="Times New Roman" w:hAnsi="Times New Roman" w:eastAsia="宋体" w:cs="Times New Roman"/>
                <w:color w:val="000000" w:themeColor="text1"/>
                <w:spacing w:val="9"/>
                <w:sz w:val="24"/>
                <w:szCs w:val="24"/>
                <w14:textFill>
                  <w14:solidFill>
                    <w14:schemeClr w14:val="tx1"/>
                  </w14:solidFill>
                </w14:textFill>
              </w:rPr>
              <w:t>现状</w:t>
            </w:r>
          </w:p>
        </w:tc>
        <w:tc>
          <w:tcPr>
            <w:tcW w:w="8108" w:type="dxa"/>
            <w:tcBorders>
              <w:right w:val="single" w:color="000000" w:sz="4" w:space="0"/>
            </w:tcBorders>
          </w:tcPr>
          <w:p w14:paraId="7E2851AA">
            <w:pPr>
              <w:pStyle w:val="22"/>
              <w:kinsoku/>
              <w:spacing w:before="34" w:line="360" w:lineRule="auto"/>
              <w:ind w:left="13"/>
              <w:rPr>
                <w:rFonts w:hint="default" w:ascii="Times New Roman" w:hAnsi="Times New Roman" w:eastAsia="宋体" w:cs="Times New Roman"/>
                <w:b/>
                <w:bCs/>
                <w:color w:val="000000" w:themeColor="text1"/>
                <w:spacing w:val="-6"/>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sz w:val="24"/>
                <w:szCs w:val="24"/>
                <w:lang w:eastAsia="zh-CN"/>
                <w14:textFill>
                  <w14:solidFill>
                    <w14:schemeClr w14:val="tx1"/>
                  </w14:solidFill>
                </w14:textFill>
              </w:rPr>
              <w:t>1.生态功能区划</w:t>
            </w:r>
          </w:p>
          <w:p w14:paraId="391E25EA">
            <w:pPr>
              <w:pStyle w:val="22"/>
              <w:keepNext w:val="0"/>
              <w:keepLines w:val="0"/>
              <w:pageBreakBefore w:val="0"/>
              <w:widowControl/>
              <w:wordWrap/>
              <w:topLinePunct w:val="0"/>
              <w:autoSpaceDE w:val="0"/>
              <w:autoSpaceDN w:val="0"/>
              <w:bidi w:val="0"/>
              <w:adjustRightInd w:val="0"/>
              <w:snapToGrid w:val="0"/>
              <w:spacing w:line="360" w:lineRule="auto"/>
              <w:ind w:left="0" w:right="0"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根据《新疆生态功能区划》，项目所在区域属于“Ⅱ准噶尔盆地温性荒漠与绿洲农业生态区”下的“Ⅱ5 准噶尔盆地南部荒漠绿洲农业生态亚区”，具体功能区为“28.阜康一木垒绿洲农业、荒漠草地保护生态功能区”。该区域的主要生态服务功能、主要生态环境问题、主要保护目标和主要发展方向等内容详见表3-1。</w:t>
            </w:r>
            <w:r>
              <w:rPr>
                <w:rFonts w:hint="default" w:ascii="Times New Roman" w:hAnsi="Times New Roman" w:eastAsia="宋体" w:cs="Times New Roman"/>
                <w:color w:val="000000" w:themeColor="text1"/>
                <w:sz w:val="24"/>
                <w:szCs w:val="24"/>
                <w:highlight w:val="none"/>
                <w14:textFill>
                  <w14:solidFill>
                    <w14:schemeClr w14:val="tx1"/>
                  </w14:solidFill>
                </w14:textFill>
              </w:rPr>
              <w:t>生态功能区划图见附图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p>
          <w:p w14:paraId="6087B939">
            <w:pPr>
              <w:pStyle w:val="22"/>
              <w:keepNext w:val="0"/>
              <w:keepLines w:val="0"/>
              <w:pageBreakBefore w:val="0"/>
              <w:widowControl w:val="0"/>
              <w:wordWrap/>
              <w:topLinePunct w:val="0"/>
              <w:bidi w:val="0"/>
              <w:adjustRightInd w:val="0"/>
              <w:snapToGrid w:val="0"/>
              <w:spacing w:line="400" w:lineRule="exact"/>
              <w:ind w:left="0" w:leftChars="0" w:right="0"/>
              <w:jc w:val="center"/>
              <w:rPr>
                <w:rFonts w:hint="default" w:ascii="Times New Roman" w:hAnsi="Times New Roman" w:eastAsia="宋体" w:cs="Times New Roman"/>
                <w:b/>
                <w:bCs/>
                <w:color w:val="000000" w:themeColor="text1"/>
                <w:spacing w:val="5"/>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pacing w:val="5"/>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5"/>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pacing w:val="5"/>
                <w:sz w:val="21"/>
                <w:szCs w:val="21"/>
                <w:highlight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pacing w:val="5"/>
                <w:sz w:val="21"/>
                <w:szCs w:val="21"/>
                <w:highlight w:val="none"/>
                <w14:textFill>
                  <w14:solidFill>
                    <w14:schemeClr w14:val="tx1"/>
                  </w14:solidFill>
                </w14:textFill>
              </w:rPr>
              <w:t>生态功能区划简表</w:t>
            </w:r>
          </w:p>
          <w:tbl>
            <w:tblPr>
              <w:tblStyle w:val="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588"/>
              <w:gridCol w:w="5797"/>
            </w:tblGrid>
            <w:tr w14:paraId="5AA74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437" w:type="pct"/>
                  <w:vMerge w:val="restart"/>
                  <w:tcBorders>
                    <w:top w:val="single" w:color="000000" w:sz="10" w:space="0"/>
                    <w:bottom w:val="nil"/>
                  </w:tcBorders>
                  <w:vAlign w:val="center"/>
                </w:tcPr>
                <w:p w14:paraId="621A3E94">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生态功能分区单元</w:t>
                  </w:r>
                </w:p>
              </w:tc>
              <w:tc>
                <w:tcPr>
                  <w:tcW w:w="981" w:type="pct"/>
                  <w:tcBorders>
                    <w:top w:val="single" w:color="000000" w:sz="10" w:space="0"/>
                  </w:tcBorders>
                  <w:vAlign w:val="center"/>
                </w:tcPr>
                <w:p w14:paraId="349D323A">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生态区</w:t>
                  </w:r>
                </w:p>
              </w:tc>
              <w:tc>
                <w:tcPr>
                  <w:tcW w:w="3581" w:type="pct"/>
                  <w:tcBorders>
                    <w:top w:val="single" w:color="000000" w:sz="10" w:space="0"/>
                    <w:right w:val="single" w:color="000000" w:sz="4" w:space="0"/>
                  </w:tcBorders>
                  <w:vAlign w:val="center"/>
                </w:tcPr>
                <w:p w14:paraId="579525BC">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Ⅱ准噶尔盆地温性荒漠与绿洲农业生态区</w:t>
                  </w:r>
                </w:p>
              </w:tc>
            </w:tr>
            <w:tr w14:paraId="19CB1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437" w:type="pct"/>
                  <w:vMerge w:val="continue"/>
                  <w:tcBorders>
                    <w:top w:val="nil"/>
                    <w:bottom w:val="nil"/>
                  </w:tcBorders>
                  <w:vAlign w:val="center"/>
                </w:tcPr>
                <w:p w14:paraId="2F1AB5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1" w:type="pct"/>
                  <w:vAlign w:val="center"/>
                </w:tcPr>
                <w:p w14:paraId="3CC18712">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生态亚区</w:t>
                  </w:r>
                </w:p>
              </w:tc>
              <w:tc>
                <w:tcPr>
                  <w:tcW w:w="3581" w:type="pct"/>
                  <w:tcBorders>
                    <w:right w:val="single" w:color="000000" w:sz="4" w:space="0"/>
                  </w:tcBorders>
                  <w:vAlign w:val="center"/>
                </w:tcPr>
                <w:p w14:paraId="11D2AA18">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6"/>
                      <w:sz w:val="21"/>
                      <w:szCs w:val="21"/>
                      <w:highlight w:val="none"/>
                      <w14:textFill>
                        <w14:solidFill>
                          <w14:schemeClr w14:val="tx1"/>
                        </w14:solidFill>
                      </w14:textFill>
                    </w:rPr>
                    <w:t>Ⅱ</w:t>
                  </w:r>
                  <w:r>
                    <w:rPr>
                      <w:rFonts w:hint="default" w:ascii="Times New Roman" w:hAnsi="Times New Roman" w:eastAsia="宋体" w:cs="Times New Roman"/>
                      <w:color w:val="000000" w:themeColor="text1"/>
                      <w:spacing w:val="-36"/>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9"/>
                      <w:position w:val="-2"/>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准噶尔盆地南部荒漠绿洲农业生态亚区</w:t>
                  </w:r>
                </w:p>
              </w:tc>
            </w:tr>
            <w:tr w14:paraId="74400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37" w:type="pct"/>
                  <w:vMerge w:val="continue"/>
                  <w:tcBorders>
                    <w:top w:val="nil"/>
                  </w:tcBorders>
                  <w:vAlign w:val="center"/>
                </w:tcPr>
                <w:p w14:paraId="1FE6D5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1" w:type="pct"/>
                  <w:vAlign w:val="center"/>
                </w:tcPr>
                <w:p w14:paraId="76ABD2B1">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生态功能区</w:t>
                  </w:r>
                </w:p>
              </w:tc>
              <w:tc>
                <w:tcPr>
                  <w:tcW w:w="3581" w:type="pct"/>
                  <w:tcBorders>
                    <w:right w:val="single" w:color="000000" w:sz="4" w:space="0"/>
                  </w:tcBorders>
                  <w:vAlign w:val="center"/>
                </w:tcPr>
                <w:p w14:paraId="68372DE1">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28.阜康一木垒绿洲农业、荒漠草地保护生态功</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能区</w:t>
                  </w:r>
                </w:p>
              </w:tc>
            </w:tr>
            <w:tr w14:paraId="47389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418" w:type="pct"/>
                  <w:gridSpan w:val="2"/>
                  <w:vAlign w:val="center"/>
                </w:tcPr>
                <w:p w14:paraId="67E835C4">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主要生态服务功能</w:t>
                  </w:r>
                </w:p>
              </w:tc>
              <w:tc>
                <w:tcPr>
                  <w:tcW w:w="3581" w:type="pct"/>
                  <w:tcBorders>
                    <w:right w:val="single" w:color="000000" w:sz="4" w:space="0"/>
                  </w:tcBorders>
                  <w:vAlign w:val="center"/>
                </w:tcPr>
                <w:p w14:paraId="02307BE0">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农牧业产品生产、人居环境、荒漠化控制</w:t>
                  </w:r>
                </w:p>
              </w:tc>
            </w:tr>
            <w:tr w14:paraId="40EFB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418" w:type="pct"/>
                  <w:gridSpan w:val="2"/>
                  <w:vAlign w:val="top"/>
                </w:tcPr>
                <w:p w14:paraId="0EF86D0B">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隶属行政区</w:t>
                  </w:r>
                </w:p>
              </w:tc>
              <w:tc>
                <w:tcPr>
                  <w:tcW w:w="3581" w:type="pct"/>
                  <w:tcBorders>
                    <w:right w:val="single" w:color="000000" w:sz="4" w:space="0"/>
                  </w:tcBorders>
                  <w:vAlign w:val="top"/>
                </w:tcPr>
                <w:p w14:paraId="7A9819CC">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阜康市、吉木萨尔县、奇台县、木垒县</w:t>
                  </w:r>
                </w:p>
              </w:tc>
            </w:tr>
            <w:tr w14:paraId="75F02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1418" w:type="pct"/>
                  <w:gridSpan w:val="2"/>
                  <w:vAlign w:val="center"/>
                </w:tcPr>
                <w:p w14:paraId="178FA331">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pacing w:val="9"/>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主要生态环境问题</w:t>
                  </w:r>
                </w:p>
              </w:tc>
              <w:tc>
                <w:tcPr>
                  <w:tcW w:w="3581" w:type="pct"/>
                  <w:tcBorders>
                    <w:right w:val="single" w:color="000000" w:sz="4" w:space="0"/>
                  </w:tcBorders>
                  <w:vAlign w:val="center"/>
                </w:tcPr>
                <w:p w14:paraId="566F5078">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地下水超采、荒漠植被退化、沙漠化威胁、局部土壤盐</w:t>
                  </w:r>
                  <w:r>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t>渍</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化、河流萎缩、滥开荒地</w:t>
                  </w:r>
                </w:p>
              </w:tc>
            </w:tr>
            <w:tr w14:paraId="73A3D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1418" w:type="pct"/>
                  <w:gridSpan w:val="2"/>
                  <w:vAlign w:val="center"/>
                </w:tcPr>
                <w:p w14:paraId="2570C636">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pacing w:val="9"/>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主要生态敏感因子、敏感程度</w:t>
                  </w:r>
                </w:p>
              </w:tc>
              <w:tc>
                <w:tcPr>
                  <w:tcW w:w="3581" w:type="pct"/>
                  <w:tcBorders>
                    <w:right w:val="single" w:color="000000" w:sz="4" w:space="0"/>
                  </w:tcBorders>
                  <w:vAlign w:val="center"/>
                </w:tcPr>
                <w:p w14:paraId="3ED26A7C">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生物多样性和生境中度敏感，土壤侵蚀轻度敏感、不敏感，土</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地沙漠化、土壤盐渍化</w:t>
                  </w:r>
                  <w:r>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t>轻度</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敏感</w:t>
                  </w:r>
                </w:p>
              </w:tc>
            </w:tr>
            <w:tr w14:paraId="07DC1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418" w:type="pct"/>
                  <w:gridSpan w:val="2"/>
                  <w:vAlign w:val="center"/>
                </w:tcPr>
                <w:p w14:paraId="4EC0CCF0">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主要保护目标</w:t>
                  </w:r>
                </w:p>
              </w:tc>
              <w:tc>
                <w:tcPr>
                  <w:tcW w:w="3581" w:type="pct"/>
                  <w:tcBorders>
                    <w:right w:val="single" w:color="000000" w:sz="4" w:space="0"/>
                  </w:tcBorders>
                  <w:vAlign w:val="center"/>
                </w:tcPr>
                <w:p w14:paraId="2DC92436">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保护基本农田、保护荒漠植被、保护土壤环境质量</w:t>
                  </w:r>
                </w:p>
              </w:tc>
            </w:tr>
            <w:tr w14:paraId="6E390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1418" w:type="pct"/>
                  <w:gridSpan w:val="2"/>
                  <w:vAlign w:val="center"/>
                </w:tcPr>
                <w:p w14:paraId="74F7DF32">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主要保护措施</w:t>
                  </w:r>
                </w:p>
              </w:tc>
              <w:tc>
                <w:tcPr>
                  <w:tcW w:w="3581" w:type="pct"/>
                  <w:tcBorders>
                    <w:right w:val="single" w:color="000000" w:sz="4" w:space="0"/>
                  </w:tcBorders>
                  <w:vAlign w:val="center"/>
                </w:tcPr>
                <w:p w14:paraId="4FA07960">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节水灌溉、草场休牧、对前山坡耕地和北部沙化土地实施退耕还林(草)，在水源无保障、植被稀少、生态脆弱地带禁止开荒</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、加强农田投入品的使用管理</w:t>
                  </w:r>
                </w:p>
              </w:tc>
            </w:tr>
            <w:tr w14:paraId="0544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1418" w:type="pct"/>
                  <w:gridSpan w:val="2"/>
                  <w:tcBorders>
                    <w:bottom w:val="single" w:color="000000" w:sz="10" w:space="0"/>
                  </w:tcBorders>
                  <w:vAlign w:val="top"/>
                </w:tcPr>
                <w:p w14:paraId="754CA6E9">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000000" w:themeColor="text1"/>
                      <w:spacing w:val="7"/>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主要发展方向</w:t>
                  </w:r>
                </w:p>
              </w:tc>
              <w:tc>
                <w:tcPr>
                  <w:tcW w:w="3581" w:type="pct"/>
                  <w:tcBorders>
                    <w:bottom w:val="single" w:color="000000" w:sz="10" w:space="0"/>
                    <w:right w:val="single" w:color="000000" w:sz="4" w:space="0"/>
                  </w:tcBorders>
                  <w:vAlign w:val="center"/>
                </w:tcPr>
                <w:p w14:paraId="63C2A108">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农牧结合，发展优质、高效特色农业和畜牧业</w:t>
                  </w:r>
                </w:p>
              </w:tc>
            </w:tr>
          </w:tbl>
          <w:p w14:paraId="769AC6DB">
            <w:pPr>
              <w:pStyle w:val="22"/>
              <w:kinsoku/>
              <w:spacing w:before="34" w:line="360" w:lineRule="auto"/>
              <w:ind w:left="13"/>
              <w:rPr>
                <w:rFonts w:hint="default" w:ascii="Times New Roman" w:hAnsi="Times New Roman" w:eastAsia="宋体" w:cs="Times New Roman"/>
                <w:b/>
                <w:bCs/>
                <w:color w:val="000000" w:themeColor="text1"/>
                <w:spacing w:val="-6"/>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6"/>
                <w:sz w:val="24"/>
                <w:szCs w:val="24"/>
                <w:lang w:val="en-US" w:eastAsia="zh-CN"/>
                <w14:textFill>
                  <w14:solidFill>
                    <w14:schemeClr w14:val="tx1"/>
                  </w14:solidFill>
                </w14:textFill>
              </w:rPr>
              <w:t>2. 主体功能区规划调查</w:t>
            </w:r>
          </w:p>
          <w:p w14:paraId="0181B9AA">
            <w:pPr>
              <w:pStyle w:val="22"/>
              <w:kinsoku/>
              <w:spacing w:before="34" w:line="360" w:lineRule="auto"/>
              <w:ind w:left="13"/>
              <w:rPr>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6"/>
                <w:sz w:val="24"/>
                <w:szCs w:val="24"/>
                <w:lang w:val="en-US" w:eastAsia="zh-CN"/>
                <w14:textFill>
                  <w14:solidFill>
                    <w14:schemeClr w14:val="tx1"/>
                  </w14:solidFill>
                </w14:textFill>
              </w:rPr>
              <w:t>2.1 区域主体功能定位</w:t>
            </w:r>
            <w:r>
              <w:rPr>
                <w:color w:val="000000" w:themeColor="text1"/>
                <w14:textFill>
                  <w14:solidFill>
                    <w14:schemeClr w14:val="tx1"/>
                  </w14:solidFill>
                </w14:textFill>
              </w:rPr>
              <w:t xml:space="preserve"> </w:t>
            </w:r>
          </w:p>
          <w:p w14:paraId="3C401162">
            <w:pPr>
              <w:kinsoku/>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新疆维吾尔自治区主体功能区规划》（2016年10月24日），新疆国土空间按开发内容分为城市化地区、农产品主产区和重点生态功能区三类。本项目建设地点位于昌吉回族自治州吉木萨尔县二工镇，经调查核实，区域主体功能定位属于“国家级农产品主产区（天山北坡主产区）”。该区的功能定位为：保障农牧产品供给安全的重要区域，农牧民安居乐业的美好家园，社会主义新农村建设的示范区。</w:t>
            </w:r>
          </w:p>
          <w:p w14:paraId="109CC190">
            <w:pPr>
              <w:pStyle w:val="15"/>
              <w:keepNext w:val="0"/>
              <w:keepLines w:val="0"/>
              <w:widowControl/>
              <w:suppressLineNumbers w:val="0"/>
              <w:spacing w:beforeAutospacing="1" w:afterAutospacing="1"/>
              <w:jc w:val="left"/>
              <w:rPr>
                <w:color w:val="000000" w:themeColor="text1"/>
                <w14:textFill>
                  <w14:solidFill>
                    <w14:schemeClr w14:val="tx1"/>
                  </w14:solidFill>
                </w14:textFill>
              </w:rPr>
            </w:pPr>
            <w:r>
              <w:rPr>
                <w:rFonts w:hint="default" w:ascii="Times New Roman" w:hAnsi="Times New Roman" w:eastAsia="宋体" w:cs="Times New Roman"/>
                <w:b/>
                <w:bCs/>
                <w:snapToGrid w:val="0"/>
                <w:color w:val="000000" w:themeColor="text1"/>
                <w:spacing w:val="-6"/>
                <w:sz w:val="24"/>
                <w:szCs w:val="24"/>
                <w:lang w:val="en-US" w:eastAsia="zh-CN" w:bidi="ar-SA"/>
                <w14:textFill>
                  <w14:solidFill>
                    <w14:schemeClr w14:val="tx1"/>
                  </w14:solidFill>
                </w14:textFill>
              </w:rPr>
              <w:t>2.2 生态管控要求与调查相符性</w:t>
            </w:r>
            <w:r>
              <w:rPr>
                <w:color w:val="000000" w:themeColor="text1"/>
                <w14:textFill>
                  <w14:solidFill>
                    <w14:schemeClr w14:val="tx1"/>
                  </w14:solidFill>
                </w14:textFill>
              </w:rPr>
              <w:t xml:space="preserve"> </w:t>
            </w:r>
          </w:p>
          <w:p w14:paraId="281B325D">
            <w:pPr>
              <w:kinsoku/>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在生态环境管控与开发原则方面，《规划》明确指出：位于农产品主产区的点状能源和矿产资源基地建设，必须进行严格的生态环境影响评估；开发过程中应尽可能减少对生态空间与农业空间的占用，并在施工结束后同步、及时地修复生态环境。</w:t>
            </w:r>
          </w:p>
          <w:p w14:paraId="26231DC3">
            <w:pPr>
              <w:kinsoku/>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经现场生态现状调查，本项目为陆地石油天然气勘探评价井钻试工程，属于《规划》允许的点状能源建设。项目临时占地面积约18020m²，占地类型主要为其他草地及农村道路，周边虽有农田分布，但本项目选址并未直接占用基本农田和耕地。区域生态系统主要为荒漠灌草植被（覆盖度约10%），生态敏感性相对较低。在严格落实环评提出的表土剥离暂存、“泥浆不落地”、危废分区重点防渗，以及完（封）井后及时利用原生表土进行地貌与植被恢复等生态保护措施的前提下，本项目的建设活动及现状选址，与“国家级农产品主产区”的生态空间及农业空间管控约束要求高度相符。</w:t>
            </w:r>
          </w:p>
          <w:p w14:paraId="5DDB15EB">
            <w:pPr>
              <w:pStyle w:val="22"/>
              <w:kinsoku/>
              <w:spacing w:before="34" w:line="360" w:lineRule="auto"/>
              <w:ind w:left="13"/>
              <w:rPr>
                <w:rFonts w:hint="default" w:ascii="Times New Roman" w:hAnsi="Times New Roman" w:eastAsia="宋体" w:cs="Times New Roman"/>
                <w:b/>
                <w:bCs/>
                <w:color w:val="000000" w:themeColor="text1"/>
                <w:spacing w:val="-6"/>
                <w:sz w:val="24"/>
                <w:szCs w:val="24"/>
                <w:lang w:eastAsia="zh-CN"/>
                <w14:textFill>
                  <w14:solidFill>
                    <w14:schemeClr w14:val="tx1"/>
                  </w14:solidFill>
                </w14:textFill>
              </w:rPr>
            </w:pPr>
            <w:r>
              <w:rPr>
                <w:rFonts w:hint="eastAsia" w:ascii="Times New Roman" w:hAnsi="Times New Roman" w:cs="Times New Roman"/>
                <w:b/>
                <w:bCs/>
                <w:color w:val="000000" w:themeColor="text1"/>
                <w:spacing w:val="-6"/>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6"/>
                <w:sz w:val="24"/>
                <w:szCs w:val="24"/>
                <w:lang w:eastAsia="zh-CN"/>
                <w14:textFill>
                  <w14:solidFill>
                    <w14:schemeClr w14:val="tx1"/>
                  </w14:solidFill>
                </w14:textFill>
              </w:rPr>
              <w:t>.生态环境现状</w:t>
            </w:r>
          </w:p>
          <w:p w14:paraId="38E4BD4D">
            <w:pPr>
              <w:pStyle w:val="22"/>
              <w:kinsoku/>
              <w:spacing w:before="34" w:line="360" w:lineRule="auto"/>
              <w:ind w:left="13"/>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.1植被现状</w:t>
            </w:r>
          </w:p>
          <w:p w14:paraId="3A3F0026">
            <w:pPr>
              <w:kinsoku/>
              <w:spacing w:line="360" w:lineRule="auto"/>
              <w:ind w:firstLine="472" w:firstLineChars="200"/>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根据现场踏勘和相关文献资料分析，项目区域生态类型属于典型的荒漠灌草植被带，区域植被群落结构较为简单，主要由</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白皮锦鸡儿</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群系（</w:t>
            </w:r>
            <w:r>
              <w:rPr>
                <w:rFonts w:hint="default" w:ascii="Times New Roman" w:hAnsi="Times New Roman" w:eastAsia="宋体" w:cs="Times New Roman"/>
                <w:i/>
                <w:iCs/>
                <w:color w:val="000000" w:themeColor="text1"/>
                <w:spacing w:val="-2"/>
                <w:sz w:val="24"/>
                <w:szCs w:val="24"/>
                <w:lang w:eastAsia="zh-CN"/>
                <w14:textFill>
                  <w14:solidFill>
                    <w14:schemeClr w14:val="tx1"/>
                  </w14:solidFill>
                </w14:textFill>
              </w:rPr>
              <w:t>Reaumuria songarica</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骆驼蓬</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群系（</w:t>
            </w:r>
            <w:r>
              <w:rPr>
                <w:rFonts w:hint="default" w:ascii="Times New Roman" w:hAnsi="Times New Roman" w:eastAsia="宋体" w:cs="Times New Roman"/>
                <w:i/>
                <w:iCs/>
                <w:color w:val="000000" w:themeColor="text1"/>
                <w:spacing w:val="-2"/>
                <w:sz w:val="24"/>
                <w:szCs w:val="24"/>
                <w:lang w:eastAsia="zh-CN"/>
                <w14:textFill>
                  <w14:solidFill>
                    <w14:schemeClr w14:val="tx1"/>
                  </w14:solidFill>
                </w14:textFill>
              </w:rPr>
              <w:t>Peganum harmala</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灌丛</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构成。植物种类耐旱性强，生物量低，呈点状分布，主要生于沙砾土或砾石地表上，土壤都有不同程度的盐渍化。施工区域内植被生长状况较差，生态系统稳定性较弱，生态恢复能力有限。</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本项目植被类型图见附图4。</w:t>
            </w:r>
          </w:p>
          <w:p w14:paraId="1DF58F18">
            <w:pPr>
              <w:pStyle w:val="22"/>
              <w:kinsoku/>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现场调查结果，在项目区域及临时占地范围内未发现《国家重点保护野生植物名录》（2021）中的物种，也未发现《新疆维吾尔自治区重点保护野生植物名录》（2023年）中所列植物。项目所涉及区域不属于生态保护红线、自然保护区或重要生态功能区，生态敏感性较低。</w:t>
            </w:r>
          </w:p>
          <w:p w14:paraId="707F44A9">
            <w:pPr>
              <w:pStyle w:val="22"/>
              <w:kinsoku/>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项目建设所涉及的临时用地正在依法办理征地审批手续，后续将依据国家和自治区相关规定缴纳生态恢复保证金及临时用地费用。根据生态环境保护要求，项目将及时开展地貌整治和原状植被恢复等措施，逐步恢复地表植被覆盖，减少对区域生态系统的干扰和破坏。</w:t>
            </w:r>
          </w:p>
          <w:p w14:paraId="5D7A0965">
            <w:pPr>
              <w:pStyle w:val="22"/>
              <w:kinsoku/>
              <w:spacing w:line="360"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097780" cy="3823335"/>
                  <wp:effectExtent l="0" t="0" r="7620" b="5715"/>
                  <wp:docPr id="7" name="图片 7" descr="IMG_20250923_141440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923_141440 - 副本"/>
                          <pic:cNvPicPr>
                            <a:picLocks noChangeAspect="1"/>
                          </pic:cNvPicPr>
                        </pic:nvPicPr>
                        <pic:blipFill>
                          <a:blip r:embed="rId16"/>
                          <a:stretch>
                            <a:fillRect/>
                          </a:stretch>
                        </pic:blipFill>
                        <pic:spPr>
                          <a:xfrm>
                            <a:off x="0" y="0"/>
                            <a:ext cx="5097780" cy="3823335"/>
                          </a:xfrm>
                          <a:prstGeom prst="rect">
                            <a:avLst/>
                          </a:prstGeom>
                        </pic:spPr>
                      </pic:pic>
                    </a:graphicData>
                  </a:graphic>
                </wp:inline>
              </w:drawing>
            </w:r>
          </w:p>
          <w:p w14:paraId="70B2215E">
            <w:pPr>
              <w:pStyle w:val="22"/>
              <w:kinsoku/>
              <w:spacing w:line="360" w:lineRule="auto"/>
              <w:jc w:val="cente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白皮锦鸡儿</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群系</w:t>
            </w:r>
          </w:p>
          <w:p w14:paraId="6BB86D89">
            <w:pPr>
              <w:pStyle w:val="22"/>
              <w:kinsoku/>
              <w:spacing w:line="360" w:lineRule="auto"/>
              <w:jc w:val="cente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drawing>
                <wp:inline distT="0" distB="0" distL="114300" distR="114300">
                  <wp:extent cx="5097780" cy="3823335"/>
                  <wp:effectExtent l="0" t="0" r="7620" b="5715"/>
                  <wp:docPr id="13" name="图片 13" descr="IMG_20250923_14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923_143256"/>
                          <pic:cNvPicPr>
                            <a:picLocks noChangeAspect="1"/>
                          </pic:cNvPicPr>
                        </pic:nvPicPr>
                        <pic:blipFill>
                          <a:blip r:embed="rId17"/>
                          <a:stretch>
                            <a:fillRect/>
                          </a:stretch>
                        </pic:blipFill>
                        <pic:spPr>
                          <a:xfrm>
                            <a:off x="0" y="0"/>
                            <a:ext cx="5097780" cy="3823335"/>
                          </a:xfrm>
                          <a:prstGeom prst="rect">
                            <a:avLst/>
                          </a:prstGeom>
                        </pic:spPr>
                      </pic:pic>
                    </a:graphicData>
                  </a:graphic>
                </wp:inline>
              </w:drawing>
            </w:r>
          </w:p>
          <w:p w14:paraId="0DD12065">
            <w:pPr>
              <w:pStyle w:val="22"/>
              <w:kinsoku/>
              <w:spacing w:line="360" w:lineRule="auto"/>
              <w:jc w:val="cente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骆驼蓬</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群系</w:t>
            </w:r>
          </w:p>
          <w:p w14:paraId="51044640">
            <w:pPr>
              <w:pStyle w:val="22"/>
              <w:kinsoku/>
              <w:spacing w:line="360"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.2野生动物现状</w:t>
            </w:r>
          </w:p>
          <w:p w14:paraId="2C07D859">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按中国动物地理区划的分级标准，项目所在区域属古北界、中亚亚界、蒙新区、准噶尔亚区、准噶尔盆地省。因该区域地处准噶尔盆地东南缘，气候干燥，野生动物的栖息生境极为单一。本项目区域常见啮齿类、爬行类、鸟类等动物，对照《国家重点保护野生动物名录》（2021）、国家林业和草原局公告《陆生野生动物重要栖息地名录（第一批）》（2023年第23号）及自治区人民政府《关于发布新疆维吾尔自治区重点保护野生动物名录（修订）的通知》（新政发〔2022〕75号），未发现以上《名录》中重点保护野生动物和陆生野生动物重要栖息地。区域主要野生动物种类及分布情况见表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440392AB">
            <w:pPr>
              <w:pStyle w:val="22"/>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评价区域内主要野生动物及分布情况一览表</w:t>
            </w:r>
          </w:p>
          <w:tbl>
            <w:tblPr>
              <w:tblStyle w:val="21"/>
              <w:tblW w:w="73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1419"/>
              <w:gridCol w:w="3264"/>
              <w:gridCol w:w="1928"/>
            </w:tblGrid>
            <w:tr w14:paraId="6D28D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207" w:type="dxa"/>
                  <w:gridSpan w:val="2"/>
                  <w:vMerge w:val="restart"/>
                  <w:tcBorders>
                    <w:top w:val="single" w:color="000000" w:sz="10" w:space="0"/>
                    <w:left w:val="single" w:color="000000" w:sz="2" w:space="0"/>
                    <w:bottom w:val="nil"/>
                  </w:tcBorders>
                  <w:vAlign w:val="center"/>
                </w:tcPr>
                <w:p w14:paraId="581E76C6">
                  <w:pPr>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中名</w:t>
                  </w:r>
                </w:p>
              </w:tc>
              <w:tc>
                <w:tcPr>
                  <w:tcW w:w="3264" w:type="dxa"/>
                  <w:vMerge w:val="restart"/>
                  <w:tcBorders>
                    <w:top w:val="single" w:color="000000" w:sz="10" w:space="0"/>
                    <w:bottom w:val="nil"/>
                  </w:tcBorders>
                  <w:vAlign w:val="center"/>
                </w:tcPr>
                <w:p w14:paraId="23BF5CCD">
                  <w:pPr>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学名</w:t>
                  </w:r>
                </w:p>
              </w:tc>
              <w:tc>
                <w:tcPr>
                  <w:tcW w:w="1928" w:type="dxa"/>
                  <w:tcBorders>
                    <w:top w:val="single" w:color="000000" w:sz="10" w:space="0"/>
                    <w:bottom w:val="single" w:color="auto" w:sz="4" w:space="0"/>
                  </w:tcBorders>
                  <w:vAlign w:val="center"/>
                </w:tcPr>
                <w:p w14:paraId="7F57FA43">
                  <w:pPr>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分布</w:t>
                  </w:r>
                </w:p>
              </w:tc>
            </w:tr>
            <w:tr w14:paraId="33A97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207" w:type="dxa"/>
                  <w:gridSpan w:val="2"/>
                  <w:vMerge w:val="continue"/>
                  <w:tcBorders>
                    <w:top w:val="nil"/>
                    <w:left w:val="single" w:color="000000" w:sz="2" w:space="0"/>
                  </w:tcBorders>
                  <w:vAlign w:val="center"/>
                </w:tcPr>
                <w:p w14:paraId="5381F397">
                  <w:pPr>
                    <w:kinsoku/>
                    <w:jc w:val="center"/>
                    <w:rPr>
                      <w:rFonts w:hint="default" w:ascii="Times New Roman" w:hAnsi="Times New Roman" w:eastAsia="宋体" w:cs="Times New Roman"/>
                      <w:b/>
                      <w:bCs/>
                      <w:color w:val="000000" w:themeColor="text1"/>
                      <w14:textFill>
                        <w14:solidFill>
                          <w14:schemeClr w14:val="tx1"/>
                        </w14:solidFill>
                      </w14:textFill>
                    </w:rPr>
                  </w:pPr>
                </w:p>
              </w:tc>
              <w:tc>
                <w:tcPr>
                  <w:tcW w:w="3264" w:type="dxa"/>
                  <w:vMerge w:val="continue"/>
                  <w:tcBorders>
                    <w:top w:val="nil"/>
                  </w:tcBorders>
                  <w:vAlign w:val="center"/>
                </w:tcPr>
                <w:p w14:paraId="3B6AC84A">
                  <w:pPr>
                    <w:kinsoku/>
                    <w:jc w:val="center"/>
                    <w:rPr>
                      <w:rFonts w:hint="default" w:ascii="Times New Roman" w:hAnsi="Times New Roman" w:eastAsia="宋体" w:cs="Times New Roman"/>
                      <w:b/>
                      <w:bCs/>
                      <w:color w:val="000000" w:themeColor="text1"/>
                      <w14:textFill>
                        <w14:solidFill>
                          <w14:schemeClr w14:val="tx1"/>
                        </w14:solidFill>
                      </w14:textFill>
                    </w:rPr>
                  </w:pPr>
                </w:p>
              </w:tc>
              <w:tc>
                <w:tcPr>
                  <w:tcW w:w="1928" w:type="dxa"/>
                  <w:tcBorders>
                    <w:top w:val="single" w:color="auto" w:sz="4" w:space="0"/>
                  </w:tcBorders>
                  <w:vAlign w:val="center"/>
                </w:tcPr>
                <w:p w14:paraId="0A928FF5">
                  <w:pPr>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荒漠区</w:t>
                  </w:r>
                </w:p>
              </w:tc>
            </w:tr>
            <w:tr w14:paraId="53DB7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0687A5ED">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1</w:t>
                  </w:r>
                </w:p>
              </w:tc>
              <w:tc>
                <w:tcPr>
                  <w:tcW w:w="1419" w:type="dxa"/>
                  <w:vAlign w:val="center"/>
                </w:tcPr>
                <w:p w14:paraId="1CF5177E">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荒漠</w:t>
                  </w:r>
                  <w:r>
                    <w:rPr>
                      <w:rFonts w:hint="default" w:ascii="Times New Roman" w:hAnsi="Times New Roman" w:eastAsia="宋体" w:cs="Times New Roman"/>
                      <w:color w:val="000000" w:themeColor="text1"/>
                      <w:spacing w:val="5"/>
                      <w:sz w:val="21"/>
                      <w:szCs w:val="21"/>
                      <w14:textFill>
                        <w14:solidFill>
                          <w14:schemeClr w14:val="tx1"/>
                        </w14:solidFill>
                      </w14:textFill>
                    </w:rPr>
                    <w:t>沙蜥</w:t>
                  </w:r>
                </w:p>
              </w:tc>
              <w:tc>
                <w:tcPr>
                  <w:tcW w:w="3264" w:type="dxa"/>
                </w:tcPr>
                <w:p w14:paraId="0192FE91">
                  <w:pPr>
                    <w:kinsoku/>
                    <w:jc w:val="center"/>
                    <w:rPr>
                      <w:rFonts w:hint="default" w:ascii="Times New Roman" w:hAnsi="Times New Roman" w:eastAsia="宋体" w:cs="Times New Roman"/>
                      <w:i/>
                      <w:iCs/>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Phrynocephalus przewalskii</w:t>
                  </w:r>
                </w:p>
              </w:tc>
              <w:tc>
                <w:tcPr>
                  <w:tcW w:w="1928" w:type="dxa"/>
                </w:tcPr>
                <w:p w14:paraId="7F3CA038">
                  <w:pPr>
                    <w:kinsoku/>
                    <w:jc w:val="center"/>
                    <w:rPr>
                      <w:rFonts w:hint="default" w:ascii="Times New Roman" w:hAnsi="Times New Roman" w:eastAsia="宋体" w:cs="Times New Roman"/>
                      <w:i/>
                      <w:iCs/>
                      <w:color w:val="000000" w:themeColor="text1"/>
                      <w:lang w:eastAsia="zh-CN"/>
                      <w14:textFill>
                        <w14:solidFill>
                          <w14:schemeClr w14:val="tx1"/>
                        </w14:solidFill>
                      </w14:textFill>
                    </w:rPr>
                  </w:pPr>
                  <w:r>
                    <w:rPr>
                      <w:rFonts w:hint="default" w:ascii="Times New Roman" w:hAnsi="Times New Roman" w:eastAsia="宋体" w:cs="Times New Roman"/>
                      <w:i/>
                      <w:iCs/>
                      <w:color w:val="000000" w:themeColor="text1"/>
                      <w:lang w:eastAsia="zh-CN"/>
                      <w14:textFill>
                        <w14:solidFill>
                          <w14:schemeClr w14:val="tx1"/>
                        </w14:solidFill>
                      </w14:textFill>
                    </w:rPr>
                    <w:t>++</w:t>
                  </w:r>
                </w:p>
              </w:tc>
            </w:tr>
            <w:tr w14:paraId="30953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246DCF1F">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2</w:t>
                  </w:r>
                </w:p>
              </w:tc>
              <w:tc>
                <w:tcPr>
                  <w:tcW w:w="1419" w:type="dxa"/>
                  <w:vAlign w:val="center"/>
                </w:tcPr>
                <w:p w14:paraId="23AF8E83">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快步麻蜥</w:t>
                  </w:r>
                </w:p>
              </w:tc>
              <w:tc>
                <w:tcPr>
                  <w:tcW w:w="3264" w:type="dxa"/>
                </w:tcPr>
                <w:p w14:paraId="20FAFE8D">
                  <w:pPr>
                    <w:kinsoku/>
                    <w:jc w:val="center"/>
                    <w:rPr>
                      <w:rFonts w:hint="default" w:ascii="Times New Roman" w:hAnsi="Times New Roman" w:eastAsia="宋体" w:cs="Times New Roman"/>
                      <w:i/>
                      <w:iCs/>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Eremias velox</w:t>
                  </w:r>
                </w:p>
              </w:tc>
              <w:tc>
                <w:tcPr>
                  <w:tcW w:w="1928" w:type="dxa"/>
                </w:tcPr>
                <w:p w14:paraId="58041B39">
                  <w:pPr>
                    <w:kinsoku/>
                    <w:jc w:val="center"/>
                    <w:rPr>
                      <w:rFonts w:hint="default" w:ascii="Times New Roman" w:hAnsi="Times New Roman" w:eastAsia="宋体" w:cs="Times New Roman"/>
                      <w:i/>
                      <w:iCs/>
                      <w:color w:val="000000" w:themeColor="text1"/>
                      <w:lang w:eastAsia="zh-CN"/>
                      <w14:textFill>
                        <w14:solidFill>
                          <w14:schemeClr w14:val="tx1"/>
                        </w14:solidFill>
                      </w14:textFill>
                    </w:rPr>
                  </w:pPr>
                  <w:r>
                    <w:rPr>
                      <w:rFonts w:hint="default" w:ascii="Times New Roman" w:hAnsi="Times New Roman" w:eastAsia="宋体" w:cs="Times New Roman"/>
                      <w:i/>
                      <w:iCs/>
                      <w:color w:val="000000" w:themeColor="text1"/>
                      <w:lang w:eastAsia="zh-CN"/>
                      <w14:textFill>
                        <w14:solidFill>
                          <w14:schemeClr w14:val="tx1"/>
                        </w14:solidFill>
                      </w14:textFill>
                    </w:rPr>
                    <w:t>+</w:t>
                  </w:r>
                </w:p>
              </w:tc>
            </w:tr>
            <w:tr w14:paraId="7A7B5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673D8FA6">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3</w:t>
                  </w:r>
                </w:p>
              </w:tc>
              <w:tc>
                <w:tcPr>
                  <w:tcW w:w="1419" w:type="dxa"/>
                  <w:vAlign w:val="center"/>
                </w:tcPr>
                <w:p w14:paraId="3FBCCA84">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小五趾跳鼠</w:t>
                  </w:r>
                </w:p>
              </w:tc>
              <w:tc>
                <w:tcPr>
                  <w:tcW w:w="3264" w:type="dxa"/>
                </w:tcPr>
                <w:p w14:paraId="48B2036B">
                  <w:pPr>
                    <w:kinsoku/>
                    <w:jc w:val="center"/>
                    <w:rPr>
                      <w:rFonts w:hint="default" w:ascii="Times New Roman" w:hAnsi="Times New Roman" w:eastAsia="宋体" w:cs="Times New Roman"/>
                      <w:i/>
                      <w:iCs/>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Scarturus elater</w:t>
                  </w:r>
                </w:p>
              </w:tc>
              <w:tc>
                <w:tcPr>
                  <w:tcW w:w="1928" w:type="dxa"/>
                </w:tcPr>
                <w:p w14:paraId="7039F510">
                  <w:pPr>
                    <w:kinsoku/>
                    <w:jc w:val="center"/>
                    <w:rPr>
                      <w:rFonts w:hint="default" w:ascii="Times New Roman" w:hAnsi="Times New Roman" w:eastAsia="宋体" w:cs="Times New Roman"/>
                      <w:i/>
                      <w:iCs/>
                      <w:color w:val="000000" w:themeColor="text1"/>
                      <w:lang w:eastAsia="zh-CN"/>
                      <w14:textFill>
                        <w14:solidFill>
                          <w14:schemeClr w14:val="tx1"/>
                        </w14:solidFill>
                      </w14:textFill>
                    </w:rPr>
                  </w:pPr>
                  <w:r>
                    <w:rPr>
                      <w:rFonts w:hint="default" w:ascii="Times New Roman" w:hAnsi="Times New Roman" w:eastAsia="宋体" w:cs="Times New Roman"/>
                      <w:i/>
                      <w:iCs/>
                      <w:color w:val="000000" w:themeColor="text1"/>
                      <w:lang w:eastAsia="zh-CN"/>
                      <w14:textFill>
                        <w14:solidFill>
                          <w14:schemeClr w14:val="tx1"/>
                        </w14:solidFill>
                      </w14:textFill>
                    </w:rPr>
                    <w:t>-</w:t>
                  </w:r>
                </w:p>
              </w:tc>
            </w:tr>
            <w:tr w14:paraId="34341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6871558D">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4</w:t>
                  </w:r>
                </w:p>
              </w:tc>
              <w:tc>
                <w:tcPr>
                  <w:tcW w:w="1419" w:type="dxa"/>
                  <w:vAlign w:val="center"/>
                </w:tcPr>
                <w:p w14:paraId="5EEBDFA8">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大沙鼠</w:t>
                  </w:r>
                </w:p>
              </w:tc>
              <w:tc>
                <w:tcPr>
                  <w:tcW w:w="3264" w:type="dxa"/>
                </w:tcPr>
                <w:p w14:paraId="19F01D48">
                  <w:pPr>
                    <w:kinsoku/>
                    <w:jc w:val="center"/>
                    <w:rPr>
                      <w:rFonts w:hint="default" w:ascii="Times New Roman" w:hAnsi="Times New Roman" w:eastAsia="宋体" w:cs="Times New Roman"/>
                      <w:i/>
                      <w:iCs/>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Rhombomys opimus</w:t>
                  </w:r>
                </w:p>
              </w:tc>
              <w:tc>
                <w:tcPr>
                  <w:tcW w:w="1928" w:type="dxa"/>
                </w:tcPr>
                <w:p w14:paraId="2BA00031">
                  <w:pPr>
                    <w:kinsoku/>
                    <w:jc w:val="center"/>
                    <w:rPr>
                      <w:rFonts w:hint="default" w:ascii="Times New Roman" w:hAnsi="Times New Roman" w:eastAsia="宋体" w:cs="Times New Roman"/>
                      <w:i/>
                      <w:iCs/>
                      <w:color w:val="000000" w:themeColor="text1"/>
                      <w:lang w:eastAsia="zh-CN"/>
                      <w14:textFill>
                        <w14:solidFill>
                          <w14:schemeClr w14:val="tx1"/>
                        </w14:solidFill>
                      </w14:textFill>
                    </w:rPr>
                  </w:pPr>
                  <w:r>
                    <w:rPr>
                      <w:rFonts w:hint="default" w:ascii="Times New Roman" w:hAnsi="Times New Roman" w:eastAsia="宋体" w:cs="Times New Roman"/>
                      <w:i/>
                      <w:iCs/>
                      <w:color w:val="000000" w:themeColor="text1"/>
                      <w:lang w:eastAsia="zh-CN"/>
                      <w14:textFill>
                        <w14:solidFill>
                          <w14:schemeClr w14:val="tx1"/>
                        </w14:solidFill>
                      </w14:textFill>
                    </w:rPr>
                    <w:t>-</w:t>
                  </w:r>
                </w:p>
              </w:tc>
            </w:tr>
            <w:tr w14:paraId="2508C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bottom w:val="single" w:color="000000" w:sz="10" w:space="0"/>
                  </w:tcBorders>
                  <w:vAlign w:val="center"/>
                </w:tcPr>
                <w:p w14:paraId="4C95C979">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5</w:t>
                  </w:r>
                </w:p>
              </w:tc>
              <w:tc>
                <w:tcPr>
                  <w:tcW w:w="1419" w:type="dxa"/>
                  <w:tcBorders>
                    <w:bottom w:val="single" w:color="000000" w:sz="10" w:space="0"/>
                  </w:tcBorders>
                  <w:vAlign w:val="center"/>
                </w:tcPr>
                <w:p w14:paraId="295EFB54">
                  <w:pPr>
                    <w:pStyle w:val="22"/>
                    <w:kinsoku/>
                    <w:jc w:val="center"/>
                    <w:rPr>
                      <w:rFonts w:hint="default" w:ascii="Times New Roman" w:hAnsi="Times New Roman" w:eastAsia="宋体" w:cs="Times New Roman"/>
                      <w:color w:val="000000" w:themeColor="text1"/>
                      <w:spacing w:val="5"/>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子午沙鼠</w:t>
                  </w:r>
                </w:p>
              </w:tc>
              <w:tc>
                <w:tcPr>
                  <w:tcW w:w="3264" w:type="dxa"/>
                  <w:tcBorders>
                    <w:bottom w:val="single" w:color="000000" w:sz="10" w:space="0"/>
                  </w:tcBorders>
                </w:tcPr>
                <w:p w14:paraId="3BDC8D39">
                  <w:pPr>
                    <w:kinsoku/>
                    <w:jc w:val="center"/>
                    <w:rPr>
                      <w:rFonts w:hint="default" w:ascii="Times New Roman" w:hAnsi="Times New Roman" w:eastAsia="宋体" w:cs="Times New Roman"/>
                      <w:i/>
                      <w:iCs/>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Meriones meridianus</w:t>
                  </w:r>
                </w:p>
              </w:tc>
              <w:tc>
                <w:tcPr>
                  <w:tcW w:w="1928" w:type="dxa"/>
                  <w:tcBorders>
                    <w:bottom w:val="single" w:color="000000" w:sz="10" w:space="0"/>
                  </w:tcBorders>
                </w:tcPr>
                <w:p w14:paraId="17229708">
                  <w:pPr>
                    <w:kinsoku/>
                    <w:jc w:val="center"/>
                    <w:rPr>
                      <w:rFonts w:hint="default" w:ascii="Times New Roman" w:hAnsi="Times New Roman" w:eastAsia="宋体" w:cs="Times New Roman"/>
                      <w:i/>
                      <w:iCs/>
                      <w:color w:val="000000" w:themeColor="text1"/>
                      <w:lang w:eastAsia="zh-CN"/>
                      <w14:textFill>
                        <w14:solidFill>
                          <w14:schemeClr w14:val="tx1"/>
                        </w14:solidFill>
                      </w14:textFill>
                    </w:rPr>
                  </w:pPr>
                  <w:r>
                    <w:rPr>
                      <w:rFonts w:hint="default" w:ascii="Times New Roman" w:hAnsi="Times New Roman" w:eastAsia="宋体" w:cs="Times New Roman"/>
                      <w:i/>
                      <w:iCs/>
                      <w:color w:val="000000" w:themeColor="text1"/>
                      <w:lang w:eastAsia="zh-CN"/>
                      <w14:textFill>
                        <w14:solidFill>
                          <w14:schemeClr w14:val="tx1"/>
                        </w14:solidFill>
                      </w14:textFill>
                    </w:rPr>
                    <w:t>-</w:t>
                  </w:r>
                </w:p>
              </w:tc>
            </w:tr>
          </w:tbl>
          <w:p w14:paraId="5BD89F4E">
            <w:pPr>
              <w:pStyle w:val="22"/>
              <w:kinsoku/>
              <w:spacing w:before="25" w:line="227" w:lineRule="auto"/>
              <w:ind w:left="3"/>
              <w:rPr>
                <w:rFonts w:hint="default" w:ascii="Times New Roman" w:hAnsi="Times New Roman" w:eastAsia="宋体" w:cs="Times New Roman"/>
                <w:color w:val="000000" w:themeColor="text1"/>
                <w:spacing w:val="8"/>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注：++多见，+少见，—偶见</w:t>
            </w:r>
          </w:p>
          <w:p w14:paraId="20646DB2">
            <w:pPr>
              <w:pStyle w:val="22"/>
              <w:kinsoku/>
              <w:spacing w:before="25" w:line="227"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4715510" cy="3097530"/>
                  <wp:effectExtent l="0" t="0" r="8890" b="762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8"/>
                          <a:stretch>
                            <a:fillRect/>
                          </a:stretch>
                        </pic:blipFill>
                        <pic:spPr>
                          <a:xfrm>
                            <a:off x="0" y="0"/>
                            <a:ext cx="4715510" cy="3097530"/>
                          </a:xfrm>
                          <a:prstGeom prst="rect">
                            <a:avLst/>
                          </a:prstGeom>
                          <a:noFill/>
                          <a:ln>
                            <a:noFill/>
                          </a:ln>
                        </pic:spPr>
                      </pic:pic>
                    </a:graphicData>
                  </a:graphic>
                </wp:inline>
              </w:drawing>
            </w:r>
          </w:p>
          <w:p w14:paraId="47D110E4">
            <w:pPr>
              <w:pStyle w:val="22"/>
              <w:kinsoku/>
              <w:spacing w:before="25" w:line="227"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荒漠沙蜥</w:t>
            </w:r>
          </w:p>
          <w:p w14:paraId="7D4764FE">
            <w:pPr>
              <w:pStyle w:val="22"/>
              <w:kinsoku/>
              <w:spacing w:before="25" w:line="227"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4716145" cy="3096260"/>
                  <wp:effectExtent l="0" t="0" r="8255" b="8890"/>
                  <wp:docPr id="63" name="图片 63" descr="d86bca94e39b128980537c10cdaeb443"/>
                  <wp:cNvGraphicFramePr/>
                  <a:graphic xmlns:a="http://schemas.openxmlformats.org/drawingml/2006/main">
                    <a:graphicData uri="http://schemas.openxmlformats.org/drawingml/2006/picture">
                      <pic:pic xmlns:pic="http://schemas.openxmlformats.org/drawingml/2006/picture">
                        <pic:nvPicPr>
                          <pic:cNvPr id="63" name="图片 63" descr="d86bca94e39b128980537c10cdaeb443"/>
                          <pic:cNvPicPr/>
                        </pic:nvPicPr>
                        <pic:blipFill>
                          <a:blip r:embed="rId19"/>
                          <a:stretch>
                            <a:fillRect/>
                          </a:stretch>
                        </pic:blipFill>
                        <pic:spPr>
                          <a:xfrm>
                            <a:off x="0" y="0"/>
                            <a:ext cx="4716145" cy="3096260"/>
                          </a:xfrm>
                          <a:prstGeom prst="rect">
                            <a:avLst/>
                          </a:prstGeom>
                        </pic:spPr>
                      </pic:pic>
                    </a:graphicData>
                  </a:graphic>
                </wp:inline>
              </w:drawing>
            </w:r>
          </w:p>
          <w:p w14:paraId="2EA80747">
            <w:pPr>
              <w:pStyle w:val="22"/>
              <w:kinsoku/>
              <w:spacing w:before="25" w:line="227"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快步麻蜥</w:t>
            </w:r>
          </w:p>
          <w:p w14:paraId="3A81E2C1">
            <w:pPr>
              <w:pStyle w:val="22"/>
              <w:kinsoku/>
              <w:spacing w:before="30" w:line="360"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.3土地利用类型</w:t>
            </w:r>
          </w:p>
          <w:p w14:paraId="23E4DD7B">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根据建设单位提供的土地利用类型资料可知，并参照《土地利用现状分类》（GB/T21010-2017），以确定本工程区域的土地利用类型。本项目占地类型主要为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其他草地，本项目土地利用现状图见附图5</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1E118995">
            <w:pPr>
              <w:pStyle w:val="22"/>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.4土地沙化现状</w:t>
            </w:r>
          </w:p>
          <w:p w14:paraId="21D7E110">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按照《中华人民共和国防沙治沙法》（2018年10月26日修订）有关规定、《新疆第六次沙化监测报告》以及《关于加强沙区建设项目环境影响评价工作的通知》（新环环评发〔2020〕138号）文件，在沙化土地范围内从事开发建设活动的，必须事先就该项目可能对当地及相关地区生态产生的影响进行环境影响评价，依法提交环境影响报告；环境影响报告应当包括有关防沙治沙的内容。</w:t>
            </w:r>
          </w:p>
          <w:p w14:paraId="71E1E4AC">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（1）项目区沙化土地现状及防沙治沙工作情况</w:t>
            </w:r>
          </w:p>
          <w:p w14:paraId="020E8DBA">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新疆第六次沙化监测报告》，新疆国土总面积为16648.97万公顷，本次沙化监测区面积为15689.13万公顷，沙化监测区分布在14个地州市，88个县市（区）、10个自治区直辖市共98个行政区域。监测结果显示：沙化土地面积7468.21万公顷，占监测区总面积47.60%，具有明显沙化趋势的土地面积437.96万公顷，占监测区总面积2.79%，非沙化土地面积7782.95万公顷，占监测区总面积49.61%。古尔班通古特沙漠面积48695k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，占全疆沙漠的11.05%；沙漠中的沙化土地面积449.44万hm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，其中：流动沙地3.57万hm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，半固定沙地96.92万hm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，固定沙地344.54万hm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，沙化耕地4.41万hm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CF4BFAC">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根据《新疆第六次沙化监测报告》</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近年来，吉木萨尔县通过持续实施三北防护林、退耕还林还草及封沙育林工程，区域防风固沙生态服务功能显著增强。近5年数据显示，吉木萨尔县境内沙化土地面积整体呈“缩减与稳定并存”的趋势，具有明显沙化趋势的土地面积占比持续下降，荒漠植被综合盖度稳中有升。</w:t>
            </w:r>
          </w:p>
          <w:p w14:paraId="035FDA23">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古尔班通古特沙漠位于准噶尔盆地中央，是我国第二大沙漠。本项目萨L1501H等评价井位于昌吉州吉木萨尔县二工镇，地处准噶尔盆地南缘的绿洲-荒漠过渡带。项目井口位置距离古尔班通古特沙漠南缘的直线距离约为60km</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项目区不仅不在沙漠范围内，且与沙漠主体之间存在广阔的防风固沙基干林带和荒漠灌草植被（如白皮锦鸡儿、骆驼蓬）作为生态缓冲屏障。本项目为点状勘探作业，占地极小且实施严格的“表土剥离、工完场清、植被恢复”措施，其施工扰动半径远小于60km的生态安全缓冲距离，绝不会对古尔班通古特沙漠的沙源扩张或区域整体防风固沙格局造成实质性影响。土地沙化现状见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0F4021B9">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（2）项目实施过程中对周边沙化土地的影响</w:t>
            </w:r>
          </w:p>
          <w:p w14:paraId="2A5A78BC">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根据《土地利用现状分类》本项目临时占地为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其他草地</w:t>
            </w:r>
            <w:r>
              <w:rPr>
                <w:rFonts w:hint="default" w:ascii="Times New Roman" w:hAnsi="Times New Roman" w:eastAsia="宋体" w:cs="Times New Roman"/>
                <w:color w:val="000000" w:themeColor="text1"/>
                <w:sz w:val="24"/>
                <w:szCs w:val="24"/>
                <w:lang w:eastAsia="zh-CN"/>
                <w14:textFill>
                  <w14:solidFill>
                    <w14:schemeClr w14:val="tx1"/>
                  </w14:solidFill>
                </w14:textFill>
              </w:rPr>
              <w:t>，项目临时占地不占用基本农田，存在土地沙化的潜在危害，拟建工程占地范围不涉及已建设的防沙治沙设施。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废渣遇大风天气易产生严重的扬尘，形成沙尘天气。</w:t>
            </w:r>
          </w:p>
          <w:p w14:paraId="6BD69A46">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（3）可能造成的土地沙化和沙尘等生态危害。</w:t>
            </w:r>
          </w:p>
          <w:p w14:paraId="22E96D0D">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在施工期土地开挖过程中，若未采取分层开挖、分层回填措施，可能导致土壤的蓄水保肥能力降低，影响区域植被生长，造成土壤逐渐沙化。此外，在施工过程中，各种车辆（尤其是重型卡车）在荒漠上行驶将使经过的土壤变紧实，严重的经过多次碾压后植物很难再生长，甚至退化为沙地。</w:t>
            </w:r>
          </w:p>
          <w:p w14:paraId="70094018">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上述施工作业过程中，对原地貌的扰动大大降低了项目占地范围内的土壤抗侵蚀能力，若未采取相应的防护措施，遇大风极易加重区域沙尘天气。</w:t>
            </w:r>
          </w:p>
          <w:p w14:paraId="2DECD7A6">
            <w:pPr>
              <w:pStyle w:val="22"/>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.5水土流失现状</w:t>
            </w:r>
          </w:p>
          <w:p w14:paraId="7219C9C0">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位于新疆维吾尔自治区昌吉回族自治州，根据《关于划分国家级水土流失重点防治区的公告》《全国水土保持规划国家级水土流失重点预防区和重点治理区复核划分成果》（办水保〔2013〕188号），项目区属于“天山北坡国家级水土流失重点预防区”。</w:t>
            </w:r>
          </w:p>
          <w:p w14:paraId="625DD1C5">
            <w:pPr>
              <w:pStyle w:val="22"/>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项目区域在国家级水土流失区划中情况</w:t>
            </w:r>
          </w:p>
          <w:tbl>
            <w:tblPr>
              <w:tblStyle w:val="21"/>
              <w:tblW w:w="79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2727"/>
              <w:gridCol w:w="3252"/>
            </w:tblGrid>
            <w:tr w14:paraId="45D45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79" w:type="dxa"/>
                  <w:vAlign w:val="center"/>
                </w:tcPr>
                <w:p w14:paraId="444558B2">
                  <w:pPr>
                    <w:pStyle w:val="22"/>
                    <w:kinsoku/>
                    <w:spacing w:before="42" w:line="234"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eastAsia="zh-CN"/>
                      <w14:textFill>
                        <w14:solidFill>
                          <w14:schemeClr w14:val="tx1"/>
                        </w14:solidFill>
                      </w14:textFill>
                    </w:rPr>
                    <w:t>涉及水土流失区划</w:t>
                  </w:r>
                  <w:r>
                    <w:rPr>
                      <w:rFonts w:hint="default" w:ascii="Times New Roman" w:hAnsi="Times New Roman" w:eastAsia="宋体" w:cs="Times New Roman"/>
                      <w:b/>
                      <w:bCs/>
                      <w:color w:val="000000" w:themeColor="text1"/>
                      <w:spacing w:val="3"/>
                      <w:sz w:val="21"/>
                      <w:szCs w:val="21"/>
                      <w:lang w:eastAsia="zh-CN"/>
                      <w14:textFill>
                        <w14:solidFill>
                          <w14:schemeClr w14:val="tx1"/>
                        </w14:solidFill>
                      </w14:textFill>
                    </w:rPr>
                    <w:t>的行政区域</w:t>
                  </w:r>
                </w:p>
              </w:tc>
              <w:tc>
                <w:tcPr>
                  <w:tcW w:w="2727" w:type="dxa"/>
                  <w:vAlign w:val="center"/>
                </w:tcPr>
                <w:p w14:paraId="33686E3F">
                  <w:pPr>
                    <w:pStyle w:val="22"/>
                    <w:kinsoku/>
                    <w:spacing w:before="175"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2"/>
                      <w:sz w:val="21"/>
                      <w:szCs w:val="21"/>
                      <w14:textFill>
                        <w14:solidFill>
                          <w14:schemeClr w14:val="tx1"/>
                        </w14:solidFill>
                      </w14:textFill>
                    </w:rPr>
                    <w:t>大类</w:t>
                  </w:r>
                </w:p>
              </w:tc>
              <w:tc>
                <w:tcPr>
                  <w:tcW w:w="3252" w:type="dxa"/>
                  <w:tcBorders>
                    <w:right w:val="single" w:color="000000" w:sz="4" w:space="0"/>
                  </w:tcBorders>
                  <w:vAlign w:val="center"/>
                </w:tcPr>
                <w:p w14:paraId="485A2899">
                  <w:pPr>
                    <w:pStyle w:val="22"/>
                    <w:kinsoku/>
                    <w:spacing w:before="175" w:line="23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区名称</w:t>
                  </w:r>
                </w:p>
              </w:tc>
            </w:tr>
            <w:tr w14:paraId="48441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79" w:type="dxa"/>
                  <w:vAlign w:val="center"/>
                </w:tcPr>
                <w:p w14:paraId="7EAF801E">
                  <w:pPr>
                    <w:pStyle w:val="22"/>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pacing w:val="7"/>
                      <w:sz w:val="21"/>
                      <w:szCs w:val="21"/>
                      <w:lang w:val="en-US" w:eastAsia="zh-CN"/>
                      <w14:textFill>
                        <w14:solidFill>
                          <w14:schemeClr w14:val="tx1"/>
                        </w14:solidFill>
                      </w14:textFill>
                    </w:rPr>
                    <w:t>吉木萨尔县</w:t>
                  </w:r>
                </w:p>
              </w:tc>
              <w:tc>
                <w:tcPr>
                  <w:tcW w:w="2727" w:type="dxa"/>
                  <w:vAlign w:val="center"/>
                </w:tcPr>
                <w:p w14:paraId="2DD2EDF2">
                  <w:pPr>
                    <w:pStyle w:val="22"/>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国家级水土流失重点预防区</w:t>
                  </w:r>
                </w:p>
              </w:tc>
              <w:tc>
                <w:tcPr>
                  <w:tcW w:w="3252" w:type="dxa"/>
                  <w:tcBorders>
                    <w:right w:val="single" w:color="000000" w:sz="4" w:space="0"/>
                  </w:tcBorders>
                  <w:vAlign w:val="center"/>
                </w:tcPr>
                <w:p w14:paraId="0FFF17E3">
                  <w:pPr>
                    <w:pStyle w:val="22"/>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天山北坡国家级水土流失重点预</w:t>
                  </w: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防区</w:t>
                  </w:r>
                </w:p>
              </w:tc>
            </w:tr>
          </w:tbl>
          <w:p w14:paraId="764F9C74">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关于印发新疆自治区级水土流失重点预防区和重点治理区复核划分成果的通知》（新水水保〔2019〕4号）：全疆共划分了2个自治区级重点预防区，4个自治区级重点治理区。依据《昌吉州水土流失重点预防区和重点治理区划分成果》及《昌吉回族自治州两区划分图 》可知，本项目不在昌吉回族自治州两区划分的水土流失预防区和治理区。水土保持区划见附图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673201D4">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本项目环评提出，按照水土保持方案的要求，严格执行各项水土保持措施。</w:t>
            </w:r>
          </w:p>
          <w:p w14:paraId="047D0D3E">
            <w:pPr>
              <w:pStyle w:val="22"/>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.环境空气质量现状调查及评价</w:t>
            </w:r>
          </w:p>
          <w:p w14:paraId="4C71B43A">
            <w:pPr>
              <w:pStyle w:val="22"/>
              <w:kinsoku/>
              <w:spacing w:before="38" w:line="356" w:lineRule="auto"/>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.1数据来源</w:t>
            </w:r>
          </w:p>
          <w:p w14:paraId="411BF175">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根据《环境影响评价技术导则大气环境》（HJ2.2-2018）对环境质量现状数据的要求，本项目基本污染物环境质量现状评价采用环境空气质量模型空气质量数据，作为本项目环境空气现状评价基本污染物SO</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、NO</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、PM</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10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、PM</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2.5</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、CO和O</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的数据来源。</w:t>
            </w:r>
          </w:p>
          <w:p w14:paraId="680AEDEB">
            <w:pPr>
              <w:pStyle w:val="22"/>
              <w:kinsoku/>
              <w:spacing w:before="38" w:line="356" w:lineRule="auto"/>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.2评价标准</w:t>
            </w:r>
          </w:p>
          <w:p w14:paraId="0656371A">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基本污染物SO</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、NO</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、PM</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10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、PM</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2.5</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、CO和O</w:t>
            </w:r>
            <w:r>
              <w:rPr>
                <w:rFonts w:hint="default" w:ascii="Times New Roman" w:hAnsi="Times New Roman" w:eastAsia="宋体" w:cs="Times New Roman"/>
                <w:color w:val="000000" w:themeColor="text1"/>
                <w:spacing w:val="-2"/>
                <w:sz w:val="24"/>
                <w:szCs w:val="24"/>
                <w:vertAlign w:val="sub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执行《环境空气质量标准》（GB3095-20</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26</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）中的二级标准。</w:t>
            </w:r>
          </w:p>
          <w:p w14:paraId="348C950C">
            <w:pPr>
              <w:pStyle w:val="22"/>
              <w:kinsoku/>
              <w:spacing w:before="38" w:line="356" w:lineRule="auto"/>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.3评价方法</w:t>
            </w:r>
          </w:p>
          <w:p w14:paraId="103EB478">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509E2188">
            <w:pPr>
              <w:pStyle w:val="22"/>
              <w:kinsoku/>
              <w:spacing w:before="38" w:line="356" w:lineRule="auto"/>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.4空气质量达标区判定</w:t>
            </w:r>
          </w:p>
          <w:p w14:paraId="5D793240">
            <w:pPr>
              <w:pStyle w:val="22"/>
              <w:kinsoku/>
              <w:spacing w:before="38" w:line="356" w:lineRule="auto"/>
              <w:ind w:firstLine="482"/>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16" w:name="_Ref179977892"/>
            <w:bookmarkStart w:id="17" w:name="_Ref21430043"/>
            <w:r>
              <w:rPr>
                <w:rFonts w:hint="default" w:ascii="Times New Roman" w:hAnsi="Times New Roman" w:eastAsia="宋体" w:cs="Times New Roman"/>
                <w:color w:val="000000" w:themeColor="text1"/>
                <w:sz w:val="24"/>
                <w:szCs w:val="24"/>
                <w:lang w:eastAsia="zh-CN"/>
                <w14:textFill>
                  <w14:solidFill>
                    <w14:schemeClr w14:val="tx1"/>
                  </w14:solidFill>
                </w14:textFill>
              </w:rPr>
              <w:t>根据《环境影响评价技术导则 大气环境》（HJ2.2-2018）要求，项目位于昌吉回族自治州阜康市，根据新疆维吾尔自治区生态环境厅发布的《2024年12月和1-12月全区环境空气质量状况及排名》数据显示，昌吉回族自治州2024年基本污染物中SO</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、CO、O</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的现状浓度均符合《环境空气质量标准》（GB3095-20</w:t>
            </w:r>
            <w:r>
              <w:rPr>
                <w:rFonts w:hint="eastAsia" w:ascii="Times New Roman" w:hAnsi="Times New Roman" w:cs="Times New Roman"/>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过渡阶段二级浓度限值</w:t>
            </w:r>
            <w:r>
              <w:rPr>
                <w:rFonts w:hint="default" w:ascii="Times New Roman" w:hAnsi="Times New Roman" w:eastAsia="宋体" w:cs="Times New Roman"/>
                <w:color w:val="000000" w:themeColor="text1"/>
                <w:sz w:val="24"/>
                <w:szCs w:val="24"/>
                <w:lang w:eastAsia="zh-CN"/>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10</w:t>
            </w:r>
            <w:r>
              <w:rPr>
                <w:rFonts w:hint="default" w:ascii="Times New Roman" w:hAnsi="Times New Roman" w:eastAsia="宋体" w:cs="Times New Roman"/>
                <w:color w:val="000000" w:themeColor="text1"/>
                <w:sz w:val="24"/>
                <w:szCs w:val="24"/>
                <w:lang w:eastAsia="zh-CN"/>
                <w14:textFill>
                  <w14:solidFill>
                    <w14:schemeClr w14:val="tx1"/>
                  </w14:solidFill>
                </w14:textFill>
              </w:rPr>
              <w:t>和PM</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2.5</w:t>
            </w:r>
            <w:r>
              <w:rPr>
                <w:rFonts w:hint="default" w:ascii="Times New Roman" w:hAnsi="Times New Roman" w:eastAsia="宋体" w:cs="Times New Roman"/>
                <w:color w:val="000000" w:themeColor="text1"/>
                <w:sz w:val="24"/>
                <w:szCs w:val="24"/>
                <w:lang w:eastAsia="zh-CN"/>
                <w14:textFill>
                  <w14:solidFill>
                    <w14:schemeClr w14:val="tx1"/>
                  </w14:solidFill>
                </w14:textFill>
              </w:rPr>
              <w:t>的现状浓度超标，具体情况见下表。</w:t>
            </w:r>
          </w:p>
          <w:p w14:paraId="0D89A4E8">
            <w:pPr>
              <w:pStyle w:val="7"/>
              <w:kinsoku/>
              <w:spacing w:line="240" w:lineRule="auto"/>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w:t>
            </w:r>
            <w:bookmarkEnd w:id="16"/>
            <w:r>
              <w:rPr>
                <w:rFonts w:hint="default" w:ascii="Times New Roman" w:hAnsi="Times New Roman" w:eastAsia="宋体" w:cs="Times New Roman"/>
                <w:b/>
                <w:bCs/>
                <w:color w:val="000000" w:themeColor="text1"/>
                <w:lang w:eastAsia="zh-CN"/>
                <w14:textFill>
                  <w14:solidFill>
                    <w14:schemeClr w14:val="tx1"/>
                  </w14:solidFill>
                </w14:textFill>
              </w:rPr>
              <w:t>3-</w:t>
            </w:r>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lang w:eastAsia="zh-CN"/>
                <w14:textFill>
                  <w14:solidFill>
                    <w14:schemeClr w14:val="tx1"/>
                  </w14:solidFill>
                </w14:textFill>
              </w:rPr>
              <w:t xml:space="preserve"> 大气质量及评价结果一览表</w:t>
            </w:r>
          </w:p>
          <w:tbl>
            <w:tblPr>
              <w:tblStyle w:val="2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2887"/>
              <w:gridCol w:w="1052"/>
              <w:gridCol w:w="1174"/>
              <w:gridCol w:w="1176"/>
              <w:gridCol w:w="903"/>
            </w:tblGrid>
            <w:tr w14:paraId="37F94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jc w:val="center"/>
              </w:trPr>
              <w:tc>
                <w:tcPr>
                  <w:tcW w:w="554" w:type="pct"/>
                  <w:vAlign w:val="center"/>
                </w:tcPr>
                <w:p w14:paraId="74882215">
                  <w:pPr>
                    <w:pStyle w:val="22"/>
                    <w:jc w:val="center"/>
                    <w:rPr>
                      <w:rFonts w:hint="default" w:ascii="Times New Roman" w:hAnsi="Times New Roman" w:eastAsia="宋体" w:cs="Times New Roman"/>
                      <w:b/>
                      <w:bCs/>
                      <w:color w:val="000000" w:themeColor="text1"/>
                      <w:spacing w:val="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污染物</w:t>
                  </w:r>
                </w:p>
              </w:tc>
              <w:tc>
                <w:tcPr>
                  <w:tcW w:w="1782" w:type="pct"/>
                  <w:vAlign w:val="center"/>
                </w:tcPr>
                <w:p w14:paraId="25907C9C">
                  <w:pPr>
                    <w:pStyle w:val="22"/>
                    <w:jc w:val="center"/>
                    <w:rPr>
                      <w:rFonts w:hint="default" w:ascii="Times New Roman" w:hAnsi="Times New Roman" w:eastAsia="宋体" w:cs="Times New Roman"/>
                      <w:b/>
                      <w:bCs/>
                      <w:color w:val="000000" w:themeColor="text1"/>
                      <w:spacing w:val="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评价指标</w:t>
                  </w:r>
                </w:p>
              </w:tc>
              <w:tc>
                <w:tcPr>
                  <w:tcW w:w="650" w:type="pct"/>
                  <w:vAlign w:val="center"/>
                </w:tcPr>
                <w:p w14:paraId="3309459D">
                  <w:pPr>
                    <w:pStyle w:val="2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现状浓度(μ</w:t>
                  </w:r>
                  <w:r>
                    <w:rPr>
                      <w:rFonts w:hint="default" w:ascii="Times New Roman" w:hAnsi="Times New Roman" w:eastAsia="宋体" w:cs="Times New Roman"/>
                      <w:b/>
                      <w:bCs/>
                      <w:color w:val="000000" w:themeColor="text1"/>
                      <w:spacing w:val="2"/>
                      <w:sz w:val="21"/>
                      <w:szCs w:val="21"/>
                      <w14:textFill>
                        <w14:solidFill>
                          <w14:schemeClr w14:val="tx1"/>
                        </w14:solidFill>
                      </w14:textFill>
                    </w:rPr>
                    <w:t>g/m</w:t>
                  </w:r>
                  <w:r>
                    <w:rPr>
                      <w:rFonts w:hint="default" w:ascii="Times New Roman" w:hAnsi="Times New Roman" w:eastAsia="宋体" w:cs="Times New Roman"/>
                      <w:b/>
                      <w:bCs/>
                      <w:color w:val="000000" w:themeColor="text1"/>
                      <w:spacing w:val="2"/>
                      <w:sz w:val="21"/>
                      <w:szCs w:val="21"/>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pacing w:val="2"/>
                      <w:sz w:val="21"/>
                      <w:szCs w:val="21"/>
                      <w14:textFill>
                        <w14:solidFill>
                          <w14:schemeClr w14:val="tx1"/>
                        </w14:solidFill>
                      </w14:textFill>
                    </w:rPr>
                    <w:t>）</w:t>
                  </w:r>
                </w:p>
              </w:tc>
              <w:tc>
                <w:tcPr>
                  <w:tcW w:w="726" w:type="pct"/>
                  <w:vAlign w:val="center"/>
                </w:tcPr>
                <w:p w14:paraId="05C062D1">
                  <w:pPr>
                    <w:pStyle w:val="2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标准值(μg/</w:t>
                  </w:r>
                  <w:r>
                    <w:rPr>
                      <w:rFonts w:hint="default" w:ascii="Times New Roman" w:hAnsi="Times New Roman" w:eastAsia="宋体" w:cs="Times New Roman"/>
                      <w:b/>
                      <w:bCs/>
                      <w:color w:val="000000" w:themeColor="text1"/>
                      <w:spacing w:val="3"/>
                      <w:position w:val="-1"/>
                      <w:sz w:val="21"/>
                      <w:szCs w:val="21"/>
                      <w14:textFill>
                        <w14:solidFill>
                          <w14:schemeClr w14:val="tx1"/>
                        </w14:solidFill>
                      </w14:textFill>
                    </w:rPr>
                    <w:t>m</w:t>
                  </w:r>
                  <w:r>
                    <w:rPr>
                      <w:rFonts w:hint="default" w:ascii="Times New Roman" w:hAnsi="Times New Roman" w:eastAsia="宋体" w:cs="Times New Roman"/>
                      <w:b/>
                      <w:bCs/>
                      <w:color w:val="000000" w:themeColor="text1"/>
                      <w:spacing w:val="3"/>
                      <w:position w:val="-1"/>
                      <w:sz w:val="21"/>
                      <w:szCs w:val="21"/>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pacing w:val="3"/>
                      <w:position w:val="-1"/>
                      <w:sz w:val="21"/>
                      <w:szCs w:val="21"/>
                      <w14:textFill>
                        <w14:solidFill>
                          <w14:schemeClr w14:val="tx1"/>
                        </w14:solidFill>
                      </w14:textFill>
                    </w:rPr>
                    <w:t>）</w:t>
                  </w:r>
                </w:p>
              </w:tc>
              <w:tc>
                <w:tcPr>
                  <w:tcW w:w="727" w:type="pct"/>
                  <w:vAlign w:val="center"/>
                </w:tcPr>
                <w:p w14:paraId="409BAA0B">
                  <w:pPr>
                    <w:pStyle w:val="22"/>
                    <w:jc w:val="center"/>
                    <w:rPr>
                      <w:rFonts w:hint="default" w:ascii="Times New Roman" w:hAnsi="Times New Roman" w:eastAsia="宋体" w:cs="Times New Roman"/>
                      <w:b/>
                      <w:bCs/>
                      <w:color w:val="000000" w:themeColor="text1"/>
                      <w:spacing w:val="-5"/>
                      <w:sz w:val="21"/>
                      <w:szCs w:val="21"/>
                      <w14:textFill>
                        <w14:solidFill>
                          <w14:schemeClr w14:val="tx1"/>
                        </w14:solidFill>
                      </w14:textFill>
                    </w:rPr>
                  </w:pPr>
                  <w:r>
                    <w:rPr>
                      <w:rFonts w:hint="default" w:ascii="Times New Roman" w:hAnsi="Times New Roman" w:eastAsia="宋体" w:cs="Times New Roman"/>
                      <w:b/>
                      <w:bCs/>
                      <w:color w:val="000000" w:themeColor="text1"/>
                      <w:spacing w:val="-5"/>
                      <w:sz w:val="21"/>
                      <w:szCs w:val="21"/>
                      <w14:textFill>
                        <w14:solidFill>
                          <w14:schemeClr w14:val="tx1"/>
                        </w14:solidFill>
                      </w14:textFill>
                    </w:rPr>
                    <w:t>占标率</w:t>
                  </w:r>
                </w:p>
                <w:p w14:paraId="2ED731BA">
                  <w:pPr>
                    <w:pStyle w:val="2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w:t>
                  </w:r>
                </w:p>
              </w:tc>
              <w:tc>
                <w:tcPr>
                  <w:tcW w:w="558" w:type="pct"/>
                  <w:tcBorders>
                    <w:right w:val="single" w:color="000000" w:sz="4" w:space="0"/>
                  </w:tcBorders>
                  <w:vAlign w:val="center"/>
                </w:tcPr>
                <w:p w14:paraId="109B7C39">
                  <w:pPr>
                    <w:pStyle w:val="2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5"/>
                      <w:sz w:val="21"/>
                      <w:szCs w:val="21"/>
                      <w14:textFill>
                        <w14:solidFill>
                          <w14:schemeClr w14:val="tx1"/>
                        </w14:solidFill>
                      </w14:textFill>
                    </w:rPr>
                    <w:t>达标</w:t>
                  </w:r>
                  <w:r>
                    <w:rPr>
                      <w:rFonts w:hint="default" w:ascii="Times New Roman" w:hAnsi="Times New Roman" w:eastAsia="宋体" w:cs="Times New Roman"/>
                      <w:b/>
                      <w:bCs/>
                      <w:color w:val="000000" w:themeColor="text1"/>
                      <w:spacing w:val="4"/>
                      <w:sz w:val="21"/>
                      <w:szCs w:val="21"/>
                      <w14:textFill>
                        <w14:solidFill>
                          <w14:schemeClr w14:val="tx1"/>
                        </w14:solidFill>
                      </w14:textFill>
                    </w:rPr>
                    <w:t>情况</w:t>
                  </w:r>
                </w:p>
              </w:tc>
            </w:tr>
            <w:tr w14:paraId="1969E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721B592F">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SO</w:t>
                  </w:r>
                  <w:r>
                    <w:rPr>
                      <w:rFonts w:hint="default" w:ascii="Times New Roman" w:hAnsi="Times New Roman" w:eastAsia="宋体" w:cs="Times New Roman"/>
                      <w:color w:val="000000" w:themeColor="text1"/>
                      <w:spacing w:val="3"/>
                      <w:position w:val="-1"/>
                      <w:vertAlign w:val="subscript"/>
                      <w14:textFill>
                        <w14:solidFill>
                          <w14:schemeClr w14:val="tx1"/>
                        </w14:solidFill>
                      </w14:textFill>
                    </w:rPr>
                    <w:t>2</w:t>
                  </w:r>
                </w:p>
              </w:tc>
              <w:tc>
                <w:tcPr>
                  <w:tcW w:w="1782" w:type="pct"/>
                  <w:vAlign w:val="center"/>
                </w:tcPr>
                <w:p w14:paraId="1E394814">
                  <w:pPr>
                    <w:pStyle w:val="2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年平均质量浓度</w:t>
                  </w:r>
                </w:p>
              </w:tc>
              <w:tc>
                <w:tcPr>
                  <w:tcW w:w="650" w:type="pct"/>
                  <w:vAlign w:val="center"/>
                </w:tcPr>
                <w:p w14:paraId="168EDF3D">
                  <w:pPr>
                    <w:pStyle w:val="27"/>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w:t>
                  </w:r>
                </w:p>
              </w:tc>
              <w:tc>
                <w:tcPr>
                  <w:tcW w:w="726" w:type="pct"/>
                  <w:vAlign w:val="center"/>
                </w:tcPr>
                <w:p w14:paraId="0216F4F1">
                  <w:pPr>
                    <w:pStyle w:val="27"/>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60</w:t>
                  </w:r>
                </w:p>
              </w:tc>
              <w:tc>
                <w:tcPr>
                  <w:tcW w:w="1176" w:type="dxa"/>
                  <w:vAlign w:val="center"/>
                </w:tcPr>
                <w:p w14:paraId="45BF637E">
                  <w:pPr>
                    <w:pStyle w:val="2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11.67%</w:t>
                  </w:r>
                </w:p>
              </w:tc>
              <w:tc>
                <w:tcPr>
                  <w:tcW w:w="558" w:type="pct"/>
                  <w:tcBorders>
                    <w:right w:val="single" w:color="000000" w:sz="4" w:space="0"/>
                  </w:tcBorders>
                  <w:vAlign w:val="center"/>
                </w:tcPr>
                <w:p w14:paraId="5A58BD7A">
                  <w:pPr>
                    <w:pStyle w:val="2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达标</w:t>
                  </w:r>
                </w:p>
              </w:tc>
            </w:tr>
            <w:tr w14:paraId="02871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0ECE2597">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NO</w:t>
                  </w:r>
                  <w:r>
                    <w:rPr>
                      <w:rFonts w:hint="default" w:ascii="Times New Roman" w:hAnsi="Times New Roman" w:eastAsia="宋体" w:cs="Times New Roman"/>
                      <w:color w:val="000000" w:themeColor="text1"/>
                      <w:spacing w:val="6"/>
                      <w:position w:val="-1"/>
                      <w:vertAlign w:val="subscript"/>
                      <w14:textFill>
                        <w14:solidFill>
                          <w14:schemeClr w14:val="tx1"/>
                        </w14:solidFill>
                      </w14:textFill>
                    </w:rPr>
                    <w:t>2</w:t>
                  </w:r>
                </w:p>
              </w:tc>
              <w:tc>
                <w:tcPr>
                  <w:tcW w:w="1782" w:type="pct"/>
                  <w:vAlign w:val="center"/>
                </w:tcPr>
                <w:p w14:paraId="1584CA81">
                  <w:pPr>
                    <w:pStyle w:val="2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年平均质量浓度</w:t>
                  </w:r>
                </w:p>
              </w:tc>
              <w:tc>
                <w:tcPr>
                  <w:tcW w:w="650" w:type="pct"/>
                  <w:vAlign w:val="center"/>
                </w:tcPr>
                <w:p w14:paraId="225976A1">
                  <w:pPr>
                    <w:pStyle w:val="27"/>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w:t>
                  </w:r>
                </w:p>
              </w:tc>
              <w:tc>
                <w:tcPr>
                  <w:tcW w:w="726" w:type="pct"/>
                  <w:vAlign w:val="center"/>
                </w:tcPr>
                <w:p w14:paraId="5D28C811">
                  <w:pPr>
                    <w:pStyle w:val="27"/>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w:t>
                  </w:r>
                </w:p>
              </w:tc>
              <w:tc>
                <w:tcPr>
                  <w:tcW w:w="1176" w:type="dxa"/>
                  <w:vAlign w:val="center"/>
                </w:tcPr>
                <w:p w14:paraId="00901C41">
                  <w:pPr>
                    <w:pStyle w:val="2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75.00%</w:t>
                  </w:r>
                </w:p>
              </w:tc>
              <w:tc>
                <w:tcPr>
                  <w:tcW w:w="558" w:type="pct"/>
                  <w:tcBorders>
                    <w:right w:val="single" w:color="000000" w:sz="4" w:space="0"/>
                  </w:tcBorders>
                  <w:vAlign w:val="center"/>
                </w:tcPr>
                <w:p w14:paraId="3398A88E">
                  <w:pPr>
                    <w:pStyle w:val="2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达标</w:t>
                  </w:r>
                </w:p>
              </w:tc>
            </w:tr>
            <w:tr w14:paraId="5AEA3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13E033B5">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PM</w:t>
                  </w:r>
                  <w:r>
                    <w:rPr>
                      <w:rFonts w:hint="default" w:ascii="Times New Roman" w:hAnsi="Times New Roman" w:eastAsia="宋体" w:cs="Times New Roman"/>
                      <w:color w:val="000000" w:themeColor="text1"/>
                      <w:spacing w:val="8"/>
                      <w:position w:val="-1"/>
                      <w:vertAlign w:val="subscript"/>
                      <w14:textFill>
                        <w14:solidFill>
                          <w14:schemeClr w14:val="tx1"/>
                        </w14:solidFill>
                      </w14:textFill>
                    </w:rPr>
                    <w:t>10</w:t>
                  </w:r>
                </w:p>
              </w:tc>
              <w:tc>
                <w:tcPr>
                  <w:tcW w:w="1782" w:type="pct"/>
                  <w:vAlign w:val="center"/>
                </w:tcPr>
                <w:p w14:paraId="1B2C703A">
                  <w:pPr>
                    <w:pStyle w:val="2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年平均质量浓度</w:t>
                  </w:r>
                </w:p>
              </w:tc>
              <w:tc>
                <w:tcPr>
                  <w:tcW w:w="650" w:type="pct"/>
                  <w:vAlign w:val="center"/>
                </w:tcPr>
                <w:p w14:paraId="12DA1C28">
                  <w:pPr>
                    <w:pStyle w:val="27"/>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75</w:t>
                  </w:r>
                </w:p>
              </w:tc>
              <w:tc>
                <w:tcPr>
                  <w:tcW w:w="726" w:type="pct"/>
                  <w:vAlign w:val="center"/>
                </w:tcPr>
                <w:p w14:paraId="5476D367">
                  <w:pPr>
                    <w:pStyle w:val="2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1176" w:type="dxa"/>
                  <w:vAlign w:val="center"/>
                </w:tcPr>
                <w:p w14:paraId="6D9906B2">
                  <w:pPr>
                    <w:pStyle w:val="2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125.00%</w:t>
                  </w:r>
                </w:p>
              </w:tc>
              <w:tc>
                <w:tcPr>
                  <w:tcW w:w="558" w:type="pct"/>
                  <w:tcBorders>
                    <w:right w:val="single" w:color="000000" w:sz="4" w:space="0"/>
                  </w:tcBorders>
                  <w:vAlign w:val="center"/>
                </w:tcPr>
                <w:p w14:paraId="22A2CEF4">
                  <w:pPr>
                    <w:pStyle w:val="2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超标</w:t>
                  </w:r>
                </w:p>
              </w:tc>
            </w:tr>
            <w:tr w14:paraId="769D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672E8690">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PM</w:t>
                  </w:r>
                  <w:r>
                    <w:rPr>
                      <w:rFonts w:hint="default" w:ascii="Times New Roman" w:hAnsi="Times New Roman" w:eastAsia="宋体" w:cs="Times New Roman"/>
                      <w:color w:val="000000" w:themeColor="text1"/>
                      <w:spacing w:val="6"/>
                      <w:position w:val="-1"/>
                      <w:vertAlign w:val="subscript"/>
                      <w14:textFill>
                        <w14:solidFill>
                          <w14:schemeClr w14:val="tx1"/>
                        </w14:solidFill>
                      </w14:textFill>
                    </w:rPr>
                    <w:t>2.5</w:t>
                  </w:r>
                </w:p>
              </w:tc>
              <w:tc>
                <w:tcPr>
                  <w:tcW w:w="1782" w:type="pct"/>
                  <w:vAlign w:val="center"/>
                </w:tcPr>
                <w:p w14:paraId="7EED21B1">
                  <w:pPr>
                    <w:pStyle w:val="2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年平均质量浓度</w:t>
                  </w:r>
                </w:p>
              </w:tc>
              <w:tc>
                <w:tcPr>
                  <w:tcW w:w="650" w:type="pct"/>
                  <w:vAlign w:val="center"/>
                </w:tcPr>
                <w:p w14:paraId="6A328C44">
                  <w:pPr>
                    <w:pStyle w:val="27"/>
                    <w:spacing w:line="240" w:lineRule="auto"/>
                    <w:rPr>
                      <w:rFonts w:hint="default" w:ascii="Times New Roman" w:hAnsi="Times New Roman" w:eastAsia="宋体" w:cs="Times New Roman"/>
                      <w:color w:val="000000" w:themeColor="text1"/>
                      <w:spacing w:val="7"/>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w:t>
                  </w:r>
                </w:p>
              </w:tc>
              <w:tc>
                <w:tcPr>
                  <w:tcW w:w="726" w:type="pct"/>
                  <w:vAlign w:val="center"/>
                </w:tcPr>
                <w:p w14:paraId="303C0E68">
                  <w:pPr>
                    <w:pStyle w:val="2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w:t>
                  </w:r>
                </w:p>
              </w:tc>
              <w:tc>
                <w:tcPr>
                  <w:tcW w:w="1176" w:type="dxa"/>
                  <w:vAlign w:val="center"/>
                </w:tcPr>
                <w:p w14:paraId="0B016F5F">
                  <w:pPr>
                    <w:pStyle w:val="2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133.33%</w:t>
                  </w:r>
                </w:p>
              </w:tc>
              <w:tc>
                <w:tcPr>
                  <w:tcW w:w="558" w:type="pct"/>
                  <w:tcBorders>
                    <w:right w:val="single" w:color="000000" w:sz="4" w:space="0"/>
                  </w:tcBorders>
                  <w:vAlign w:val="center"/>
                </w:tcPr>
                <w:p w14:paraId="511A3CD8">
                  <w:pPr>
                    <w:pStyle w:val="27"/>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超标</w:t>
                  </w:r>
                </w:p>
              </w:tc>
            </w:tr>
            <w:tr w14:paraId="78EA2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001D037D">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14:textFill>
                        <w14:solidFill>
                          <w14:schemeClr w14:val="tx1"/>
                        </w14:solidFill>
                      </w14:textFill>
                    </w:rPr>
                    <w:t>CO</w:t>
                  </w:r>
                </w:p>
              </w:tc>
              <w:tc>
                <w:tcPr>
                  <w:tcW w:w="1782" w:type="pct"/>
                  <w:vAlign w:val="center"/>
                </w:tcPr>
                <w:p w14:paraId="741B81FD">
                  <w:pPr>
                    <w:pStyle w:val="22"/>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24小时平均第95百分位数</w:t>
                  </w:r>
                </w:p>
              </w:tc>
              <w:tc>
                <w:tcPr>
                  <w:tcW w:w="650" w:type="pct"/>
                  <w:vAlign w:val="center"/>
                </w:tcPr>
                <w:p w14:paraId="5E56ADDD">
                  <w:pPr>
                    <w:pStyle w:val="27"/>
                    <w:spacing w:line="240" w:lineRule="auto"/>
                    <w:rPr>
                      <w:rFonts w:hint="default" w:ascii="Times New Roman" w:hAnsi="Times New Roman" w:eastAsia="宋体" w:cs="Times New Roman"/>
                      <w:color w:val="000000" w:themeColor="text1"/>
                      <w:spacing w:val="7"/>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0.8(mg/m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p>
              </w:tc>
              <w:tc>
                <w:tcPr>
                  <w:tcW w:w="726" w:type="pct"/>
                  <w:vAlign w:val="center"/>
                </w:tcPr>
                <w:p w14:paraId="3E58CF2D">
                  <w:pPr>
                    <w:pStyle w:val="27"/>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p>
              </w:tc>
              <w:tc>
                <w:tcPr>
                  <w:tcW w:w="1176" w:type="dxa"/>
                  <w:vAlign w:val="center"/>
                </w:tcPr>
                <w:p w14:paraId="7010CDA8">
                  <w:pPr>
                    <w:pStyle w:val="2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w:t>
                  </w:r>
                </w:p>
              </w:tc>
              <w:tc>
                <w:tcPr>
                  <w:tcW w:w="558" w:type="pct"/>
                  <w:tcBorders>
                    <w:right w:val="single" w:color="000000" w:sz="4" w:space="0"/>
                  </w:tcBorders>
                  <w:vAlign w:val="center"/>
                </w:tcPr>
                <w:p w14:paraId="4FAE9DD7">
                  <w:pPr>
                    <w:pStyle w:val="27"/>
                    <w:spacing w:line="240" w:lineRule="auto"/>
                    <w:rPr>
                      <w:rFonts w:hint="default" w:ascii="Times New Roman" w:hAnsi="Times New Roman" w:eastAsia="宋体" w:cs="Times New Roman"/>
                      <w:color w:val="000000" w:themeColor="text1"/>
                      <w:spacing w:val="5"/>
                      <w14:textFill>
                        <w14:solidFill>
                          <w14:schemeClr w14:val="tx1"/>
                        </w14:solidFill>
                      </w14:textFill>
                    </w:rPr>
                  </w:pPr>
                  <w:r>
                    <w:rPr>
                      <w:rFonts w:hint="default" w:ascii="Times New Roman" w:hAnsi="Times New Roman" w:eastAsia="宋体" w:cs="Times New Roman"/>
                      <w:color w:val="000000" w:themeColor="text1"/>
                      <w:spacing w:val="5"/>
                      <w14:textFill>
                        <w14:solidFill>
                          <w14:schemeClr w14:val="tx1"/>
                        </w14:solidFill>
                      </w14:textFill>
                    </w:rPr>
                    <w:t>达标</w:t>
                  </w:r>
                </w:p>
              </w:tc>
            </w:tr>
            <w:tr w14:paraId="29379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554" w:type="pct"/>
                  <w:vAlign w:val="center"/>
                </w:tcPr>
                <w:p w14:paraId="4AA7EA19">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O</w:t>
                  </w:r>
                  <w:r>
                    <w:rPr>
                      <w:rFonts w:hint="default" w:ascii="Times New Roman" w:hAnsi="Times New Roman" w:eastAsia="宋体" w:cs="Times New Roman"/>
                      <w:color w:val="000000" w:themeColor="text1"/>
                      <w:position w:val="-1"/>
                      <w:vertAlign w:val="subscript"/>
                      <w14:textFill>
                        <w14:solidFill>
                          <w14:schemeClr w14:val="tx1"/>
                        </w14:solidFill>
                      </w14:textFill>
                    </w:rPr>
                    <w:t>3</w:t>
                  </w:r>
                </w:p>
              </w:tc>
              <w:tc>
                <w:tcPr>
                  <w:tcW w:w="1782" w:type="pct"/>
                  <w:vAlign w:val="center"/>
                </w:tcPr>
                <w:p w14:paraId="26CCAE1B">
                  <w:pPr>
                    <w:pStyle w:val="22"/>
                    <w:jc w:val="cente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最大8小时平均第90百分位数</w:t>
                  </w:r>
                </w:p>
              </w:tc>
              <w:tc>
                <w:tcPr>
                  <w:tcW w:w="650" w:type="pct"/>
                  <w:vAlign w:val="center"/>
                </w:tcPr>
                <w:p w14:paraId="1540004D">
                  <w:pPr>
                    <w:pStyle w:val="27"/>
                    <w:spacing w:line="240" w:lineRule="auto"/>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92</w:t>
                  </w:r>
                </w:p>
              </w:tc>
              <w:tc>
                <w:tcPr>
                  <w:tcW w:w="726" w:type="pct"/>
                  <w:vAlign w:val="center"/>
                </w:tcPr>
                <w:p w14:paraId="5358502E">
                  <w:pPr>
                    <w:pStyle w:val="27"/>
                    <w:spacing w:line="240" w:lineRule="auto"/>
                    <w:rPr>
                      <w:rFonts w:hint="default" w:ascii="Times New Roman" w:hAnsi="Times New Roman" w:eastAsia="宋体" w:cs="Times New Roman"/>
                      <w:color w:val="000000" w:themeColor="text1"/>
                      <w:spacing w:val="2"/>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160</w:t>
                  </w:r>
                </w:p>
              </w:tc>
              <w:tc>
                <w:tcPr>
                  <w:tcW w:w="1176" w:type="dxa"/>
                  <w:vAlign w:val="center"/>
                </w:tcPr>
                <w:p w14:paraId="7E08D61D">
                  <w:pPr>
                    <w:pStyle w:val="2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57.50%</w:t>
                  </w:r>
                </w:p>
              </w:tc>
              <w:tc>
                <w:tcPr>
                  <w:tcW w:w="558" w:type="pct"/>
                  <w:tcBorders>
                    <w:right w:val="single" w:color="000000" w:sz="4" w:space="0"/>
                  </w:tcBorders>
                  <w:vAlign w:val="center"/>
                </w:tcPr>
                <w:p w14:paraId="340B1BD5">
                  <w:pPr>
                    <w:pStyle w:val="22"/>
                    <w:jc w:val="cente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达标</w:t>
                  </w:r>
                </w:p>
              </w:tc>
            </w:tr>
          </w:tbl>
          <w:p w14:paraId="550CF0B4">
            <w:pPr>
              <w:pStyle w:val="7"/>
              <w:kinsoku/>
              <w:spacing w:line="240" w:lineRule="auto"/>
              <w:rPr>
                <w:rFonts w:hint="default" w:ascii="Times New Roman" w:hAnsi="Times New Roman" w:eastAsia="宋体" w:cs="Times New Roman"/>
                <w:b/>
                <w:bCs/>
                <w:color w:val="000000" w:themeColor="text1"/>
                <w:lang w:eastAsia="zh-CN"/>
                <w14:textFill>
                  <w14:solidFill>
                    <w14:schemeClr w14:val="tx1"/>
                  </w14:solidFill>
                </w14:textFill>
              </w:rPr>
            </w:pPr>
          </w:p>
          <w:bookmarkEnd w:id="17"/>
          <w:p w14:paraId="4DE9F927">
            <w:pPr>
              <w:pStyle w:val="22"/>
              <w:kinsoku/>
              <w:spacing w:before="38" w:line="356" w:lineRule="auto"/>
              <w:rPr>
                <w:rFonts w:hint="eastAsia" w:ascii="Times New Roman" w:hAnsi="Times New Roman" w:eastAsia="宋体" w:cs="Times New Roman"/>
                <w:b/>
                <w:bCs/>
                <w:color w:val="000000" w:themeColor="text1"/>
                <w:spacing w:val="-2"/>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4"/>
                <w:szCs w:val="24"/>
                <w:lang w:val="en-US" w:eastAsia="zh-CN"/>
                <w14:textFill>
                  <w14:solidFill>
                    <w14:schemeClr w14:val="tx1"/>
                  </w14:solidFill>
                </w14:textFill>
              </w:rPr>
              <w:t>4.5 特征污染物环境空气质量现状</w:t>
            </w:r>
          </w:p>
          <w:p w14:paraId="120BAF86">
            <w:pPr>
              <w:pStyle w:val="22"/>
              <w:kinsoku/>
              <w:spacing w:before="38" w:line="356" w:lineRule="auto"/>
              <w:ind w:firstLine="482"/>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试油期涉及原油暂存及伴生气燃烧，主要特征大气污染物为非甲烷总烃和潜在的微量硫化氢（H₂S）。为预测无组织排放影响提供背景值，本次评价引用了《吐哈吉南油田萨3块二叠系井井子沟组油藏开发先导试验方案》的环境空气检测数据（报告编号：GZRW-J-202511096-KQ，采样时间：2025年11月21日-27日）。 监测结果显示：项目所在区域（红山子村等点位）环境空气中非甲烷总烃的1小时平均浓度范围在 0.21~0.30 mg/m³ 之间，满足《大气污染物综合排放标准详解》中2.0mg/m³的限值参考要求；硫化氢（H₂S）的小时浓度均未检出（&lt;0.005 mg/m³），满足《环境影响评价技术导则 大气环境》（HJ2.2-2018）附录D中的相关浓度限值要求。这表明区域特征污染物现状本底值极低，大气环境容量充足。</w:t>
            </w:r>
          </w:p>
          <w:p w14:paraId="6C7B0CF8">
            <w:pPr>
              <w:pStyle w:val="22"/>
              <w:kinsoku/>
              <w:spacing w:before="38" w:line="356" w:lineRule="auto"/>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.声环境质量现状</w:t>
            </w:r>
          </w:p>
          <w:p w14:paraId="47AD6F4B">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根据《建设项目环境影响报告表编制技术指南（生态影响类）（试行）》本项目50m范围内无声环境保护目标，因此，本项目可不开展声环境质量现状监测评价。</w:t>
            </w:r>
          </w:p>
          <w:p w14:paraId="63936AFB">
            <w:pPr>
              <w:pStyle w:val="22"/>
              <w:kinsoku/>
              <w:spacing w:before="38" w:line="360" w:lineRule="auto"/>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.地表水和地下水环境质量现状</w:t>
            </w:r>
          </w:p>
          <w:p w14:paraId="3C8755A0">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 xml:space="preserve">本项目钻井期间钻井废水循环利用，本工程区周边5km范围内无常年天然地表水体分布，与地表水体无水力联系，本次未对地表水环境进行现状评价。 根据《环境影响评价技术导则-地下水环境》（HJ610-2016），本工程属于Ⅳ类建设项目，原则上可不开展地下水环境影响评价。但为明确区域水文地质背景，落实环境保护要求，本次评价引用了周边相邻区块《吐哈吉南油田萨3块二叠系井井子沟组油藏开发先导试验方案》的地下水检测数据（报告编号：GZRW-J-202511096-S-1、S-2，采样时间：2025年11月27日）。 </w:t>
            </w:r>
          </w:p>
          <w:p w14:paraId="4A243FC1">
            <w:pPr>
              <w:pStyle w:val="22"/>
              <w:numPr>
                <w:ilvl w:val="0"/>
                <w:numId w:val="7"/>
              </w:numPr>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 xml:space="preserve">地下水含水层分布及埋深： 根据检测报告数据，项目周边（如红山子村）地下水水位埋深较深，达到173.19m。本项目一开表层套管下入深度达700m，远超地下水含水层深度，且采用水泥固井，有效隔断了井筒与含水层的水力联系。 </w:t>
            </w:r>
          </w:p>
          <w:p w14:paraId="199C0CD7">
            <w:pPr>
              <w:pStyle w:val="22"/>
              <w:numPr>
                <w:ilvl w:val="0"/>
                <w:numId w:val="7"/>
              </w:numPr>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地下水质背景值： 引用监测结果显示，区域地下水pH值在7.1~7.2之间，呈中性/弱碱性；各项重金属指标（如铅 &lt;2.5×10⁻³mg/L、六价铬 &lt;0.004mg/L）均未检出或浓度极低；特征污染物石油类未检出（&lt;0.01mg/L）。区域地下水水质整体良好，具备一定的环境承载力。</w:t>
            </w:r>
          </w:p>
          <w:p w14:paraId="12A54077">
            <w:pPr>
              <w:pStyle w:val="22"/>
              <w:kinsoku/>
              <w:spacing w:before="38" w:line="356" w:lineRule="auto"/>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.土壤环境质量现状</w:t>
            </w:r>
          </w:p>
          <w:p w14:paraId="3104A43C">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本项目属于《环境影响评价技术导则 土壤环境（试行）》（HJ964-2018）附录A中的Ⅳ类建设项目，按导则可不开展土壤环境影响评价。但考虑到试油期存在一定的原油跑冒滴漏风险，为给完井后的生态恢复及场地复垦提供准确的本底参照，本次评价特引用了位置重合的《吐哈吉南油田萨3块二叠系井井子沟组油藏开发先导试验方案》的土壤检测数据（报告编号：GZRW-J-202511096-T，采样时间：2025年11月26日）。</w:t>
            </w:r>
          </w:p>
          <w:p w14:paraId="7FC6C9DB">
            <w:pPr>
              <w:pStyle w:val="22"/>
              <w:numPr>
                <w:ilvl w:val="0"/>
                <w:numId w:val="8"/>
              </w:numPr>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 xml:space="preserve">监测布点与因子 </w:t>
            </w:r>
          </w:p>
          <w:p w14:paraId="55B14B00">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引用数据选取了距本项目极近的点位（萨15平台占地范围</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外1km</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，0-0.2m表层土壤）。监测因子涵盖常规理化指标（pH）、</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全盐量、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重金属以及特征污染物（石油烃C</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-C</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C10-C40）。</w:t>
            </w:r>
          </w:p>
          <w:p w14:paraId="072D14EB">
            <w:pPr>
              <w:pStyle w:val="22"/>
              <w:kinsoku/>
              <w:spacing w:before="38" w:line="356" w:lineRule="auto"/>
              <w:ind w:firstLine="482"/>
              <w:jc w:val="both"/>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（2）监测结果与背景状况评估：</w:t>
            </w:r>
          </w:p>
          <w:p w14:paraId="7D196E4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s="Times New Roman"/>
                <w:b/>
                <w:bCs/>
                <w:snapToGrid w:val="0"/>
                <w:color w:val="000000" w:themeColor="text1"/>
                <w:sz w:val="21"/>
                <w:szCs w:val="21"/>
                <w:lang w:val="en-US" w:eastAsia="zh-CN" w:bidi="ar-SA"/>
                <w14:textFill>
                  <w14:solidFill>
                    <w14:schemeClr w14:val="tx1"/>
                  </w14:solidFill>
                </w14:textFill>
              </w:rPr>
              <w:t xml:space="preserve">表3-5 </w:t>
            </w:r>
            <w:r>
              <w:rPr>
                <w:rFonts w:hint="default" w:ascii="Times New Roman" w:hAnsi="Times New Roman" w:eastAsia="宋体" w:cs="Times New Roman"/>
                <w:b/>
                <w:bCs/>
                <w:snapToGrid w:val="0"/>
                <w:color w:val="000000" w:themeColor="text1"/>
                <w:sz w:val="21"/>
                <w:szCs w:val="21"/>
                <w:lang w:val="en-US" w:eastAsia="zh-CN" w:bidi="ar-SA"/>
                <w14:textFill>
                  <w14:solidFill>
                    <w14:schemeClr w14:val="tx1"/>
                  </w14:solidFill>
                </w14:textFill>
              </w:rPr>
              <w:t>井场周边土壤环境质量现状监测结果一览表</w:t>
            </w:r>
          </w:p>
          <w:tbl>
            <w:tblPr>
              <w:tblStyle w:val="16"/>
              <w:tblpPr w:leftFromText="180" w:rightFromText="180" w:vertAnchor="text" w:horzAnchor="page" w:tblpX="1798" w:tblpY="457"/>
              <w:tblOverlap w:val="never"/>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442"/>
              <w:gridCol w:w="627"/>
              <w:gridCol w:w="724"/>
              <w:gridCol w:w="2014"/>
              <w:gridCol w:w="685"/>
              <w:gridCol w:w="1295"/>
              <w:gridCol w:w="1287"/>
            </w:tblGrid>
            <w:tr w14:paraId="49C4A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tblHeader/>
              </w:trPr>
              <w:tc>
                <w:tcPr>
                  <w:tcW w:w="893" w:type="pct"/>
                  <w:noWrap w:val="0"/>
                  <w:vAlign w:val="center"/>
                </w:tcPr>
                <w:p w14:paraId="5B39E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采样点位</w:t>
                  </w:r>
                </w:p>
              </w:tc>
              <w:tc>
                <w:tcPr>
                  <w:tcW w:w="388" w:type="pct"/>
                  <w:noWrap w:val="0"/>
                  <w:vAlign w:val="center"/>
                </w:tcPr>
                <w:p w14:paraId="6C99B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深度</w:t>
                  </w:r>
                </w:p>
              </w:tc>
              <w:tc>
                <w:tcPr>
                  <w:tcW w:w="448" w:type="pct"/>
                  <w:noWrap w:val="0"/>
                  <w:vAlign w:val="center"/>
                </w:tcPr>
                <w:p w14:paraId="419C7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样品编号</w:t>
                  </w:r>
                </w:p>
              </w:tc>
              <w:tc>
                <w:tcPr>
                  <w:tcW w:w="1247" w:type="pct"/>
                  <w:noWrap w:val="0"/>
                  <w:vAlign w:val="center"/>
                </w:tcPr>
                <w:p w14:paraId="62ED3B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检测项目</w:t>
                  </w:r>
                </w:p>
              </w:tc>
              <w:tc>
                <w:tcPr>
                  <w:tcW w:w="424" w:type="pct"/>
                  <w:noWrap w:val="0"/>
                  <w:vAlign w:val="center"/>
                </w:tcPr>
                <w:p w14:paraId="21A15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单位</w:t>
                  </w:r>
                </w:p>
              </w:tc>
              <w:tc>
                <w:tcPr>
                  <w:tcW w:w="801" w:type="pct"/>
                  <w:noWrap w:val="0"/>
                  <w:vAlign w:val="center"/>
                </w:tcPr>
                <w:p w14:paraId="37C47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检测结果</w:t>
                  </w:r>
                </w:p>
              </w:tc>
              <w:tc>
                <w:tcPr>
                  <w:tcW w:w="796" w:type="pct"/>
                  <w:noWrap w:val="0"/>
                  <w:vAlign w:val="center"/>
                </w:tcPr>
                <w:p w14:paraId="3F49C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标准限值</w:t>
                  </w:r>
                </w:p>
              </w:tc>
            </w:tr>
            <w:tr w14:paraId="45902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restart"/>
                  <w:noWrap w:val="0"/>
                  <w:vAlign w:val="center"/>
                </w:tcPr>
                <w:p w14:paraId="32669D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萨15平台占地范围外1km范围内1</w:t>
                  </w:r>
                </w:p>
              </w:tc>
              <w:tc>
                <w:tcPr>
                  <w:tcW w:w="388" w:type="pct"/>
                  <w:vMerge w:val="restart"/>
                  <w:noWrap w:val="0"/>
                  <w:vAlign w:val="center"/>
                </w:tcPr>
                <w:p w14:paraId="2B34E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0.2 m</w:t>
                  </w:r>
                </w:p>
              </w:tc>
              <w:tc>
                <w:tcPr>
                  <w:tcW w:w="448" w:type="pct"/>
                  <w:vMerge w:val="restart"/>
                  <w:noWrap w:val="0"/>
                  <w:vAlign w:val="center"/>
                </w:tcPr>
                <w:p w14:paraId="46850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T20-1-1</w:t>
                  </w:r>
                </w:p>
              </w:tc>
              <w:tc>
                <w:tcPr>
                  <w:tcW w:w="1247" w:type="pct"/>
                  <w:noWrap w:val="0"/>
                  <w:vAlign w:val="center"/>
                </w:tcPr>
                <w:p w14:paraId="160EB9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pH值</w:t>
                  </w:r>
                </w:p>
              </w:tc>
              <w:tc>
                <w:tcPr>
                  <w:tcW w:w="424" w:type="pct"/>
                  <w:noWrap w:val="0"/>
                  <w:vAlign w:val="center"/>
                </w:tcPr>
                <w:p w14:paraId="25DFB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无量纲</w:t>
                  </w:r>
                </w:p>
              </w:tc>
              <w:tc>
                <w:tcPr>
                  <w:tcW w:w="801" w:type="pct"/>
                  <w:noWrap w:val="0"/>
                  <w:vAlign w:val="center"/>
                </w:tcPr>
                <w:p w14:paraId="1CEE6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8.30</w:t>
                  </w:r>
                </w:p>
              </w:tc>
              <w:tc>
                <w:tcPr>
                  <w:tcW w:w="796" w:type="pct"/>
                  <w:noWrap w:val="0"/>
                  <w:vAlign w:val="center"/>
                </w:tcPr>
                <w:p w14:paraId="0E40D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27F1F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6F987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8" w:type="pct"/>
                  <w:vMerge w:val="continue"/>
                  <w:noWrap w:val="0"/>
                  <w:vAlign w:val="center"/>
                </w:tcPr>
                <w:p w14:paraId="03801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73C6D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79FA99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砷</w:t>
                  </w:r>
                </w:p>
              </w:tc>
              <w:tc>
                <w:tcPr>
                  <w:tcW w:w="424" w:type="pct"/>
                  <w:noWrap w:val="0"/>
                  <w:vAlign w:val="center"/>
                </w:tcPr>
                <w:p w14:paraId="13646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6AC4B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5.10</w:t>
                  </w:r>
                </w:p>
              </w:tc>
              <w:tc>
                <w:tcPr>
                  <w:tcW w:w="796" w:type="pct"/>
                  <w:noWrap w:val="0"/>
                  <w:vAlign w:val="center"/>
                </w:tcPr>
                <w:p w14:paraId="12AE3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3.4</w:t>
                  </w:r>
                </w:p>
              </w:tc>
            </w:tr>
            <w:tr w14:paraId="1997D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2CB89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8" w:type="pct"/>
                  <w:vMerge w:val="continue"/>
                  <w:noWrap w:val="0"/>
                  <w:vAlign w:val="center"/>
                </w:tcPr>
                <w:p w14:paraId="00F1A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5E27B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020AB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汞</w:t>
                  </w:r>
                </w:p>
              </w:tc>
              <w:tc>
                <w:tcPr>
                  <w:tcW w:w="424" w:type="pct"/>
                  <w:noWrap w:val="0"/>
                  <w:vAlign w:val="center"/>
                </w:tcPr>
                <w:p w14:paraId="2E0FE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7D708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0.202</w:t>
                  </w:r>
                </w:p>
              </w:tc>
              <w:tc>
                <w:tcPr>
                  <w:tcW w:w="796" w:type="pct"/>
                  <w:noWrap w:val="0"/>
                  <w:vAlign w:val="center"/>
                </w:tcPr>
                <w:p w14:paraId="445D9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25</w:t>
                  </w:r>
                </w:p>
              </w:tc>
            </w:tr>
            <w:tr w14:paraId="2C21F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09110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8" w:type="pct"/>
                  <w:vMerge w:val="continue"/>
                  <w:noWrap w:val="0"/>
                  <w:vAlign w:val="center"/>
                </w:tcPr>
                <w:p w14:paraId="30A47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254B6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7E737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铬（六价）</w:t>
                  </w:r>
                </w:p>
              </w:tc>
              <w:tc>
                <w:tcPr>
                  <w:tcW w:w="424" w:type="pct"/>
                  <w:noWrap w:val="0"/>
                  <w:vAlign w:val="center"/>
                </w:tcPr>
                <w:p w14:paraId="1A098A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4ADE8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0.5L</w:t>
                  </w:r>
                </w:p>
              </w:tc>
              <w:tc>
                <w:tcPr>
                  <w:tcW w:w="796" w:type="pct"/>
                  <w:noWrap w:val="0"/>
                  <w:vAlign w:val="center"/>
                </w:tcPr>
                <w:p w14:paraId="06CA8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70436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3791D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8" w:type="pct"/>
                  <w:vMerge w:val="continue"/>
                  <w:noWrap w:val="0"/>
                  <w:vAlign w:val="center"/>
                </w:tcPr>
                <w:p w14:paraId="233D7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2B992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0ED25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全盐量</w:t>
                  </w:r>
                </w:p>
              </w:tc>
              <w:tc>
                <w:tcPr>
                  <w:tcW w:w="424" w:type="pct"/>
                  <w:noWrap w:val="0"/>
                  <w:vAlign w:val="center"/>
                </w:tcPr>
                <w:p w14:paraId="64481E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g/kg</w:t>
                  </w:r>
                </w:p>
              </w:tc>
              <w:tc>
                <w:tcPr>
                  <w:tcW w:w="801" w:type="pct"/>
                  <w:noWrap w:val="0"/>
                  <w:vAlign w:val="center"/>
                </w:tcPr>
                <w:p w14:paraId="1C7D5F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w:t>
                  </w:r>
                </w:p>
              </w:tc>
              <w:tc>
                <w:tcPr>
                  <w:tcW w:w="796" w:type="pct"/>
                  <w:noWrap w:val="0"/>
                  <w:vAlign w:val="center"/>
                </w:tcPr>
                <w:p w14:paraId="65EA5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54764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0C993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8" w:type="pct"/>
                  <w:vMerge w:val="continue"/>
                  <w:noWrap w:val="0"/>
                  <w:vAlign w:val="center"/>
                </w:tcPr>
                <w:p w14:paraId="645AB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064F6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2D300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424" w:type="pct"/>
                  <w:noWrap w:val="0"/>
                  <w:vAlign w:val="center"/>
                </w:tcPr>
                <w:p w14:paraId="74922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24E19B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6L</w:t>
                  </w:r>
                </w:p>
              </w:tc>
              <w:tc>
                <w:tcPr>
                  <w:tcW w:w="796" w:type="pct"/>
                  <w:noWrap w:val="0"/>
                  <w:vAlign w:val="center"/>
                </w:tcPr>
                <w:p w14:paraId="2BA07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77CF2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6E935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8" w:type="pct"/>
                  <w:vMerge w:val="continue"/>
                  <w:noWrap w:val="0"/>
                  <w:vAlign w:val="center"/>
                </w:tcPr>
                <w:p w14:paraId="79B38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58E7B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502E9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4" w:type="pct"/>
                  <w:noWrap w:val="0"/>
                  <w:vAlign w:val="center"/>
                </w:tcPr>
                <w:p w14:paraId="13DAA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72586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0.04L</w:t>
                  </w:r>
                </w:p>
              </w:tc>
              <w:tc>
                <w:tcPr>
                  <w:tcW w:w="796" w:type="pct"/>
                  <w:noWrap w:val="0"/>
                  <w:vAlign w:val="center"/>
                </w:tcPr>
                <w:p w14:paraId="575D4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3D98C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5626C1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8" w:type="pct"/>
                  <w:vMerge w:val="continue"/>
                  <w:noWrap w:val="0"/>
                  <w:vAlign w:val="center"/>
                </w:tcPr>
                <w:p w14:paraId="632EF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71396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3D9F7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424" w:type="pct"/>
                  <w:noWrap w:val="0"/>
                  <w:vAlign w:val="center"/>
                </w:tcPr>
                <w:p w14:paraId="206CA1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17FA3D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4L</w:t>
                  </w:r>
                </w:p>
              </w:tc>
              <w:tc>
                <w:tcPr>
                  <w:tcW w:w="796" w:type="pct"/>
                  <w:noWrap w:val="0"/>
                  <w:vAlign w:val="center"/>
                </w:tcPr>
                <w:p w14:paraId="010FD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71A6C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restart"/>
                  <w:noWrap w:val="0"/>
                  <w:vAlign w:val="center"/>
                </w:tcPr>
                <w:p w14:paraId="03E4D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萨15平台占地范围外1km范围内2</w:t>
                  </w:r>
                </w:p>
              </w:tc>
              <w:tc>
                <w:tcPr>
                  <w:tcW w:w="388" w:type="pct"/>
                  <w:vMerge w:val="restart"/>
                  <w:noWrap w:val="0"/>
                  <w:vAlign w:val="center"/>
                </w:tcPr>
                <w:p w14:paraId="368F4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0.2 m</w:t>
                  </w:r>
                </w:p>
              </w:tc>
              <w:tc>
                <w:tcPr>
                  <w:tcW w:w="448" w:type="pct"/>
                  <w:vMerge w:val="restart"/>
                  <w:noWrap w:val="0"/>
                  <w:vAlign w:val="center"/>
                </w:tcPr>
                <w:p w14:paraId="008D4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T21-1-1</w:t>
                  </w:r>
                </w:p>
              </w:tc>
              <w:tc>
                <w:tcPr>
                  <w:tcW w:w="1247" w:type="pct"/>
                  <w:noWrap w:val="0"/>
                  <w:vAlign w:val="center"/>
                </w:tcPr>
                <w:p w14:paraId="6D950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pH值</w:t>
                  </w:r>
                </w:p>
              </w:tc>
              <w:tc>
                <w:tcPr>
                  <w:tcW w:w="424" w:type="pct"/>
                  <w:noWrap w:val="0"/>
                  <w:vAlign w:val="center"/>
                </w:tcPr>
                <w:p w14:paraId="78626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无量纲</w:t>
                  </w:r>
                </w:p>
              </w:tc>
              <w:tc>
                <w:tcPr>
                  <w:tcW w:w="801" w:type="pct"/>
                  <w:noWrap w:val="0"/>
                  <w:vAlign w:val="center"/>
                </w:tcPr>
                <w:p w14:paraId="539C4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8.15</w:t>
                  </w:r>
                </w:p>
              </w:tc>
              <w:tc>
                <w:tcPr>
                  <w:tcW w:w="796" w:type="pct"/>
                  <w:noWrap w:val="0"/>
                  <w:vAlign w:val="center"/>
                </w:tcPr>
                <w:p w14:paraId="50001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1B6B0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37B9F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88" w:type="pct"/>
                  <w:vMerge w:val="continue"/>
                  <w:noWrap w:val="0"/>
                  <w:vAlign w:val="center"/>
                </w:tcPr>
                <w:p w14:paraId="182B0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5E308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65B08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砷</w:t>
                  </w:r>
                </w:p>
              </w:tc>
              <w:tc>
                <w:tcPr>
                  <w:tcW w:w="424" w:type="pct"/>
                  <w:noWrap w:val="0"/>
                  <w:vAlign w:val="center"/>
                </w:tcPr>
                <w:p w14:paraId="4A297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01C48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4.99</w:t>
                  </w:r>
                </w:p>
              </w:tc>
              <w:tc>
                <w:tcPr>
                  <w:tcW w:w="796" w:type="pct"/>
                  <w:noWrap w:val="0"/>
                  <w:vAlign w:val="center"/>
                </w:tcPr>
                <w:p w14:paraId="74EDE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3.4</w:t>
                  </w:r>
                </w:p>
              </w:tc>
            </w:tr>
            <w:tr w14:paraId="5BCD7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0BD728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88" w:type="pct"/>
                  <w:vMerge w:val="continue"/>
                  <w:noWrap w:val="0"/>
                  <w:vAlign w:val="center"/>
                </w:tcPr>
                <w:p w14:paraId="6A3B8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492C6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25EC3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汞</w:t>
                  </w:r>
                </w:p>
              </w:tc>
              <w:tc>
                <w:tcPr>
                  <w:tcW w:w="424" w:type="pct"/>
                  <w:noWrap w:val="0"/>
                  <w:vAlign w:val="center"/>
                </w:tcPr>
                <w:p w14:paraId="7D3E8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2A828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0.092</w:t>
                  </w:r>
                </w:p>
              </w:tc>
              <w:tc>
                <w:tcPr>
                  <w:tcW w:w="796" w:type="pct"/>
                  <w:noWrap w:val="0"/>
                  <w:vAlign w:val="center"/>
                </w:tcPr>
                <w:p w14:paraId="578B3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25</w:t>
                  </w:r>
                </w:p>
              </w:tc>
            </w:tr>
            <w:tr w14:paraId="313DC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7DDD5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88" w:type="pct"/>
                  <w:vMerge w:val="continue"/>
                  <w:noWrap w:val="0"/>
                  <w:vAlign w:val="center"/>
                </w:tcPr>
                <w:p w14:paraId="14EBC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00749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5D94E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铬（六价）</w:t>
                  </w:r>
                </w:p>
              </w:tc>
              <w:tc>
                <w:tcPr>
                  <w:tcW w:w="424" w:type="pct"/>
                  <w:noWrap w:val="0"/>
                  <w:vAlign w:val="center"/>
                </w:tcPr>
                <w:p w14:paraId="4FC3B4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26BD1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0.5L</w:t>
                  </w:r>
                </w:p>
              </w:tc>
              <w:tc>
                <w:tcPr>
                  <w:tcW w:w="796" w:type="pct"/>
                  <w:noWrap w:val="0"/>
                  <w:vAlign w:val="center"/>
                </w:tcPr>
                <w:p w14:paraId="46391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656A4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3E8320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88" w:type="pct"/>
                  <w:vMerge w:val="continue"/>
                  <w:noWrap w:val="0"/>
                  <w:vAlign w:val="center"/>
                </w:tcPr>
                <w:p w14:paraId="0E9BB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207E1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34BB9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全盐量</w:t>
                  </w:r>
                </w:p>
              </w:tc>
              <w:tc>
                <w:tcPr>
                  <w:tcW w:w="424" w:type="pct"/>
                  <w:noWrap w:val="0"/>
                  <w:vAlign w:val="center"/>
                </w:tcPr>
                <w:p w14:paraId="20709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g/kg</w:t>
                  </w:r>
                </w:p>
              </w:tc>
              <w:tc>
                <w:tcPr>
                  <w:tcW w:w="801" w:type="pct"/>
                  <w:noWrap w:val="0"/>
                  <w:vAlign w:val="center"/>
                </w:tcPr>
                <w:p w14:paraId="614F8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w:t>
                  </w:r>
                </w:p>
              </w:tc>
              <w:tc>
                <w:tcPr>
                  <w:tcW w:w="796" w:type="pct"/>
                  <w:noWrap w:val="0"/>
                  <w:vAlign w:val="center"/>
                </w:tcPr>
                <w:p w14:paraId="5C167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3A728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069CA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88" w:type="pct"/>
                  <w:vMerge w:val="continue"/>
                  <w:noWrap w:val="0"/>
                  <w:vAlign w:val="center"/>
                </w:tcPr>
                <w:p w14:paraId="11ADF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4E77D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61529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424" w:type="pct"/>
                  <w:noWrap w:val="0"/>
                  <w:vAlign w:val="center"/>
                </w:tcPr>
                <w:p w14:paraId="31708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5C4D1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6L</w:t>
                  </w:r>
                </w:p>
              </w:tc>
              <w:tc>
                <w:tcPr>
                  <w:tcW w:w="796" w:type="pct"/>
                  <w:noWrap w:val="0"/>
                  <w:vAlign w:val="center"/>
                </w:tcPr>
                <w:p w14:paraId="2E6EF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4860C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1DF96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88" w:type="pct"/>
                  <w:vMerge w:val="continue"/>
                  <w:noWrap w:val="0"/>
                  <w:vAlign w:val="center"/>
                </w:tcPr>
                <w:p w14:paraId="6B138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671F8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25196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4" w:type="pct"/>
                  <w:noWrap w:val="0"/>
                  <w:vAlign w:val="center"/>
                </w:tcPr>
                <w:p w14:paraId="63E1E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719F2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0.04L</w:t>
                  </w:r>
                </w:p>
              </w:tc>
              <w:tc>
                <w:tcPr>
                  <w:tcW w:w="796" w:type="pct"/>
                  <w:noWrap w:val="0"/>
                  <w:vAlign w:val="center"/>
                </w:tcPr>
                <w:p w14:paraId="56FD3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3F69C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93" w:type="pct"/>
                  <w:vMerge w:val="continue"/>
                  <w:noWrap w:val="0"/>
                  <w:vAlign w:val="center"/>
                </w:tcPr>
                <w:p w14:paraId="2ED1D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88" w:type="pct"/>
                  <w:vMerge w:val="continue"/>
                  <w:noWrap w:val="0"/>
                  <w:vAlign w:val="center"/>
                </w:tcPr>
                <w:p w14:paraId="2ADBF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8" w:type="pct"/>
                  <w:vMerge w:val="continue"/>
                  <w:noWrap w:val="0"/>
                  <w:vAlign w:val="center"/>
                </w:tcPr>
                <w:p w14:paraId="6BD35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47" w:type="pct"/>
                  <w:noWrap w:val="0"/>
                  <w:vAlign w:val="center"/>
                </w:tcPr>
                <w:p w14:paraId="5CD7D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424" w:type="pct"/>
                  <w:noWrap w:val="0"/>
                  <w:vAlign w:val="center"/>
                </w:tcPr>
                <w:p w14:paraId="6D8D4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mg/kg</w:t>
                  </w:r>
                </w:p>
              </w:tc>
              <w:tc>
                <w:tcPr>
                  <w:tcW w:w="801" w:type="pct"/>
                  <w:noWrap w:val="0"/>
                  <w:vAlign w:val="center"/>
                </w:tcPr>
                <w:p w14:paraId="6FDFB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4L</w:t>
                  </w:r>
                </w:p>
              </w:tc>
              <w:tc>
                <w:tcPr>
                  <w:tcW w:w="796" w:type="pct"/>
                  <w:noWrap w:val="0"/>
                  <w:vAlign w:val="center"/>
                </w:tcPr>
                <w:p w14:paraId="3BDF5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bl>
          <w:p w14:paraId="68A6DD16">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监测结果显示，项目周边表层土壤pH值为8.1</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5-8.30</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，呈弱碱性；各项重金属含量均远低于《土壤环境质量 农用地土壤污染风险管控标准（试行）》（GB15618-2018）风险筛选值；特征污染物石油烃（C</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-C</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、C10-C40）未检出。这表明项目区目前未受涉油工业活动污染，土壤背景质量状况良好。</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本项目土壤类型图见附图6。</w:t>
            </w:r>
          </w:p>
        </w:tc>
      </w:tr>
      <w:tr w14:paraId="1F43D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jc w:val="center"/>
        </w:trPr>
        <w:tc>
          <w:tcPr>
            <w:tcW w:w="991" w:type="dxa"/>
            <w:tcBorders>
              <w:left w:val="single" w:color="000000" w:sz="4" w:space="0"/>
            </w:tcBorders>
            <w:vAlign w:val="center"/>
          </w:tcPr>
          <w:p w14:paraId="15D14640">
            <w:pPr>
              <w:pStyle w:val="22"/>
              <w:kinsoku/>
              <w:spacing w:before="171" w:line="228" w:lineRule="auto"/>
              <w:ind w:left="3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14"/>
                <w:sz w:val="24"/>
                <w:szCs w:val="24"/>
                <w:lang w:eastAsia="zh-CN"/>
                <w14:textFill>
                  <w14:solidFill>
                    <w14:schemeClr w14:val="tx1"/>
                  </w14:solidFill>
                </w14:textFill>
              </w:rPr>
              <w:t>与项目有关的原有</w:t>
            </w:r>
            <w:r>
              <w:rPr>
                <w:rFonts w:hint="default" w:ascii="Times New Roman" w:hAnsi="Times New Roman" w:eastAsia="宋体" w:cs="Times New Roman"/>
                <w:color w:val="000000" w:themeColor="text1"/>
                <w:spacing w:val="15"/>
                <w:sz w:val="24"/>
                <w:szCs w:val="24"/>
                <w:lang w:eastAsia="zh-CN"/>
                <w14:textFill>
                  <w14:solidFill>
                    <w14:schemeClr w14:val="tx1"/>
                  </w14:solidFill>
                </w14:textFill>
              </w:rPr>
              <w:t>环境污染</w:t>
            </w:r>
            <w:r>
              <w:rPr>
                <w:rFonts w:hint="default" w:ascii="Times New Roman" w:hAnsi="Times New Roman" w:eastAsia="宋体" w:cs="Times New Roman"/>
                <w:color w:val="000000" w:themeColor="text1"/>
                <w:spacing w:val="14"/>
                <w:sz w:val="24"/>
                <w:szCs w:val="24"/>
                <w:lang w:eastAsia="zh-CN"/>
                <w14:textFill>
                  <w14:solidFill>
                    <w14:schemeClr w14:val="tx1"/>
                  </w14:solidFill>
                </w14:textFill>
              </w:rPr>
              <w:t>和生态破</w:t>
            </w:r>
            <w:r>
              <w:rPr>
                <w:rFonts w:hint="default" w:ascii="Times New Roman" w:hAnsi="Times New Roman" w:eastAsia="宋体" w:cs="Times New Roman"/>
                <w:color w:val="000000" w:themeColor="text1"/>
                <w:spacing w:val="13"/>
                <w:sz w:val="24"/>
                <w:szCs w:val="24"/>
                <w:lang w:eastAsia="zh-CN"/>
                <w14:textFill>
                  <w14:solidFill>
                    <w14:schemeClr w14:val="tx1"/>
                  </w14:solidFill>
                </w14:textFill>
              </w:rPr>
              <w:t>坏问题</w:t>
            </w:r>
          </w:p>
        </w:tc>
        <w:tc>
          <w:tcPr>
            <w:tcW w:w="8108" w:type="dxa"/>
            <w:tcBorders>
              <w:right w:val="single" w:color="000000" w:sz="4" w:space="0"/>
            </w:tcBorders>
            <w:vAlign w:val="center"/>
          </w:tcPr>
          <w:p w14:paraId="1880C64A">
            <w:pPr>
              <w:pStyle w:val="22"/>
              <w:kinsoku/>
              <w:spacing w:before="78" w:line="219"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本项目为新建项目，不存在原有环境污染和生态破坏问题。</w:t>
            </w:r>
          </w:p>
        </w:tc>
      </w:tr>
      <w:tr w14:paraId="0982A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jc w:val="center"/>
        </w:trPr>
        <w:tc>
          <w:tcPr>
            <w:tcW w:w="991" w:type="dxa"/>
            <w:tcBorders>
              <w:left w:val="single" w:color="000000" w:sz="4" w:space="0"/>
            </w:tcBorders>
            <w:vAlign w:val="center"/>
          </w:tcPr>
          <w:p w14:paraId="07D5C720">
            <w:pPr>
              <w:pStyle w:val="22"/>
              <w:kinsoku/>
              <w:spacing w:before="171" w:line="228" w:lineRule="auto"/>
              <w:ind w:left="30"/>
              <w:jc w:val="center"/>
              <w:rPr>
                <w:rFonts w:hint="default" w:ascii="Times New Roman" w:hAnsi="Times New Roman" w:eastAsia="宋体" w:cs="Times New Roman"/>
                <w:color w:val="000000" w:themeColor="text1"/>
                <w:spacing w:val="13"/>
                <w14:textFill>
                  <w14:solidFill>
                    <w14:schemeClr w14:val="tx1"/>
                  </w14:solidFill>
                </w14:textFill>
              </w:rPr>
            </w:pPr>
            <w:r>
              <w:rPr>
                <w:rFonts w:hint="default" w:ascii="Times New Roman" w:hAnsi="Times New Roman" w:eastAsia="宋体" w:cs="Times New Roman"/>
                <w:color w:val="000000" w:themeColor="text1"/>
                <w:spacing w:val="14"/>
                <w:sz w:val="24"/>
                <w:szCs w:val="24"/>
                <w14:textFill>
                  <w14:solidFill>
                    <w14:schemeClr w14:val="tx1"/>
                  </w14:solidFill>
                </w14:textFill>
              </w:rPr>
              <w:t>生态环境保护目标</w:t>
            </w:r>
          </w:p>
        </w:tc>
        <w:tc>
          <w:tcPr>
            <w:tcW w:w="8108" w:type="dxa"/>
            <w:tcBorders>
              <w:right w:val="single" w:color="000000" w:sz="4" w:space="0"/>
            </w:tcBorders>
          </w:tcPr>
          <w:p w14:paraId="2F44DBEF">
            <w:pPr>
              <w:pStyle w:val="22"/>
              <w:kinsoku/>
              <w:spacing w:before="38" w:line="356"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1.环境保护目标</w:t>
            </w:r>
          </w:p>
          <w:p w14:paraId="61C275A3">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根据现场调查，项目周边500m范围内无自然保护区、风景名胜区、居住区、文化区、人群较集中的区域，周边50m范围内无声环境保护目标，项目占地范围内无地下水集中式饮用水水源和热水、矿泉水、温泉等特殊地下水资源 。</w:t>
            </w:r>
          </w:p>
          <w:p w14:paraId="1388CABA">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经核实，本项目临时占地类型为其他草地，不直接占用永久基本农田和耕地，但井场周边约100m处分布有耕地 。虽然项目不占用耕地，但在施工作业期间，产生的施工扬尘、车辆尾气，以及在事故状态下可能发生的油类物质、钻井废水跑冒滴漏等，存在随风飘散或地表径流间接影响周边耕地土壤环境质量及农作物生长的潜在风险。因此，将项目周边约100m处的耕地列为土壤及生态环境保护目标。</w:t>
            </w:r>
          </w:p>
          <w:p w14:paraId="717594A1">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生态环境评价范围内的野生动植物保护要求为禁止随意踩踏碾压、砍伐，保护野生动植物生境不被破坏，禁止随意踩踏碾压野生植被，车辆行驶及物料堆放等禁止占用周边的耕地 。根据本项目特性和所在地环境特征，本项目环境保护目标具体情况见表3-5 。</w:t>
            </w:r>
          </w:p>
          <w:p w14:paraId="0CE8DF45">
            <w:pPr>
              <w:pStyle w:val="22"/>
              <w:kinsoku/>
              <w:spacing w:before="38"/>
              <w:jc w:val="center"/>
              <w:rPr>
                <w:rFonts w:hint="default" w:ascii="Times New Roman" w:hAnsi="Times New Roman" w:eastAsia="宋体" w:cs="Times New Roman"/>
                <w:b/>
                <w:bCs/>
                <w:color w:val="000000" w:themeColor="text1"/>
                <w:spacing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eastAsia="zh-CN"/>
                <w14:textFill>
                  <w14:solidFill>
                    <w14:schemeClr w14:val="tx1"/>
                  </w14:solidFill>
                </w14:textFill>
              </w:rPr>
              <w:t>表3-</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2"/>
                <w:sz w:val="21"/>
                <w:szCs w:val="21"/>
                <w:lang w:eastAsia="zh-CN"/>
                <w14:textFill>
                  <w14:solidFill>
                    <w14:schemeClr w14:val="tx1"/>
                  </w14:solidFill>
                </w14:textFill>
              </w:rPr>
              <w:t xml:space="preserve"> 主要环境敏感目标一览表</w:t>
            </w:r>
          </w:p>
          <w:tbl>
            <w:tblPr>
              <w:tblStyle w:val="16"/>
              <w:tblW w:w="7937" w:type="dxa"/>
              <w:jc w:val="center"/>
              <w:tblLayout w:type="fixed"/>
              <w:tblCellMar>
                <w:top w:w="0" w:type="dxa"/>
                <w:left w:w="108" w:type="dxa"/>
                <w:bottom w:w="0" w:type="dxa"/>
                <w:right w:w="108" w:type="dxa"/>
              </w:tblCellMar>
            </w:tblPr>
            <w:tblGrid>
              <w:gridCol w:w="1064"/>
              <w:gridCol w:w="1369"/>
              <w:gridCol w:w="724"/>
              <w:gridCol w:w="4780"/>
            </w:tblGrid>
            <w:tr w14:paraId="7B26629A">
              <w:tblPrEx>
                <w:tblCellMar>
                  <w:top w:w="0" w:type="dxa"/>
                  <w:left w:w="108" w:type="dxa"/>
                  <w:bottom w:w="0" w:type="dxa"/>
                  <w:right w:w="108" w:type="dxa"/>
                </w:tblCellMar>
              </w:tblPrEx>
              <w:trPr>
                <w:trHeight w:val="267" w:hRule="atLeast"/>
                <w:jc w:val="center"/>
              </w:trPr>
              <w:tc>
                <w:tcPr>
                  <w:tcW w:w="1064" w:type="dxa"/>
                  <w:tcBorders>
                    <w:top w:val="single" w:color="000000" w:sz="4" w:space="0"/>
                    <w:left w:val="single" w:color="000000" w:sz="4" w:space="0"/>
                    <w:bottom w:val="single" w:color="000000" w:sz="4" w:space="0"/>
                    <w:right w:val="single" w:color="000000" w:sz="4" w:space="0"/>
                  </w:tcBorders>
                  <w:vAlign w:val="center"/>
                </w:tcPr>
                <w:p w14:paraId="5CCA0E71">
                  <w:pPr>
                    <w:kinsoku/>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保护要素</w:t>
                  </w:r>
                </w:p>
              </w:tc>
              <w:tc>
                <w:tcPr>
                  <w:tcW w:w="1369" w:type="dxa"/>
                  <w:tcBorders>
                    <w:top w:val="single" w:color="000000" w:sz="4" w:space="0"/>
                    <w:left w:val="single" w:color="000000" w:sz="4" w:space="0"/>
                    <w:bottom w:val="single" w:color="000000" w:sz="4" w:space="0"/>
                    <w:right w:val="single" w:color="000000" w:sz="4" w:space="0"/>
                  </w:tcBorders>
                  <w:vAlign w:val="center"/>
                </w:tcPr>
                <w:p w14:paraId="4E98DD9E">
                  <w:pPr>
                    <w:kinsoku/>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保护对象</w:t>
                  </w:r>
                </w:p>
              </w:tc>
              <w:tc>
                <w:tcPr>
                  <w:tcW w:w="724" w:type="dxa"/>
                  <w:tcBorders>
                    <w:top w:val="single" w:color="000000" w:sz="4" w:space="0"/>
                    <w:left w:val="single" w:color="000000" w:sz="4" w:space="0"/>
                    <w:bottom w:val="single" w:color="000000" w:sz="4" w:space="0"/>
                    <w:right w:val="single" w:color="000000" w:sz="4" w:space="0"/>
                  </w:tcBorders>
                  <w:vAlign w:val="center"/>
                </w:tcPr>
                <w:p w14:paraId="597AC4B3">
                  <w:pPr>
                    <w:kinsoku/>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规模</w:t>
                  </w:r>
                </w:p>
              </w:tc>
              <w:tc>
                <w:tcPr>
                  <w:tcW w:w="4780" w:type="dxa"/>
                  <w:tcBorders>
                    <w:top w:val="single" w:color="000000" w:sz="4" w:space="0"/>
                    <w:left w:val="single" w:color="000000" w:sz="4" w:space="0"/>
                    <w:bottom w:val="single" w:color="000000" w:sz="4" w:space="0"/>
                    <w:right w:val="single" w:color="000000" w:sz="4" w:space="0"/>
                  </w:tcBorders>
                  <w:vAlign w:val="center"/>
                </w:tcPr>
                <w:p w14:paraId="55D8D9BF">
                  <w:pPr>
                    <w:kinsoku/>
                    <w:jc w:val="center"/>
                    <w:textAlignment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eastAsia="zh-CN" w:bidi="ar"/>
                      <w14:textFill>
                        <w14:solidFill>
                          <w14:schemeClr w14:val="tx1"/>
                        </w14:solidFill>
                      </w14:textFill>
                    </w:rPr>
                    <w:t>保护级别</w:t>
                  </w:r>
                </w:p>
              </w:tc>
            </w:tr>
            <w:tr w14:paraId="59F66F66">
              <w:tblPrEx>
                <w:tblCellMar>
                  <w:top w:w="0" w:type="dxa"/>
                  <w:left w:w="108" w:type="dxa"/>
                  <w:bottom w:w="0" w:type="dxa"/>
                  <w:right w:w="108" w:type="dxa"/>
                </w:tblCellMar>
              </w:tblPrEx>
              <w:trPr>
                <w:trHeight w:val="508" w:hRule="atLeast"/>
                <w:jc w:val="center"/>
              </w:trPr>
              <w:tc>
                <w:tcPr>
                  <w:tcW w:w="1064" w:type="dxa"/>
                  <w:tcBorders>
                    <w:top w:val="single" w:color="000000" w:sz="4" w:space="0"/>
                    <w:left w:val="single" w:color="000000" w:sz="4" w:space="0"/>
                    <w:bottom w:val="single" w:color="000000" w:sz="4" w:space="0"/>
                    <w:right w:val="single" w:color="000000" w:sz="4" w:space="0"/>
                  </w:tcBorders>
                  <w:vAlign w:val="center"/>
                </w:tcPr>
                <w:p w14:paraId="0AA1B592">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环境空气</w:t>
                  </w:r>
                </w:p>
              </w:tc>
              <w:tc>
                <w:tcPr>
                  <w:tcW w:w="1369" w:type="dxa"/>
                  <w:tcBorders>
                    <w:top w:val="single" w:color="000000" w:sz="4" w:space="0"/>
                    <w:left w:val="single" w:color="000000" w:sz="4" w:space="0"/>
                    <w:bottom w:val="single" w:color="000000" w:sz="4" w:space="0"/>
                    <w:right w:val="single" w:color="000000" w:sz="4" w:space="0"/>
                  </w:tcBorders>
                  <w:vAlign w:val="center"/>
                </w:tcPr>
                <w:p w14:paraId="78BF4CD2">
                  <w:pPr>
                    <w:kinsoku/>
                    <w:jc w:val="center"/>
                    <w:textAlignment w:val="top"/>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项目区周边大气环境</w:t>
                  </w:r>
                </w:p>
              </w:tc>
              <w:tc>
                <w:tcPr>
                  <w:tcW w:w="724" w:type="dxa"/>
                  <w:tcBorders>
                    <w:top w:val="single" w:color="000000" w:sz="4" w:space="0"/>
                    <w:left w:val="single" w:color="000000" w:sz="4" w:space="0"/>
                    <w:bottom w:val="single" w:color="000000" w:sz="4" w:space="0"/>
                    <w:right w:val="single" w:color="000000" w:sz="4" w:space="0"/>
                  </w:tcBorders>
                  <w:vAlign w:val="center"/>
                </w:tcPr>
                <w:p w14:paraId="5DF309A0">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4780" w:type="dxa"/>
                  <w:tcBorders>
                    <w:top w:val="single" w:color="000000" w:sz="4" w:space="0"/>
                    <w:left w:val="single" w:color="000000" w:sz="4" w:space="0"/>
                    <w:bottom w:val="single" w:color="000000" w:sz="4" w:space="0"/>
                    <w:right w:val="single" w:color="000000" w:sz="4" w:space="0"/>
                  </w:tcBorders>
                  <w:vAlign w:val="center"/>
                </w:tcPr>
                <w:p w14:paraId="4FC52A59">
                  <w:pPr>
                    <w:kinsoku/>
                    <w:jc w:val="center"/>
                    <w:textAlignment w:val="top"/>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符合《环境空气质量标准》(GB3095-20</w:t>
                  </w:r>
                  <w:r>
                    <w:rPr>
                      <w:rFonts w:hint="eastAsia" w:ascii="Times New Roman" w:hAnsi="Times New Roman" w:eastAsia="宋体" w:cs="Times New Roman"/>
                      <w:color w:val="000000" w:themeColor="text1"/>
                      <w:lang w:val="en-US" w:eastAsia="zh-CN" w:bidi="ar"/>
                      <w14:textFill>
                        <w14:solidFill>
                          <w14:schemeClr w14:val="tx1"/>
                        </w14:solidFill>
                      </w14:textFill>
                    </w:rPr>
                    <w:t>26</w:t>
                  </w:r>
                  <w:r>
                    <w:rPr>
                      <w:rFonts w:hint="default" w:ascii="Times New Roman" w:hAnsi="Times New Roman" w:eastAsia="宋体" w:cs="Times New Roman"/>
                      <w:color w:val="000000" w:themeColor="text1"/>
                      <w:lang w:eastAsia="zh-CN" w:bidi="ar"/>
                      <w14:textFill>
                        <w14:solidFill>
                          <w14:schemeClr w14:val="tx1"/>
                        </w14:solidFill>
                      </w14:textFill>
                    </w:rPr>
                    <w:t>)的二级标准</w:t>
                  </w:r>
                </w:p>
              </w:tc>
            </w:tr>
            <w:tr w14:paraId="717C4C33">
              <w:tblPrEx>
                <w:tblCellMar>
                  <w:top w:w="0" w:type="dxa"/>
                  <w:left w:w="108" w:type="dxa"/>
                  <w:bottom w:w="0" w:type="dxa"/>
                  <w:right w:w="108" w:type="dxa"/>
                </w:tblCellMar>
              </w:tblPrEx>
              <w:trPr>
                <w:trHeight w:val="267" w:hRule="atLeast"/>
                <w:jc w:val="center"/>
              </w:trPr>
              <w:tc>
                <w:tcPr>
                  <w:tcW w:w="1064" w:type="dxa"/>
                  <w:tcBorders>
                    <w:top w:val="single" w:color="000000" w:sz="4" w:space="0"/>
                    <w:left w:val="single" w:color="000000" w:sz="4" w:space="0"/>
                    <w:bottom w:val="single" w:color="000000" w:sz="4" w:space="0"/>
                    <w:right w:val="single" w:color="000000" w:sz="4" w:space="0"/>
                  </w:tcBorders>
                  <w:vAlign w:val="center"/>
                </w:tcPr>
                <w:p w14:paraId="5E1C7871">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声环境</w:t>
                  </w:r>
                </w:p>
              </w:tc>
              <w:tc>
                <w:tcPr>
                  <w:tcW w:w="1369" w:type="dxa"/>
                  <w:tcBorders>
                    <w:top w:val="single" w:color="000000" w:sz="4" w:space="0"/>
                    <w:left w:val="single" w:color="000000" w:sz="4" w:space="0"/>
                    <w:bottom w:val="single" w:color="000000" w:sz="4" w:space="0"/>
                    <w:right w:val="single" w:color="000000" w:sz="4" w:space="0"/>
                  </w:tcBorders>
                  <w:vAlign w:val="center"/>
                </w:tcPr>
                <w:p w14:paraId="05455F78">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无</w:t>
                  </w:r>
                </w:p>
              </w:tc>
              <w:tc>
                <w:tcPr>
                  <w:tcW w:w="724" w:type="dxa"/>
                  <w:tcBorders>
                    <w:top w:val="single" w:color="000000" w:sz="4" w:space="0"/>
                    <w:left w:val="single" w:color="000000" w:sz="4" w:space="0"/>
                    <w:bottom w:val="single" w:color="000000" w:sz="4" w:space="0"/>
                    <w:right w:val="single" w:color="000000" w:sz="4" w:space="0"/>
                  </w:tcBorders>
                  <w:vAlign w:val="center"/>
                </w:tcPr>
                <w:p w14:paraId="516C3EF5">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4780" w:type="dxa"/>
                  <w:tcBorders>
                    <w:top w:val="single" w:color="000000" w:sz="4" w:space="0"/>
                    <w:left w:val="single" w:color="000000" w:sz="4" w:space="0"/>
                    <w:bottom w:val="single" w:color="000000" w:sz="4" w:space="0"/>
                    <w:right w:val="single" w:color="000000" w:sz="4" w:space="0"/>
                  </w:tcBorders>
                  <w:vAlign w:val="center"/>
                </w:tcPr>
                <w:p w14:paraId="40B817F8">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《声环境质量标准》(GB3096—2008)2类标准。</w:t>
                  </w:r>
                </w:p>
              </w:tc>
            </w:tr>
            <w:tr w14:paraId="44CC05BB">
              <w:tblPrEx>
                <w:tblCellMar>
                  <w:top w:w="0" w:type="dxa"/>
                  <w:left w:w="108" w:type="dxa"/>
                  <w:bottom w:w="0" w:type="dxa"/>
                  <w:right w:w="108" w:type="dxa"/>
                </w:tblCellMar>
              </w:tblPrEx>
              <w:trPr>
                <w:trHeight w:val="508" w:hRule="atLeast"/>
                <w:jc w:val="center"/>
              </w:trPr>
              <w:tc>
                <w:tcPr>
                  <w:tcW w:w="1064" w:type="dxa"/>
                  <w:vMerge w:val="restart"/>
                  <w:tcBorders>
                    <w:top w:val="single" w:color="000000" w:sz="4" w:space="0"/>
                    <w:left w:val="single" w:color="000000" w:sz="4" w:space="0"/>
                    <w:bottom w:val="single" w:color="000000" w:sz="4" w:space="0"/>
                    <w:right w:val="single" w:color="000000" w:sz="4" w:space="0"/>
                  </w:tcBorders>
                  <w:vAlign w:val="center"/>
                </w:tcPr>
                <w:p w14:paraId="488428D4">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生态环境</w:t>
                  </w:r>
                </w:p>
              </w:tc>
              <w:tc>
                <w:tcPr>
                  <w:tcW w:w="1369" w:type="dxa"/>
                  <w:tcBorders>
                    <w:top w:val="single" w:color="000000" w:sz="4" w:space="0"/>
                    <w:left w:val="single" w:color="000000" w:sz="4" w:space="0"/>
                    <w:bottom w:val="single" w:color="000000" w:sz="4" w:space="0"/>
                    <w:right w:val="single" w:color="000000" w:sz="4" w:space="0"/>
                  </w:tcBorders>
                  <w:vAlign w:val="center"/>
                </w:tcPr>
                <w:p w14:paraId="111F20DD">
                  <w:pPr>
                    <w:kinsoku/>
                    <w:jc w:val="center"/>
                    <w:textAlignment w:val="top"/>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荒漠植被、野生动物</w:t>
                  </w:r>
                </w:p>
              </w:tc>
              <w:tc>
                <w:tcPr>
                  <w:tcW w:w="724" w:type="dxa"/>
                  <w:tcBorders>
                    <w:top w:val="single" w:color="000000" w:sz="4" w:space="0"/>
                    <w:left w:val="single" w:color="000000" w:sz="4" w:space="0"/>
                    <w:bottom w:val="single" w:color="000000" w:sz="4" w:space="0"/>
                    <w:right w:val="single" w:color="000000" w:sz="4" w:space="0"/>
                  </w:tcBorders>
                  <w:vAlign w:val="center"/>
                </w:tcPr>
                <w:p w14:paraId="723C7B93">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4780" w:type="dxa"/>
                  <w:tcBorders>
                    <w:top w:val="single" w:color="000000" w:sz="4" w:space="0"/>
                    <w:left w:val="single" w:color="000000" w:sz="4" w:space="0"/>
                    <w:bottom w:val="single" w:color="000000" w:sz="4" w:space="0"/>
                    <w:right w:val="single" w:color="000000" w:sz="4" w:space="0"/>
                  </w:tcBorders>
                  <w:vAlign w:val="center"/>
                </w:tcPr>
                <w:p w14:paraId="155DA693">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保护生境不被破坏，保护植被，禁止捕杀野生动物。</w:t>
                  </w:r>
                </w:p>
              </w:tc>
            </w:tr>
            <w:tr w14:paraId="2DEC6F3D">
              <w:tblPrEx>
                <w:tblCellMar>
                  <w:top w:w="0" w:type="dxa"/>
                  <w:left w:w="108" w:type="dxa"/>
                  <w:bottom w:w="0" w:type="dxa"/>
                  <w:right w:w="108" w:type="dxa"/>
                </w:tblCellMar>
              </w:tblPrEx>
              <w:trPr>
                <w:trHeight w:val="508" w:hRule="atLeast"/>
                <w:jc w:val="center"/>
              </w:trPr>
              <w:tc>
                <w:tcPr>
                  <w:tcW w:w="1064" w:type="dxa"/>
                  <w:vMerge w:val="continue"/>
                  <w:tcBorders>
                    <w:top w:val="single" w:color="000000" w:sz="4" w:space="0"/>
                    <w:left w:val="single" w:color="000000" w:sz="4" w:space="0"/>
                    <w:bottom w:val="single" w:color="000000" w:sz="4" w:space="0"/>
                    <w:right w:val="single" w:color="000000" w:sz="4" w:space="0"/>
                  </w:tcBorders>
                  <w:vAlign w:val="center"/>
                </w:tcPr>
                <w:p w14:paraId="6204B6D7">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9E74320">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水土流失预防</w:t>
                  </w:r>
                </w:p>
              </w:tc>
              <w:tc>
                <w:tcPr>
                  <w:tcW w:w="724" w:type="dxa"/>
                  <w:tcBorders>
                    <w:top w:val="single" w:color="000000" w:sz="4" w:space="0"/>
                    <w:left w:val="single" w:color="000000" w:sz="4" w:space="0"/>
                    <w:bottom w:val="single" w:color="000000" w:sz="4" w:space="0"/>
                    <w:right w:val="single" w:color="000000" w:sz="4" w:space="0"/>
                  </w:tcBorders>
                  <w:vAlign w:val="center"/>
                </w:tcPr>
                <w:p w14:paraId="6807077A">
                  <w:pPr>
                    <w:kinsoku/>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4780" w:type="dxa"/>
                  <w:tcBorders>
                    <w:top w:val="single" w:color="000000" w:sz="4" w:space="0"/>
                    <w:left w:val="single" w:color="000000" w:sz="4" w:space="0"/>
                    <w:bottom w:val="single" w:color="000000" w:sz="4" w:space="0"/>
                    <w:right w:val="single" w:color="000000" w:sz="4" w:space="0"/>
                  </w:tcBorders>
                  <w:vAlign w:val="center"/>
                </w:tcPr>
                <w:p w14:paraId="70B6BFE4">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保护项目区域生态系统完整性和稳定性，做好植被恢复与水土保持工作。</w:t>
                  </w:r>
                </w:p>
              </w:tc>
            </w:tr>
            <w:tr w14:paraId="6EEBE7DC">
              <w:tblPrEx>
                <w:tblCellMar>
                  <w:top w:w="0" w:type="dxa"/>
                  <w:left w:w="108" w:type="dxa"/>
                  <w:bottom w:w="0" w:type="dxa"/>
                  <w:right w:w="108" w:type="dxa"/>
                </w:tblCellMar>
              </w:tblPrEx>
              <w:trPr>
                <w:trHeight w:val="271" w:hRule="atLeast"/>
                <w:jc w:val="center"/>
              </w:trPr>
              <w:tc>
                <w:tcPr>
                  <w:tcW w:w="1064" w:type="dxa"/>
                  <w:tcBorders>
                    <w:top w:val="single" w:color="000000" w:sz="4" w:space="0"/>
                    <w:left w:val="single" w:color="000000" w:sz="4" w:space="0"/>
                    <w:bottom w:val="single" w:color="000000" w:sz="4" w:space="0"/>
                    <w:right w:val="single" w:color="000000" w:sz="4" w:space="0"/>
                  </w:tcBorders>
                  <w:vAlign w:val="center"/>
                </w:tcPr>
                <w:p w14:paraId="62742FBB">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水环境</w:t>
                  </w:r>
                </w:p>
              </w:tc>
              <w:tc>
                <w:tcPr>
                  <w:tcW w:w="1369" w:type="dxa"/>
                  <w:tcBorders>
                    <w:top w:val="single" w:color="000000" w:sz="4" w:space="0"/>
                    <w:left w:val="single" w:color="000000" w:sz="4" w:space="0"/>
                    <w:bottom w:val="single" w:color="000000" w:sz="4" w:space="0"/>
                    <w:right w:val="single" w:color="000000" w:sz="4" w:space="0"/>
                  </w:tcBorders>
                  <w:vAlign w:val="center"/>
                </w:tcPr>
                <w:p w14:paraId="1E57F818">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区域地下水</w:t>
                  </w:r>
                </w:p>
              </w:tc>
              <w:tc>
                <w:tcPr>
                  <w:tcW w:w="724" w:type="dxa"/>
                  <w:tcBorders>
                    <w:top w:val="single" w:color="000000" w:sz="4" w:space="0"/>
                    <w:left w:val="single" w:color="000000" w:sz="4" w:space="0"/>
                    <w:bottom w:val="single" w:color="000000" w:sz="4" w:space="0"/>
                    <w:right w:val="single" w:color="000000" w:sz="4" w:space="0"/>
                  </w:tcBorders>
                  <w:vAlign w:val="center"/>
                </w:tcPr>
                <w:p w14:paraId="2FD57E6C">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w:t>
                  </w:r>
                </w:p>
              </w:tc>
              <w:tc>
                <w:tcPr>
                  <w:tcW w:w="4780" w:type="dxa"/>
                  <w:tcBorders>
                    <w:top w:val="single" w:color="000000" w:sz="4" w:space="0"/>
                    <w:left w:val="single" w:color="000000" w:sz="4" w:space="0"/>
                    <w:bottom w:val="single" w:color="000000" w:sz="4" w:space="0"/>
                    <w:right w:val="single" w:color="000000" w:sz="4" w:space="0"/>
                  </w:tcBorders>
                  <w:vAlign w:val="center"/>
                </w:tcPr>
                <w:p w14:paraId="2C5FB693">
                  <w:pPr>
                    <w:kinsoku/>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确保地下水不受污染</w:t>
                  </w:r>
                </w:p>
              </w:tc>
            </w:tr>
            <w:tr w14:paraId="4FAA48E4">
              <w:tblPrEx>
                <w:tblCellMar>
                  <w:top w:w="0" w:type="dxa"/>
                  <w:left w:w="108" w:type="dxa"/>
                  <w:bottom w:w="0" w:type="dxa"/>
                  <w:right w:w="108" w:type="dxa"/>
                </w:tblCellMar>
              </w:tblPrEx>
              <w:trPr>
                <w:trHeight w:val="915" w:hRule="atLeast"/>
                <w:jc w:val="center"/>
              </w:trPr>
              <w:tc>
                <w:tcPr>
                  <w:tcW w:w="1064" w:type="dxa"/>
                  <w:tcBorders>
                    <w:top w:val="single" w:color="000000" w:sz="4" w:space="0"/>
                    <w:left w:val="single" w:color="000000" w:sz="4" w:space="0"/>
                    <w:bottom w:val="single" w:color="000000" w:sz="4" w:space="0"/>
                    <w:right w:val="single" w:color="000000" w:sz="4" w:space="0"/>
                  </w:tcBorders>
                  <w:vAlign w:val="center"/>
                </w:tcPr>
                <w:p w14:paraId="6B2AE78B">
                  <w:pPr>
                    <w:pStyle w:val="22"/>
                    <w:kinsoku/>
                    <w:spacing w:before="170" w:line="240" w:lineRule="atLeast"/>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土壤环境</w:t>
                  </w:r>
                </w:p>
              </w:tc>
              <w:tc>
                <w:tcPr>
                  <w:tcW w:w="1369" w:type="dxa"/>
                  <w:tcBorders>
                    <w:top w:val="single" w:color="000000" w:sz="4" w:space="0"/>
                    <w:left w:val="single" w:color="000000" w:sz="4" w:space="0"/>
                    <w:bottom w:val="single" w:color="000000" w:sz="4" w:space="0"/>
                    <w:right w:val="single" w:color="000000" w:sz="4" w:space="0"/>
                  </w:tcBorders>
                  <w:vAlign w:val="center"/>
                </w:tcPr>
                <w:p w14:paraId="6801ACD0">
                  <w:pPr>
                    <w:pStyle w:val="22"/>
                    <w:kinsoku/>
                    <w:spacing w:before="169" w:line="240" w:lineRule="atLeast"/>
                    <w:jc w:val="center"/>
                    <w:rPr>
                      <w:rFonts w:hint="default" w:ascii="Times New Roman" w:hAnsi="Times New Roman" w:eastAsia="宋体" w:cs="Times New Roman"/>
                      <w:snapToGrid w:val="0"/>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bidi="ar"/>
                      <w14:textFill>
                        <w14:solidFill>
                          <w14:schemeClr w14:val="tx1"/>
                        </w14:solidFill>
                      </w14:textFill>
                    </w:rPr>
                    <w:t>井场周边约100m处的耕地</w:t>
                  </w:r>
                </w:p>
              </w:tc>
              <w:tc>
                <w:tcPr>
                  <w:tcW w:w="724" w:type="dxa"/>
                  <w:tcBorders>
                    <w:top w:val="single" w:color="000000" w:sz="4" w:space="0"/>
                    <w:left w:val="single" w:color="000000" w:sz="4" w:space="0"/>
                    <w:bottom w:val="single" w:color="000000" w:sz="4" w:space="0"/>
                    <w:right w:val="single" w:color="000000" w:sz="4" w:space="0"/>
                  </w:tcBorders>
                  <w:vAlign w:val="center"/>
                </w:tcPr>
                <w:p w14:paraId="234FA85E">
                  <w:pPr>
                    <w:kinsoku/>
                    <w:spacing w:line="240" w:lineRule="atLeast"/>
                    <w:jc w:val="center"/>
                    <w:textAlignment w:val="center"/>
                    <w:rPr>
                      <w:rFonts w:hint="default" w:ascii="Times New Roman" w:hAnsi="Times New Roman" w:eastAsia="宋体" w:cs="Times New Roman"/>
                      <w:snapToGrid w:val="0"/>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sz w:val="21"/>
                      <w:szCs w:val="21"/>
                      <w:lang w:val="en-US" w:eastAsia="zh-CN" w:bidi="ar"/>
                      <w14:textFill>
                        <w14:solidFill>
                          <w14:schemeClr w14:val="tx1"/>
                        </w14:solidFill>
                      </w14:textFill>
                    </w:rPr>
                    <w:t>/</w:t>
                  </w:r>
                </w:p>
              </w:tc>
              <w:tc>
                <w:tcPr>
                  <w:tcW w:w="4780" w:type="dxa"/>
                  <w:tcBorders>
                    <w:top w:val="single" w:color="000000" w:sz="4" w:space="0"/>
                    <w:left w:val="single" w:color="000000" w:sz="4" w:space="0"/>
                    <w:bottom w:val="single" w:color="000000" w:sz="4" w:space="0"/>
                    <w:right w:val="single" w:color="000000" w:sz="4" w:space="0"/>
                  </w:tcBorders>
                  <w:vAlign w:val="center"/>
                </w:tcPr>
                <w:p w14:paraId="41FADAD7">
                  <w:pPr>
                    <w:kinsoku/>
                    <w:spacing w:line="240" w:lineRule="atLeast"/>
                    <w:jc w:val="center"/>
                    <w:textAlignment w:val="center"/>
                    <w:rPr>
                      <w:rFonts w:hint="default" w:ascii="Times New Roman" w:hAnsi="Times New Roman" w:eastAsia="宋体" w:cs="Times New Roman"/>
                      <w:snapToGrid w:val="0"/>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bidi="ar"/>
                      <w14:textFill>
                        <w14:solidFill>
                          <w14:schemeClr w14:val="tx1"/>
                        </w14:solidFill>
                      </w14:textFill>
                    </w:rPr>
                    <w:t>尽量避开农作物种植季节；严防施工扬尘、物料跑冒滴漏等间接污染，保护农作物正常生长和土壤环境质量不受影响。</w:t>
                  </w:r>
                </w:p>
              </w:tc>
            </w:tr>
          </w:tbl>
          <w:p w14:paraId="52BB240D">
            <w:pPr>
              <w:pStyle w:val="22"/>
              <w:kinsoku/>
              <w:spacing w:before="38" w:line="356"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2.保护要求</w:t>
            </w:r>
          </w:p>
          <w:p w14:paraId="7062DCAA">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（1）保护项目所在区域的空气质量，保持现有空气质量级别，不因本项目的建设降低环境空气质量；</w:t>
            </w:r>
          </w:p>
          <w:p w14:paraId="1BB84CB6">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（2）保护项目所在区域地下水质量保持在现有水平，不受本项目所排废水的影响；</w:t>
            </w:r>
          </w:p>
          <w:p w14:paraId="0863ABC7">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（3）保护项目区声环境质量现状，符合《声环境质量标准》（GB3096-2008）的2类声环境功能限值；</w:t>
            </w:r>
          </w:p>
          <w:p w14:paraId="72C1939B">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（4）生态环境保护目标：本工程需保护项目区生态环境，使项目的建成对项目区生态环境影响较小；</w:t>
            </w:r>
          </w:p>
          <w:p w14:paraId="0748A8DC">
            <w:pPr>
              <w:pStyle w:val="22"/>
              <w:kinsoku/>
              <w:spacing w:before="38" w:line="356" w:lineRule="auto"/>
              <w:ind w:firstLine="482"/>
              <w:jc w:val="both"/>
              <w:rPr>
                <w:rFonts w:hint="default" w:ascii="Times New Roman" w:hAnsi="Times New Roman" w:eastAsia="宋体" w:cs="Times New Roman"/>
                <w:b/>
                <w:bCs/>
                <w:color w:val="000000" w:themeColor="text1"/>
                <w:spacing w:val="5"/>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（5）土壤环境质量项目范围内按照《土壤环境质量建设用地土壤污染风险管控标准</w:t>
            </w:r>
            <w:r>
              <w:rPr>
                <w:rFonts w:hint="eastAsia" w:ascii="Times New Roman" w:hAnsi="Times New Roman" w:cs="Times New Roman"/>
                <w:color w:val="000000" w:themeColor="text1"/>
                <w:spacing w:val="-2"/>
                <w:sz w:val="24"/>
                <w:szCs w:val="24"/>
                <w:lang w:eastAsia="zh-CN"/>
                <w14:textFill>
                  <w14:solidFill>
                    <w14:schemeClr w14:val="tx1"/>
                  </w14:solidFill>
                </w14:textFill>
              </w:rPr>
              <w:t>（试行）》</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第二类用地筛选值标准执行。项目区占地范围外耕地按照《土壤环境质量 农用地土壤污染风险管控标准（试行）》（GB15618-2018 ) 执行。</w:t>
            </w:r>
          </w:p>
        </w:tc>
      </w:tr>
      <w:tr w14:paraId="2B16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2" w:hRule="atLeast"/>
          <w:jc w:val="center"/>
        </w:trPr>
        <w:tc>
          <w:tcPr>
            <w:tcW w:w="991" w:type="dxa"/>
            <w:tcBorders>
              <w:left w:val="single" w:color="000000" w:sz="4" w:space="0"/>
              <w:bottom w:val="single" w:color="auto" w:sz="4" w:space="0"/>
            </w:tcBorders>
            <w:vAlign w:val="center"/>
          </w:tcPr>
          <w:p w14:paraId="73CD7CE2">
            <w:pPr>
              <w:pStyle w:val="22"/>
              <w:kinsoku/>
              <w:spacing w:before="65" w:line="228"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评价标准</w:t>
            </w:r>
          </w:p>
        </w:tc>
        <w:tc>
          <w:tcPr>
            <w:tcW w:w="8108" w:type="dxa"/>
            <w:tcBorders>
              <w:bottom w:val="single" w:color="auto" w:sz="4" w:space="0"/>
              <w:right w:val="single" w:color="000000" w:sz="4" w:space="0"/>
            </w:tcBorders>
            <w:vAlign w:val="center"/>
          </w:tcPr>
          <w:p w14:paraId="2D3CD8EC">
            <w:pPr>
              <w:pStyle w:val="22"/>
              <w:kinsoku/>
              <w:spacing w:line="360" w:lineRule="auto"/>
              <w:ind w:firstLine="422" w:firstLineChars="200"/>
              <w:jc w:val="both"/>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项目施工期执行标准见表3-</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14:paraId="125AA217">
            <w:pPr>
              <w:pStyle w:val="22"/>
              <w:kinsoku/>
              <w:jc w:val="cente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执行标准及限值</w:t>
            </w:r>
          </w:p>
          <w:tbl>
            <w:tblPr>
              <w:tblStyle w:val="21"/>
              <w:tblW w:w="79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9"/>
              <w:gridCol w:w="717"/>
              <w:gridCol w:w="949"/>
              <w:gridCol w:w="5674"/>
            </w:tblGrid>
            <w:tr w14:paraId="539E1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2265" w:type="dxa"/>
                  <w:gridSpan w:val="3"/>
                  <w:vAlign w:val="center"/>
                </w:tcPr>
                <w:p w14:paraId="3A09035B">
                  <w:pPr>
                    <w:pStyle w:val="22"/>
                    <w:kinsoku/>
                    <w:spacing w:before="45" w:line="209"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环境要素</w:t>
                  </w:r>
                </w:p>
              </w:tc>
              <w:tc>
                <w:tcPr>
                  <w:tcW w:w="5674" w:type="dxa"/>
                  <w:tcBorders>
                    <w:right w:val="single" w:color="000000" w:sz="4" w:space="0"/>
                  </w:tcBorders>
                  <w:vAlign w:val="center"/>
                </w:tcPr>
                <w:p w14:paraId="06D279FA">
                  <w:pPr>
                    <w:pStyle w:val="22"/>
                    <w:kinsoku/>
                    <w:spacing w:before="45" w:line="209"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执行标准</w:t>
                  </w:r>
                </w:p>
              </w:tc>
            </w:tr>
            <w:tr w14:paraId="0F8D7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73CA5C4A">
                  <w:pPr>
                    <w:pStyle w:val="22"/>
                    <w:kinsoku/>
                    <w:spacing w:before="65"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环境质量标准</w:t>
                  </w:r>
                </w:p>
              </w:tc>
              <w:tc>
                <w:tcPr>
                  <w:tcW w:w="717" w:type="dxa"/>
                  <w:vAlign w:val="center"/>
                </w:tcPr>
                <w:p w14:paraId="354368F0">
                  <w:pPr>
                    <w:pStyle w:val="22"/>
                    <w:kinsoku/>
                    <w:spacing w:before="150" w:line="216"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大气环境</w:t>
                  </w:r>
                </w:p>
              </w:tc>
              <w:tc>
                <w:tcPr>
                  <w:tcW w:w="949" w:type="dxa"/>
                  <w:vAlign w:val="center"/>
                </w:tcPr>
                <w:p w14:paraId="761D81F2">
                  <w:pPr>
                    <w:pStyle w:val="22"/>
                    <w:kinsoku/>
                    <w:spacing w:before="65" w:line="227"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基本污染</w:t>
                  </w:r>
                  <w:r>
                    <w:rPr>
                      <w:rFonts w:hint="default" w:ascii="Times New Roman" w:hAnsi="Times New Roman" w:eastAsia="宋体" w:cs="Times New Roman"/>
                      <w:color w:val="000000" w:themeColor="text1"/>
                      <w:sz w:val="21"/>
                      <w:szCs w:val="21"/>
                      <w14:textFill>
                        <w14:solidFill>
                          <w14:schemeClr w14:val="tx1"/>
                        </w14:solidFill>
                      </w14:textFill>
                    </w:rPr>
                    <w:t>物</w:t>
                  </w:r>
                </w:p>
              </w:tc>
              <w:tc>
                <w:tcPr>
                  <w:tcW w:w="5674" w:type="dxa"/>
                  <w:tcBorders>
                    <w:right w:val="single" w:color="000000" w:sz="4" w:space="0"/>
                  </w:tcBorders>
                  <w:vAlign w:val="center"/>
                </w:tcPr>
                <w:p w14:paraId="650F1B0C">
                  <w:pPr>
                    <w:pStyle w:val="22"/>
                    <w:kinsoku/>
                    <w:spacing w:before="65" w:line="221"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《环境空气质量标准》（GB3095-20</w:t>
                  </w:r>
                  <w:r>
                    <w:rPr>
                      <w:rFonts w:hint="eastAsia" w:ascii="Times New Roman" w:hAnsi="Times New Roman" w:cs="Times New Roman"/>
                      <w:color w:val="000000" w:themeColor="text1"/>
                      <w:spacing w:val="-5"/>
                      <w:sz w:val="21"/>
                      <w:szCs w:val="21"/>
                      <w:lang w:val="en-US" w:eastAsia="zh-CN"/>
                      <w14:textFill>
                        <w14:solidFill>
                          <w14:schemeClr w14:val="tx1"/>
                        </w14:solidFill>
                      </w14:textFill>
                    </w:rPr>
                    <w:t>26</w:t>
                  </w:r>
                  <w:r>
                    <w:rPr>
                      <w:rFonts w:hint="default" w:ascii="Times New Roman" w:hAnsi="Times New Roman" w:eastAsia="宋体" w:cs="Times New Roman"/>
                      <w:color w:val="000000" w:themeColor="text1"/>
                      <w:spacing w:val="-5"/>
                      <w:sz w:val="21"/>
                      <w:szCs w:val="21"/>
                      <w14:textFill>
                        <w14:solidFill>
                          <w14:schemeClr w14:val="tx1"/>
                        </w14:solidFill>
                      </w14:textFill>
                    </w:rPr>
                    <w:t>）</w:t>
                  </w:r>
                  <w:r>
                    <w:rPr>
                      <w:rFonts w:hint="eastAsia" w:ascii="Times New Roman" w:hAnsi="Times New Roman" w:cs="Times New Roman"/>
                      <w:color w:val="000000" w:themeColor="text1"/>
                      <w:spacing w:val="-5"/>
                      <w:sz w:val="21"/>
                      <w:szCs w:val="21"/>
                      <w:lang w:val="en-US" w:eastAsia="zh-CN"/>
                      <w14:textFill>
                        <w14:solidFill>
                          <w14:schemeClr w14:val="tx1"/>
                        </w14:solidFill>
                      </w14:textFill>
                    </w:rPr>
                    <w:t>过渡阶段</w:t>
                  </w:r>
                  <w:r>
                    <w:rPr>
                      <w:rFonts w:hint="default" w:ascii="Times New Roman" w:hAnsi="Times New Roman" w:eastAsia="宋体" w:cs="Times New Roman"/>
                      <w:color w:val="000000" w:themeColor="text1"/>
                      <w:spacing w:val="-5"/>
                      <w:sz w:val="21"/>
                      <w:szCs w:val="21"/>
                      <w14:textFill>
                        <w14:solidFill>
                          <w14:schemeClr w14:val="tx1"/>
                        </w14:solidFill>
                      </w14:textFill>
                    </w:rPr>
                    <w:t>二级（年平均值SO</w:t>
                  </w:r>
                  <w:r>
                    <w:rPr>
                      <w:rFonts w:hint="default" w:ascii="Times New Roman" w:hAnsi="Times New Roman" w:eastAsia="宋体" w:cs="Times New Roman"/>
                      <w:color w:val="000000" w:themeColor="text1"/>
                      <w:spacing w:val="-5"/>
                      <w:position w:val="-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pacing w:val="-7"/>
                      <w:sz w:val="21"/>
                      <w:szCs w:val="21"/>
                      <w14:textFill>
                        <w14:solidFill>
                          <w14:schemeClr w14:val="tx1"/>
                        </w14:solidFill>
                      </w14:textFill>
                    </w:rPr>
                    <w:t>：60μg/m</w:t>
                  </w:r>
                  <w:r>
                    <w:rPr>
                      <w:rFonts w:hint="default" w:ascii="Times New Roman" w:hAnsi="Times New Roman" w:eastAsia="宋体" w:cs="Times New Roman"/>
                      <w:color w:val="000000" w:themeColor="text1"/>
                      <w:spacing w:val="-7"/>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pacing w:val="2"/>
                      <w:position w:val="-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pacing w:val="2"/>
                      <w:sz w:val="21"/>
                      <w:szCs w:val="21"/>
                      <w14:textFill>
                        <w14:solidFill>
                          <w14:schemeClr w14:val="tx1"/>
                        </w14:solidFill>
                      </w14:textFill>
                    </w:rPr>
                    <w:t>：40μg/m</w:t>
                  </w:r>
                  <w:r>
                    <w:rPr>
                      <w:rFonts w:hint="default" w:ascii="Times New Roman" w:hAnsi="Times New Roman" w:eastAsia="宋体" w:cs="Times New Roman"/>
                      <w:color w:val="000000" w:themeColor="text1"/>
                      <w:spacing w:val="2"/>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pacing w:val="2"/>
                      <w:position w:val="-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pacing w:val="2"/>
                      <w:sz w:val="21"/>
                      <w:szCs w:val="21"/>
                      <w14:textFill>
                        <w14:solidFill>
                          <w14:schemeClr w14:val="tx1"/>
                        </w14:solidFill>
                      </w14:textFill>
                    </w:rPr>
                    <w:t>：</w:t>
                  </w:r>
                  <w:r>
                    <w:rPr>
                      <w:rFonts w:hint="eastAsia" w:ascii="Times New Roman" w:hAnsi="Times New Roman" w:cs="Times New Roman"/>
                      <w:color w:val="000000" w:themeColor="text1"/>
                      <w:spacing w:val="2"/>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2"/>
                      <w:sz w:val="21"/>
                      <w:szCs w:val="21"/>
                      <w14:textFill>
                        <w14:solidFill>
                          <w14:schemeClr w14:val="tx1"/>
                        </w14:solidFill>
                      </w14:textFill>
                    </w:rPr>
                    <w:t>0μg/m</w:t>
                  </w:r>
                  <w:r>
                    <w:rPr>
                      <w:rFonts w:hint="default" w:ascii="Times New Roman" w:hAnsi="Times New Roman" w:eastAsia="宋体" w:cs="Times New Roman"/>
                      <w:color w:val="000000" w:themeColor="text1"/>
                      <w:spacing w:val="2"/>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pacing w:val="2"/>
                      <w:position w:val="-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pacing w:val="2"/>
                      <w:sz w:val="21"/>
                      <w:szCs w:val="21"/>
                      <w14:textFill>
                        <w14:solidFill>
                          <w14:schemeClr w14:val="tx1"/>
                        </w14:solidFill>
                      </w14:textFill>
                    </w:rPr>
                    <w:t>：3</w:t>
                  </w:r>
                  <w:r>
                    <w:rPr>
                      <w:rFonts w:hint="eastAsia" w:ascii="Times New Roman" w:hAnsi="Times New Roman" w:cs="Times New Roman"/>
                      <w:color w:val="000000" w:themeColor="text1"/>
                      <w:spacing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pacing w:val="2"/>
                      <w:sz w:val="21"/>
                      <w:szCs w:val="21"/>
                      <w14:textFill>
                        <w14:solidFill>
                          <w14:schemeClr w14:val="tx1"/>
                        </w14:solidFill>
                      </w14:textFill>
                    </w:rPr>
                    <w:t>μg/m</w:t>
                  </w:r>
                  <w:r>
                    <w:rPr>
                      <w:rFonts w:hint="default" w:ascii="Times New Roman" w:hAnsi="Times New Roman" w:eastAsia="宋体" w:cs="Times New Roman"/>
                      <w:color w:val="000000" w:themeColor="text1"/>
                      <w:spacing w:val="2"/>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1"/>
                      <w:szCs w:val="21"/>
                      <w14:textFill>
                        <w14:solidFill>
                          <w14:schemeClr w14:val="tx1"/>
                        </w14:solidFill>
                      </w14:textFill>
                    </w:rPr>
                    <w:t>；O</w:t>
                  </w:r>
                  <w:r>
                    <w:rPr>
                      <w:rFonts w:hint="default" w:ascii="Times New Roman" w:hAnsi="Times New Roman" w:eastAsia="宋体" w:cs="Times New Roman"/>
                      <w:color w:val="000000" w:themeColor="text1"/>
                      <w:spacing w:val="2"/>
                      <w:position w:val="-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pacing w:val="2"/>
                      <w:sz w:val="21"/>
                      <w:szCs w:val="21"/>
                      <w14:textFill>
                        <w14:solidFill>
                          <w14:schemeClr w14:val="tx1"/>
                        </w14:solidFill>
                      </w14:textFill>
                    </w:rPr>
                    <w:t>日最大</w:t>
                  </w:r>
                  <w:r>
                    <w:rPr>
                      <w:rFonts w:hint="default" w:ascii="Times New Roman" w:hAnsi="Times New Roman" w:eastAsia="宋体" w:cs="Times New Roman"/>
                      <w:color w:val="000000" w:themeColor="text1"/>
                      <w:spacing w:val="1"/>
                      <w:sz w:val="21"/>
                      <w:szCs w:val="21"/>
                      <w14:textFill>
                        <w14:solidFill>
                          <w14:schemeClr w14:val="tx1"/>
                        </w14:solidFill>
                      </w14:textFill>
                    </w:rPr>
                    <w:t>8h</w:t>
                  </w:r>
                  <w:r>
                    <w:rPr>
                      <w:rFonts w:hint="default" w:ascii="Times New Roman" w:hAnsi="Times New Roman" w:eastAsia="宋体" w:cs="Times New Roman"/>
                      <w:color w:val="000000" w:themeColor="text1"/>
                      <w:spacing w:val="6"/>
                      <w:sz w:val="21"/>
                      <w:szCs w:val="21"/>
                      <w14:textFill>
                        <w14:solidFill>
                          <w14:schemeClr w14:val="tx1"/>
                        </w14:solidFill>
                      </w14:textFill>
                    </w:rPr>
                    <w:t>平均值：160μg/m</w:t>
                  </w:r>
                  <w:r>
                    <w:rPr>
                      <w:rFonts w:hint="default" w:ascii="Times New Roman" w:hAnsi="Times New Roman" w:eastAsia="宋体" w:cs="Times New Roman"/>
                      <w:color w:val="000000" w:themeColor="text1"/>
                      <w:spacing w:val="2"/>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pacing w:val="6"/>
                      <w:sz w:val="21"/>
                      <w:szCs w:val="21"/>
                      <w14:textFill>
                        <w14:solidFill>
                          <w14:schemeClr w14:val="tx1"/>
                        </w14:solidFill>
                      </w14:textFill>
                    </w:rPr>
                    <w:t>24h平均值：4</w:t>
                  </w:r>
                  <w:r>
                    <w:rPr>
                      <w:rFonts w:hint="default" w:ascii="Times New Roman" w:hAnsi="Times New Roman" w:eastAsia="宋体" w:cs="Times New Roman"/>
                      <w:color w:val="000000" w:themeColor="text1"/>
                      <w:sz w:val="21"/>
                      <w:szCs w:val="21"/>
                      <w14:textFill>
                        <w14:solidFill>
                          <w14:schemeClr w14:val="tx1"/>
                        </w14:solidFill>
                      </w14:textFill>
                    </w:rPr>
                    <w:t>mg</w:t>
                  </w:r>
                  <w:r>
                    <w:rPr>
                      <w:rFonts w:hint="default" w:ascii="Times New Roman" w:hAnsi="Times New Roman" w:eastAsia="宋体" w:cs="Times New Roman"/>
                      <w:color w:val="000000" w:themeColor="text1"/>
                      <w:spacing w:val="6"/>
                      <w:sz w:val="21"/>
                      <w:szCs w:val="21"/>
                      <w14:textFill>
                        <w14:solidFill>
                          <w14:schemeClr w14:val="tx1"/>
                        </w14:solidFill>
                      </w14:textFill>
                    </w:rPr>
                    <w:t>/m</w:t>
                  </w:r>
                  <w:r>
                    <w:rPr>
                      <w:rFonts w:hint="default" w:ascii="Times New Roman" w:hAnsi="Times New Roman" w:eastAsia="宋体" w:cs="Times New Roman"/>
                      <w:color w:val="000000" w:themeColor="text1"/>
                      <w:spacing w:val="2"/>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14:textFill>
                        <w14:solidFill>
                          <w14:schemeClr w14:val="tx1"/>
                        </w14:solidFill>
                      </w14:textFill>
                    </w:rPr>
                    <w:t>）</w:t>
                  </w:r>
                </w:p>
              </w:tc>
            </w:tr>
            <w:tr w14:paraId="11075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4148F207">
                  <w:pPr>
                    <w:kinsoku/>
                    <w:jc w:val="center"/>
                    <w:rPr>
                      <w:rFonts w:hint="default" w:ascii="Times New Roman" w:hAnsi="Times New Roman" w:eastAsia="宋体" w:cs="Times New Roman"/>
                      <w:color w:val="000000" w:themeColor="text1"/>
                      <w14:textFill>
                        <w14:solidFill>
                          <w14:schemeClr w14:val="tx1"/>
                        </w14:solidFill>
                      </w14:textFill>
                    </w:rPr>
                  </w:pPr>
                </w:p>
              </w:tc>
              <w:tc>
                <w:tcPr>
                  <w:tcW w:w="717" w:type="dxa"/>
                  <w:vAlign w:val="center"/>
                </w:tcPr>
                <w:p w14:paraId="2679C48C">
                  <w:pPr>
                    <w:pStyle w:val="22"/>
                    <w:kinsoku/>
                    <w:spacing w:before="150" w:line="216"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声环境</w:t>
                  </w:r>
                </w:p>
              </w:tc>
              <w:tc>
                <w:tcPr>
                  <w:tcW w:w="949" w:type="dxa"/>
                  <w:vAlign w:val="center"/>
                </w:tcPr>
                <w:p w14:paraId="2875E5B5">
                  <w:pPr>
                    <w:pStyle w:val="22"/>
                    <w:kinsoku/>
                    <w:spacing w:before="65"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噪声</w:t>
                  </w:r>
                </w:p>
              </w:tc>
              <w:tc>
                <w:tcPr>
                  <w:tcW w:w="5674" w:type="dxa"/>
                  <w:tcBorders>
                    <w:right w:val="single" w:color="000000" w:sz="4" w:space="0"/>
                  </w:tcBorders>
                  <w:vAlign w:val="center"/>
                </w:tcPr>
                <w:p w14:paraId="4DFA2918">
                  <w:pPr>
                    <w:pStyle w:val="22"/>
                    <w:kinsoku/>
                    <w:spacing w:before="192" w:line="228"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《声环境质量标准》（</w:t>
                  </w:r>
                  <w:r>
                    <w:rPr>
                      <w:rFonts w:hint="default" w:ascii="Times New Roman" w:hAnsi="Times New Roman" w:eastAsia="宋体" w:cs="Times New Roman"/>
                      <w:color w:val="000000" w:themeColor="text1"/>
                      <w:sz w:val="21"/>
                      <w:szCs w:val="21"/>
                      <w:lang w:eastAsia="zh-CN"/>
                      <w14:textFill>
                        <w14:solidFill>
                          <w14:schemeClr w14:val="tx1"/>
                        </w14:solidFill>
                      </w14:textFill>
                    </w:rPr>
                    <w:t>GB</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3096-2008）2类（昼间：60</w:t>
                  </w:r>
                  <w:r>
                    <w:rPr>
                      <w:rFonts w:hint="default" w:ascii="Times New Roman" w:hAnsi="Times New Roman" w:eastAsia="宋体" w:cs="Times New Roman"/>
                      <w:color w:val="000000" w:themeColor="text1"/>
                      <w:sz w:val="21"/>
                      <w:szCs w:val="21"/>
                      <w:lang w:eastAsia="zh-CN"/>
                      <w14:textFill>
                        <w14:solidFill>
                          <w14:schemeClr w14:val="tx1"/>
                        </w14:solidFill>
                      </w14:textFill>
                    </w:rPr>
                    <w:t>dB</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（A</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夜间：50</w:t>
                  </w:r>
                  <w:r>
                    <w:rPr>
                      <w:rFonts w:hint="default" w:ascii="Times New Roman" w:hAnsi="Times New Roman" w:eastAsia="宋体" w:cs="Times New Roman"/>
                      <w:color w:val="000000" w:themeColor="text1"/>
                      <w:sz w:val="21"/>
                      <w:szCs w:val="21"/>
                      <w:lang w:eastAsia="zh-CN"/>
                      <w14:textFill>
                        <w14:solidFill>
                          <w14:schemeClr w14:val="tx1"/>
                        </w14:solidFill>
                      </w14:textFill>
                    </w:rPr>
                    <w:t>dB</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（A</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r w14:paraId="2F35A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6299F067">
                  <w:pPr>
                    <w:pStyle w:val="22"/>
                    <w:kinsoku/>
                    <w:spacing w:before="65"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污染</w:t>
                  </w:r>
                  <w:r>
                    <w:rPr>
                      <w:rFonts w:hint="default" w:ascii="Times New Roman" w:hAnsi="Times New Roman" w:eastAsia="宋体" w:cs="Times New Roman"/>
                      <w:color w:val="000000" w:themeColor="text1"/>
                      <w:spacing w:val="4"/>
                      <w:sz w:val="21"/>
                      <w:szCs w:val="21"/>
                      <w14:textFill>
                        <w14:solidFill>
                          <w14:schemeClr w14:val="tx1"/>
                        </w14:solidFill>
                      </w14:textFill>
                    </w:rPr>
                    <w:t>排放标准</w:t>
                  </w:r>
                </w:p>
              </w:tc>
              <w:tc>
                <w:tcPr>
                  <w:tcW w:w="717" w:type="dxa"/>
                  <w:vMerge w:val="restart"/>
                  <w:vAlign w:val="center"/>
                </w:tcPr>
                <w:p w14:paraId="46A88C83">
                  <w:pPr>
                    <w:pStyle w:val="22"/>
                    <w:kinsoku/>
                    <w:spacing w:before="150" w:line="217"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废气</w:t>
                  </w:r>
                </w:p>
              </w:tc>
              <w:tc>
                <w:tcPr>
                  <w:tcW w:w="949" w:type="dxa"/>
                  <w:vAlign w:val="center"/>
                </w:tcPr>
                <w:p w14:paraId="4B23696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施工期发电机废气</w:t>
                  </w:r>
                </w:p>
              </w:tc>
              <w:tc>
                <w:tcPr>
                  <w:tcW w:w="5674" w:type="dxa"/>
                  <w:tcBorders>
                    <w:right w:val="single" w:color="000000" w:sz="4" w:space="0"/>
                  </w:tcBorders>
                  <w:vAlign w:val="center"/>
                </w:tcPr>
                <w:p w14:paraId="288FC999">
                  <w:pPr>
                    <w:pStyle w:val="22"/>
                    <w:kinsoku/>
                    <w:spacing w:before="46" w:line="221"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《大气污染物综合排放标准》（GB16297-1996）</w:t>
                  </w:r>
                </w:p>
              </w:tc>
            </w:tr>
            <w:tr w14:paraId="1F836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3961116A">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17" w:type="dxa"/>
                  <w:vMerge w:val="continue"/>
                  <w:vAlign w:val="center"/>
                </w:tcPr>
                <w:p w14:paraId="5BE5DA0F">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49" w:type="dxa"/>
                  <w:vAlign w:val="center"/>
                </w:tcPr>
                <w:p w14:paraId="1BEB6764">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施工扬尘</w:t>
                  </w:r>
                </w:p>
              </w:tc>
              <w:tc>
                <w:tcPr>
                  <w:tcW w:w="5674" w:type="dxa"/>
                  <w:tcBorders>
                    <w:right w:val="single" w:color="000000" w:sz="4" w:space="0"/>
                  </w:tcBorders>
                  <w:vAlign w:val="center"/>
                </w:tcPr>
                <w:p w14:paraId="30EA170F">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《大气污染物综合排放标准》（GB16297-1996）中表2其他无组织排放监控浓度限值要求（TSP：1.0mg/m</w:t>
                  </w:r>
                  <w:r>
                    <w:rPr>
                      <w:rFonts w:hint="default" w:ascii="Times New Roman" w:hAnsi="Times New Roman" w:eastAsia="宋体" w:cs="Times New Roman"/>
                      <w:color w:val="000000" w:themeColor="text1"/>
                      <w:spacing w:val="6"/>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w:t>
                  </w:r>
                </w:p>
              </w:tc>
            </w:tr>
            <w:tr w14:paraId="336F7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0F5F0016">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17" w:type="dxa"/>
                  <w:vMerge w:val="continue"/>
                  <w:vAlign w:val="center"/>
                </w:tcPr>
                <w:p w14:paraId="4A93077C">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49" w:type="dxa"/>
                  <w:vAlign w:val="center"/>
                </w:tcPr>
                <w:p w14:paraId="0593026E">
                  <w:pPr>
                    <w:pStyle w:val="22"/>
                    <w:kinsoku/>
                    <w:spacing w:before="180"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非</w:t>
                  </w:r>
                  <w:r>
                    <w:rPr>
                      <w:rFonts w:hint="default" w:ascii="Times New Roman" w:hAnsi="Times New Roman" w:eastAsia="宋体" w:cs="Times New Roman"/>
                      <w:color w:val="000000" w:themeColor="text1"/>
                      <w:sz w:val="21"/>
                      <w:szCs w:val="21"/>
                      <w14:textFill>
                        <w14:solidFill>
                          <w14:schemeClr w14:val="tx1"/>
                        </w14:solidFill>
                      </w14:textFill>
                    </w:rPr>
                    <w:t>甲烷总烃</w:t>
                  </w:r>
                </w:p>
              </w:tc>
              <w:tc>
                <w:tcPr>
                  <w:tcW w:w="5674" w:type="dxa"/>
                  <w:tcBorders>
                    <w:right w:val="single" w:color="000000" w:sz="4" w:space="0"/>
                  </w:tcBorders>
                  <w:vAlign w:val="center"/>
                </w:tcPr>
                <w:p w14:paraId="73D0FC64">
                  <w:pPr>
                    <w:pStyle w:val="22"/>
                    <w:kinsoku/>
                    <w:spacing w:before="180" w:line="227"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lang w:eastAsia="zh-CN"/>
                      <w14:textFill>
                        <w14:solidFill>
                          <w14:schemeClr w14:val="tx1"/>
                        </w14:solidFill>
                      </w14:textFill>
                    </w:rPr>
                    <w:t>《陆上石油天然气开采工业大气污染物排放标准》（</w:t>
                  </w:r>
                  <w:r>
                    <w:rPr>
                      <w:rFonts w:hint="default" w:ascii="Times New Roman" w:hAnsi="Times New Roman" w:eastAsia="宋体" w:cs="Times New Roman"/>
                      <w:color w:val="000000" w:themeColor="text1"/>
                      <w:sz w:val="21"/>
                      <w:szCs w:val="21"/>
                      <w:lang w:eastAsia="zh-CN"/>
                      <w14:textFill>
                        <w14:solidFill>
                          <w14:schemeClr w14:val="tx1"/>
                        </w14:solidFill>
                      </w14:textFill>
                    </w:rPr>
                    <w:t>GB</w:t>
                  </w:r>
                  <w:r>
                    <w:rPr>
                      <w:rFonts w:hint="default" w:ascii="Times New Roman" w:hAnsi="Times New Roman" w:eastAsia="宋体" w:cs="Times New Roman"/>
                      <w:color w:val="000000" w:themeColor="text1"/>
                      <w:spacing w:val="3"/>
                      <w:sz w:val="21"/>
                      <w:szCs w:val="21"/>
                      <w:lang w:eastAsia="zh-CN"/>
                      <w14:textFill>
                        <w14:solidFill>
                          <w14:schemeClr w14:val="tx1"/>
                        </w14:solidFill>
                      </w14:textFill>
                    </w:rPr>
                    <w:t>39728</w:t>
                  </w: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-2020</w:t>
                  </w: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)（非甲烷总烃：4</w:t>
                  </w:r>
                  <w:r>
                    <w:rPr>
                      <w:rFonts w:hint="default" w:ascii="Times New Roman" w:hAnsi="Times New Roman" w:eastAsia="宋体" w:cs="Times New Roman"/>
                      <w:color w:val="000000" w:themeColor="text1"/>
                      <w:sz w:val="21"/>
                      <w:szCs w:val="21"/>
                      <w:lang w:eastAsia="zh-CN"/>
                      <w14:textFill>
                        <w14:solidFill>
                          <w14:schemeClr w14:val="tx1"/>
                        </w14:solidFill>
                      </w14:textFill>
                    </w:rPr>
                    <w:t>mg</w:t>
                  </w: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5"/>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w:t>
                  </w:r>
                </w:p>
              </w:tc>
            </w:tr>
            <w:tr w14:paraId="6A37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575A2C39">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17" w:type="dxa"/>
                  <w:vMerge w:val="continue"/>
                  <w:vAlign w:val="center"/>
                </w:tcPr>
                <w:p w14:paraId="395F6DF5">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49" w:type="dxa"/>
                  <w:vAlign w:val="center"/>
                </w:tcPr>
                <w:p w14:paraId="1D0A3562">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H</w:t>
                  </w:r>
                  <w:r>
                    <w:rPr>
                      <w:rFonts w:hint="default" w:ascii="Times New Roman" w:hAnsi="Times New Roman" w:eastAsia="宋体" w:cs="Times New Roman"/>
                      <w:color w:val="000000" w:themeColor="text1"/>
                      <w:spacing w:val="6"/>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pacing w:val="6"/>
                      <w:sz w:val="21"/>
                      <w:szCs w:val="21"/>
                      <w14:textFill>
                        <w14:solidFill>
                          <w14:schemeClr w14:val="tx1"/>
                        </w14:solidFill>
                      </w14:textFill>
                    </w:rPr>
                    <w:t>S</w:t>
                  </w:r>
                </w:p>
              </w:tc>
              <w:tc>
                <w:tcPr>
                  <w:tcW w:w="5674" w:type="dxa"/>
                  <w:tcBorders>
                    <w:right w:val="single" w:color="000000" w:sz="4" w:space="0"/>
                  </w:tcBorders>
                  <w:vAlign w:val="center"/>
                </w:tcPr>
                <w:p w14:paraId="2BAEC13A">
                  <w:pPr>
                    <w:pStyle w:val="22"/>
                    <w:kinsoku/>
                    <w:spacing w:before="180" w:line="228" w:lineRule="auto"/>
                    <w:jc w:val="cente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《恶臭污染物排放标准》（GB14554-93）中表1恶臭污染物厂界标准值二级新扩改建限值（H</w:t>
                  </w:r>
                  <w:r>
                    <w:rPr>
                      <w:rFonts w:hint="default" w:ascii="Times New Roman" w:hAnsi="Times New Roman" w:eastAsia="宋体" w:cs="Times New Roman"/>
                      <w:color w:val="000000" w:themeColor="text1"/>
                      <w:spacing w:val="7"/>
                      <w:sz w:val="2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S厂界：0.06mg/m</w:t>
                  </w:r>
                  <w:r>
                    <w:rPr>
                      <w:rFonts w:hint="default" w:ascii="Times New Roman" w:hAnsi="Times New Roman" w:eastAsia="宋体" w:cs="Times New Roman"/>
                      <w:color w:val="000000" w:themeColor="text1"/>
                      <w:spacing w:val="7"/>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w:t>
                  </w:r>
                </w:p>
              </w:tc>
            </w:tr>
            <w:tr w14:paraId="7863B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71010C0B">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17" w:type="dxa"/>
                  <w:vMerge w:val="continue"/>
                  <w:vAlign w:val="center"/>
                </w:tcPr>
                <w:p w14:paraId="5037EEDE">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49" w:type="dxa"/>
                  <w:vAlign w:val="center"/>
                </w:tcPr>
                <w:p w14:paraId="0CD391A5">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锅炉废气</w:t>
                  </w:r>
                </w:p>
              </w:tc>
              <w:tc>
                <w:tcPr>
                  <w:tcW w:w="5674" w:type="dxa"/>
                  <w:tcBorders>
                    <w:right w:val="single" w:color="000000" w:sz="4" w:space="0"/>
                  </w:tcBorders>
                  <w:vAlign w:val="center"/>
                </w:tcPr>
                <w:p w14:paraId="2B8715FF">
                  <w:pPr>
                    <w:pStyle w:val="22"/>
                    <w:kinsoku/>
                    <w:spacing w:before="180" w:line="228" w:lineRule="auto"/>
                    <w:jc w:val="cente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《锅炉大气污染物排放标准》（GB13271-2014）中表</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燃</w:t>
                  </w:r>
                  <w:r>
                    <w:rPr>
                      <w:rFonts w:hint="eastAsia" w:ascii="Times New Roman" w:hAnsi="Times New Roman" w:cs="Times New Roman"/>
                      <w:color w:val="000000" w:themeColor="text1"/>
                      <w:spacing w:val="7"/>
                      <w:sz w:val="21"/>
                      <w:szCs w:val="21"/>
                      <w:highlight w:val="none"/>
                      <w:lang w:val="en-US" w:eastAsia="zh-CN"/>
                      <w14:textFill>
                        <w14:solidFill>
                          <w14:schemeClr w14:val="tx1"/>
                        </w14:solidFill>
                      </w14:textFill>
                    </w:rPr>
                    <w:t>气</w:t>
                  </w: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锅炉排放限值</w:t>
                  </w:r>
                </w:p>
              </w:tc>
            </w:tr>
            <w:tr w14:paraId="57E2E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599" w:type="dxa"/>
                  <w:vMerge w:val="continue"/>
                  <w:tcBorders>
                    <w:top w:val="nil"/>
                  </w:tcBorders>
                  <w:vAlign w:val="center"/>
                </w:tcPr>
                <w:p w14:paraId="2403E257">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17" w:type="dxa"/>
                  <w:vAlign w:val="center"/>
                </w:tcPr>
                <w:p w14:paraId="440EDBE0">
                  <w:pPr>
                    <w:pStyle w:val="22"/>
                    <w:kinsoku/>
                    <w:spacing w:before="149" w:line="213"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噪声</w:t>
                  </w:r>
                </w:p>
              </w:tc>
              <w:tc>
                <w:tcPr>
                  <w:tcW w:w="949" w:type="dxa"/>
                  <w:vAlign w:val="center"/>
                </w:tcPr>
                <w:p w14:paraId="09160A07">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施工期井场噪声</w:t>
                  </w:r>
                </w:p>
              </w:tc>
              <w:tc>
                <w:tcPr>
                  <w:tcW w:w="5674" w:type="dxa"/>
                  <w:tcBorders>
                    <w:right w:val="single" w:color="000000" w:sz="4" w:space="0"/>
                  </w:tcBorders>
                  <w:vAlign w:val="center"/>
                </w:tcPr>
                <w:p w14:paraId="2D8B665E">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《建筑施工噪声排放标准》（GB12523-2025）（昼间：70dB（A）、夜间：55dB（A））</w:t>
                  </w:r>
                </w:p>
              </w:tc>
            </w:tr>
            <w:tr w14:paraId="29603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599" w:type="dxa"/>
                  <w:vMerge w:val="restart"/>
                  <w:tcBorders>
                    <w:bottom w:val="nil"/>
                  </w:tcBorders>
                  <w:vAlign w:val="center"/>
                </w:tcPr>
                <w:p w14:paraId="36513176">
                  <w:pPr>
                    <w:pStyle w:val="22"/>
                    <w:kinsoku/>
                    <w:spacing w:before="65"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污染</w:t>
                  </w:r>
                  <w:r>
                    <w:rPr>
                      <w:rFonts w:hint="default" w:ascii="Times New Roman" w:hAnsi="Times New Roman" w:eastAsia="宋体" w:cs="Times New Roman"/>
                      <w:color w:val="000000" w:themeColor="text1"/>
                      <w:spacing w:val="5"/>
                      <w:sz w:val="21"/>
                      <w:szCs w:val="21"/>
                      <w14:textFill>
                        <w14:solidFill>
                          <w14:schemeClr w14:val="tx1"/>
                        </w14:solidFill>
                      </w14:textFill>
                    </w:rPr>
                    <w:t>控制</w:t>
                  </w:r>
                  <w:r>
                    <w:rPr>
                      <w:rFonts w:hint="default" w:ascii="Times New Roman" w:hAnsi="Times New Roman" w:eastAsia="宋体" w:cs="Times New Roman"/>
                      <w:color w:val="000000" w:themeColor="text1"/>
                      <w:spacing w:val="4"/>
                      <w:sz w:val="21"/>
                      <w:szCs w:val="21"/>
                      <w14:textFill>
                        <w14:solidFill>
                          <w14:schemeClr w14:val="tx1"/>
                        </w14:solidFill>
                      </w14:textFill>
                    </w:rPr>
                    <w:t>标准</w:t>
                  </w:r>
                </w:p>
              </w:tc>
              <w:tc>
                <w:tcPr>
                  <w:tcW w:w="717" w:type="dxa"/>
                  <w:vAlign w:val="center"/>
                </w:tcPr>
                <w:p w14:paraId="63E33975">
                  <w:pPr>
                    <w:pStyle w:val="22"/>
                    <w:kinsoku/>
                    <w:spacing w:before="138" w:line="217"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一般固废</w:t>
                  </w:r>
                </w:p>
              </w:tc>
              <w:tc>
                <w:tcPr>
                  <w:tcW w:w="949" w:type="dxa"/>
                  <w:vAlign w:val="center"/>
                </w:tcPr>
                <w:p w14:paraId="1F20232F">
                  <w:pPr>
                    <w:pStyle w:val="22"/>
                    <w:kinsoku/>
                    <w:spacing w:before="65"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水基岩屑</w:t>
                  </w:r>
                </w:p>
              </w:tc>
              <w:tc>
                <w:tcPr>
                  <w:tcW w:w="5674" w:type="dxa"/>
                  <w:tcBorders>
                    <w:right w:val="single" w:color="000000" w:sz="4" w:space="0"/>
                  </w:tcBorders>
                  <w:vAlign w:val="center"/>
                </w:tcPr>
                <w:p w14:paraId="2EF28835">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《一般工业固体废物贮存和填埋污染控制标准》（GB18599-2020)</w:t>
                  </w:r>
                </w:p>
              </w:tc>
            </w:tr>
            <w:tr w14:paraId="6672F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6AABF05B">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17" w:type="dxa"/>
                  <w:vAlign w:val="center"/>
                </w:tcPr>
                <w:p w14:paraId="6130B1D7">
                  <w:pPr>
                    <w:pStyle w:val="22"/>
                    <w:kinsoku/>
                    <w:spacing w:before="138" w:line="217"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危险废物</w:t>
                  </w:r>
                </w:p>
              </w:tc>
              <w:tc>
                <w:tcPr>
                  <w:tcW w:w="949" w:type="dxa"/>
                  <w:vAlign w:val="center"/>
                </w:tcPr>
                <w:p w14:paraId="24237CB1">
                  <w:pPr>
                    <w:pStyle w:val="22"/>
                    <w:kinsoku/>
                    <w:spacing w:before="168" w:line="228"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lang w:eastAsia="zh-CN"/>
                      <w14:textFill>
                        <w14:solidFill>
                          <w14:schemeClr w14:val="tx1"/>
                        </w14:solidFill>
                      </w14:textFill>
                    </w:rPr>
                    <w:t>废防渗</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材料</w:t>
                  </w:r>
                </w:p>
              </w:tc>
              <w:tc>
                <w:tcPr>
                  <w:tcW w:w="5674" w:type="dxa"/>
                  <w:tcBorders>
                    <w:right w:val="single" w:color="000000" w:sz="4" w:space="0"/>
                  </w:tcBorders>
                  <w:vAlign w:val="center"/>
                </w:tcPr>
                <w:p w14:paraId="0073683F">
                  <w:pPr>
                    <w:pStyle w:val="22"/>
                    <w:kinsoku/>
                    <w:spacing w:before="32" w:line="228"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lang w:eastAsia="zh-CN"/>
                      <w14:textFill>
                        <w14:solidFill>
                          <w14:schemeClr w14:val="tx1"/>
                        </w14:solidFill>
                      </w14:textFill>
                    </w:rPr>
                    <w:t>《油气田钻井固体废弃物综合利用污染物控</w:t>
                  </w: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制要求》（</w:t>
                  </w:r>
                  <w:r>
                    <w:rPr>
                      <w:rFonts w:hint="default" w:ascii="Times New Roman" w:hAnsi="Times New Roman" w:eastAsia="宋体" w:cs="Times New Roman"/>
                      <w:color w:val="000000" w:themeColor="text1"/>
                      <w:sz w:val="21"/>
                      <w:szCs w:val="21"/>
                      <w:lang w:eastAsia="zh-CN"/>
                      <w14:textFill>
                        <w14:solidFill>
                          <w14:schemeClr w14:val="tx1"/>
                        </w14:solidFill>
                      </w14:textFill>
                    </w:rPr>
                    <w:t>DB 65/T 3997-2017</w:t>
                  </w: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《危险废物贮存污染控制标准》（</w:t>
                  </w:r>
                  <w:r>
                    <w:rPr>
                      <w:rFonts w:hint="default" w:ascii="Times New Roman" w:hAnsi="Times New Roman" w:eastAsia="宋体" w:cs="Times New Roman"/>
                      <w:color w:val="000000" w:themeColor="text1"/>
                      <w:sz w:val="21"/>
                      <w:szCs w:val="21"/>
                      <w:lang w:eastAsia="zh-CN"/>
                      <w14:textFill>
                        <w14:solidFill>
                          <w14:schemeClr w14:val="tx1"/>
                        </w14:solidFill>
                      </w14:textFill>
                    </w:rPr>
                    <w:t>GB</w:t>
                  </w: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18597-2023）《危险废物收集贮存运输技术规范》（HJ2025-2012）</w:t>
                  </w:r>
                </w:p>
              </w:tc>
            </w:tr>
          </w:tbl>
          <w:p w14:paraId="63D986D3">
            <w:pPr>
              <w:pStyle w:val="22"/>
              <w:kinsoku/>
              <w:spacing w:before="65" w:line="228" w:lineRule="auto"/>
              <w:jc w:val="both"/>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p>
        </w:tc>
      </w:tr>
      <w:tr w14:paraId="0EB8B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jc w:val="center"/>
        </w:trPr>
        <w:tc>
          <w:tcPr>
            <w:tcW w:w="991" w:type="dxa"/>
            <w:tcBorders>
              <w:top w:val="single" w:color="auto" w:sz="4" w:space="0"/>
              <w:left w:val="single" w:color="auto" w:sz="4" w:space="0"/>
              <w:bottom w:val="single" w:color="auto" w:sz="4" w:space="0"/>
            </w:tcBorders>
            <w:vAlign w:val="center"/>
          </w:tcPr>
          <w:p w14:paraId="0E9E211E">
            <w:pPr>
              <w:pStyle w:val="22"/>
              <w:kinsoku/>
              <w:spacing w:before="65" w:line="228"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0"/>
                <w:sz w:val="24"/>
                <w:szCs w:val="24"/>
                <w14:textFill>
                  <w14:solidFill>
                    <w14:schemeClr w14:val="tx1"/>
                  </w14:solidFill>
                </w14:textFill>
              </w:rPr>
              <w:t>其他</w:t>
            </w:r>
          </w:p>
        </w:tc>
        <w:tc>
          <w:tcPr>
            <w:tcW w:w="8108" w:type="dxa"/>
            <w:tcBorders>
              <w:top w:val="single" w:color="auto" w:sz="4" w:space="0"/>
              <w:bottom w:val="single" w:color="auto" w:sz="4" w:space="0"/>
              <w:right w:val="single" w:color="auto" w:sz="4" w:space="0"/>
            </w:tcBorders>
            <w:vAlign w:val="center"/>
          </w:tcPr>
          <w:p w14:paraId="560EBEC0">
            <w:pPr>
              <w:pStyle w:val="22"/>
              <w:kinsoku/>
              <w:spacing w:line="360" w:lineRule="auto"/>
              <w:ind w:firstLine="520" w:firstLineChars="200"/>
              <w:jc w:val="both"/>
              <w:rPr>
                <w:rFonts w:hint="default" w:ascii="Times New Roman" w:hAnsi="Times New Roman" w:eastAsia="宋体" w:cs="Times New Roman"/>
                <w:color w:val="000000" w:themeColor="text1"/>
                <w:spacing w:val="1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0"/>
                <w:sz w:val="24"/>
                <w:szCs w:val="24"/>
                <w:lang w:eastAsia="zh-CN"/>
                <w14:textFill>
                  <w14:solidFill>
                    <w14:schemeClr w14:val="tx1"/>
                  </w14:solidFill>
                </w14:textFill>
              </w:rPr>
              <w:t>本项目钻试周期短，污染物产生量少，钻试期结束后污染物停止排放，故不提出总量控制指标。</w:t>
            </w:r>
          </w:p>
        </w:tc>
      </w:tr>
    </w:tbl>
    <w:p w14:paraId="60A37643">
      <w:pPr>
        <w:kinsoku/>
        <w:spacing w:before="101" w:line="360" w:lineRule="auto"/>
        <w:jc w:val="center"/>
        <w:outlineLvl w:val="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pacing w:val="3"/>
          <w:sz w:val="30"/>
          <w:szCs w:val="30"/>
          <w:lang w:eastAsia="zh-CN"/>
          <w14:textFill>
            <w14:solidFill>
              <w14:schemeClr w14:val="tx1"/>
            </w14:solidFill>
          </w14:textFill>
        </w:rPr>
        <w:br w:type="column"/>
      </w:r>
      <w:r>
        <w:rPr>
          <w:rFonts w:ascii="Times New Roman" w:hAnsi="Times New Roman" w:eastAsia="宋体" w:cs="Times New Roman"/>
          <w:b/>
          <w:bCs/>
          <w:color w:val="000000" w:themeColor="text1"/>
          <w:spacing w:val="3"/>
          <w:sz w:val="30"/>
          <w:szCs w:val="30"/>
          <w14:textFill>
            <w14:solidFill>
              <w14:schemeClr w14:val="tx1"/>
            </w14:solidFill>
          </w14:textFill>
        </w:rPr>
        <w:t>四、生态环境影响分析</w:t>
      </w:r>
    </w:p>
    <w:tbl>
      <w:tblPr>
        <w:tblStyle w:val="17"/>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290"/>
      </w:tblGrid>
      <w:tr w14:paraId="29F0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0" w:hRule="atLeast"/>
          <w:jc w:val="center"/>
        </w:trPr>
        <w:tc>
          <w:tcPr>
            <w:tcW w:w="578" w:type="dxa"/>
            <w:vAlign w:val="center"/>
          </w:tcPr>
          <w:p w14:paraId="79FCD129">
            <w:pPr>
              <w:widowControl w:val="0"/>
              <w:kinsoku/>
              <w:spacing w:line="360"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18" w:name="OLE_LINK45"/>
            <w:r>
              <w:rPr>
                <w:rFonts w:hint="default" w:ascii="Times New Roman" w:hAnsi="Times New Roman" w:eastAsia="宋体" w:cs="Times New Roman"/>
                <w:color w:val="000000" w:themeColor="text1"/>
                <w:sz w:val="24"/>
                <w:szCs w:val="24"/>
                <w:lang w:eastAsia="zh-CN"/>
                <w14:textFill>
                  <w14:solidFill>
                    <w14:schemeClr w14:val="tx1"/>
                  </w14:solidFill>
                </w14:textFill>
              </w:rPr>
              <w:t>施工期生态环境影响分析</w:t>
            </w:r>
            <w:bookmarkEnd w:id="18"/>
          </w:p>
        </w:tc>
        <w:tc>
          <w:tcPr>
            <w:tcW w:w="8290" w:type="dxa"/>
          </w:tcPr>
          <w:p w14:paraId="72F11684">
            <w:pPr>
              <w:pStyle w:val="22"/>
              <w:widowControl w:val="0"/>
              <w:kinsoku/>
              <w:spacing w:before="39" w:line="360" w:lineRule="auto"/>
              <w:ind w:left="13"/>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sz w:val="24"/>
                <w:szCs w:val="24"/>
                <w:lang w:eastAsia="zh-CN"/>
                <w14:textFill>
                  <w14:solidFill>
                    <w14:schemeClr w14:val="tx1"/>
                  </w14:solidFill>
                </w14:textFill>
              </w:rPr>
              <w:t>1</w:t>
            </w:r>
            <w:r>
              <w:rPr>
                <w:rFonts w:hint="default" w:ascii="Times New Roman" w:hAnsi="Times New Roman" w:eastAsia="宋体" w:cs="Times New Roman"/>
                <w:b/>
                <w:bCs/>
                <w:color w:val="000000" w:themeColor="text1"/>
                <w:spacing w:val="-34"/>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pacing w:val="-6"/>
                <w:sz w:val="24"/>
                <w:szCs w:val="24"/>
                <w:lang w:eastAsia="zh-CN"/>
                <w14:textFill>
                  <w14:solidFill>
                    <w14:schemeClr w14:val="tx1"/>
                  </w14:solidFill>
                </w14:textFill>
              </w:rPr>
              <w:t>生态环境影响分析</w:t>
            </w:r>
          </w:p>
          <w:p w14:paraId="25F9B347">
            <w:pPr>
              <w:pStyle w:val="22"/>
              <w:widowControl w:val="0"/>
              <w:kinsoku/>
              <w:spacing w:line="360" w:lineRule="auto"/>
              <w:ind w:left="11"/>
              <w:jc w:val="both"/>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t>1.1生态环境影响因素及类型</w:t>
            </w:r>
          </w:p>
          <w:p w14:paraId="775F5EDD">
            <w:pPr>
              <w:pStyle w:val="22"/>
              <w:widowControl w:val="0"/>
              <w:kinsoku/>
              <w:spacing w:line="360" w:lineRule="auto"/>
              <w:ind w:left="11"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本项目道路施工过程中不可避免地会对周围生</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态环境造成不同程度的污染</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和破坏。</w:t>
            </w:r>
          </w:p>
          <w:p w14:paraId="20C74DB5">
            <w:pPr>
              <w:pStyle w:val="22"/>
              <w:widowControl w:val="0"/>
              <w:kinsoku/>
              <w:spacing w:before="1" w:line="360" w:lineRule="auto"/>
              <w:ind w:left="496"/>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（1）生态环境影响类型</w:t>
            </w:r>
          </w:p>
          <w:p w14:paraId="18FCD154">
            <w:pPr>
              <w:pStyle w:val="22"/>
              <w:widowControl w:val="0"/>
              <w:kinsoku/>
              <w:spacing w:before="35" w:line="360" w:lineRule="auto"/>
              <w:ind w:left="5" w:right="4" w:firstLine="483" w:firstLineChars="205"/>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①占地对地表土壤、植被影响</w:t>
            </w:r>
          </w:p>
          <w:p w14:paraId="35F73C50">
            <w:pPr>
              <w:pStyle w:val="22"/>
              <w:widowControl w:val="0"/>
              <w:kinsoku/>
              <w:spacing w:before="35" w:line="360" w:lineRule="auto"/>
              <w:ind w:left="5" w:right="4" w:firstLine="483" w:firstLineChars="205"/>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井场、道路施工占地范围内土壤翻出、植被清除，将破坏地表原有稳定砾石层，加剧风蚀，改变原有生态系统结构</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和功能，属</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暂时性影响。施工完成后，临时性占地和影响将消除，使被破坏的生态环境逐步恢复。评价井和产能井封井前井场将会在原来连续分布的生态环境中形成生态斑点，产生地表温度、水分等物理异常，以及干扰地面植被和野生动物繁殖、迁移</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和栖息，长久影响生态环境的类型和结构。</w:t>
            </w:r>
          </w:p>
          <w:p w14:paraId="68D196C3">
            <w:pPr>
              <w:pStyle w:val="22"/>
              <w:widowControl w:val="0"/>
              <w:kinsoku/>
              <w:spacing w:line="360" w:lineRule="auto"/>
              <w:ind w:left="482"/>
              <w:jc w:val="both"/>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②污染物排放对生态环境的影响</w:t>
            </w:r>
          </w:p>
          <w:p w14:paraId="4B919E8A">
            <w:pPr>
              <w:pStyle w:val="22"/>
              <w:widowControl w:val="0"/>
              <w:kinsoku/>
              <w:spacing w:line="360" w:lineRule="auto"/>
              <w:ind w:firstLine="472"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本工程主要污染源集中在钻井工程，其污染源分布广、排放源强小，污染因子简单，具有影响的全方位性、综合性的特点，其对生态环境影响的途径和程度</w:t>
            </w:r>
            <w:r>
              <w:rPr>
                <w:rFonts w:hint="default" w:ascii="Times New Roman" w:hAnsi="Times New Roman" w:eastAsia="宋体" w:cs="Times New Roman"/>
                <w:color w:val="000000" w:themeColor="text1"/>
                <w:sz w:val="24"/>
                <w:szCs w:val="24"/>
                <w:lang w:eastAsia="zh-CN"/>
                <w14:textFill>
                  <w14:solidFill>
                    <w14:schemeClr w14:val="tx1"/>
                  </w14:solidFill>
                </w14:textFill>
              </w:rPr>
              <w:t>取决于水环境、空气环境、声环境被污染的程度和</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固废的产生量及处置方式。</w:t>
            </w:r>
          </w:p>
          <w:p w14:paraId="2C7BFCF6">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（2）生态环境影响因素</w:t>
            </w:r>
          </w:p>
          <w:p w14:paraId="2BA42144">
            <w:pPr>
              <w:pStyle w:val="22"/>
              <w:widowControl w:val="0"/>
              <w:kinsoku/>
              <w:spacing w:line="360" w:lineRule="auto"/>
              <w:ind w:firstLine="472"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环境影响因素识别实际上是对主体的识别，包括主体工程和辅助工程。对于</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本项目来讲，主要从钻井工程分析环境影响因素。</w:t>
            </w:r>
          </w:p>
          <w:p w14:paraId="529CF482">
            <w:pPr>
              <w:pStyle w:val="22"/>
              <w:widowControl w:val="0"/>
              <w:kinsoku/>
              <w:spacing w:before="2" w:line="360" w:lineRule="auto"/>
              <w:ind w:left="3" w:right="4" w:firstLine="481"/>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本项目部署新井2口，井场的平整会产生土方的</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扰动；钻井过程中废物的排</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用，可有效减轻钻井过程对生态环境的影响。</w:t>
            </w:r>
          </w:p>
          <w:p w14:paraId="6A5D1204">
            <w:pPr>
              <w:pStyle w:val="22"/>
              <w:widowControl w:val="0"/>
              <w:kinsoku/>
              <w:spacing w:line="360" w:lineRule="auto"/>
              <w:ind w:left="11"/>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t>1.2对植被的影响分析</w:t>
            </w:r>
          </w:p>
          <w:p w14:paraId="0F8907C9">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（1）工程占地对植被的影响</w:t>
            </w:r>
          </w:p>
          <w:p w14:paraId="16FC65D1">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工程占地包括井场、入场道路和施工营地等临时占地，对植被的影响主要表现在施工期，主要影响形式是对土地的占用以及施工阶段清场过程中对地表植被的清理及施工过程中地碾压。</w:t>
            </w:r>
          </w:p>
          <w:p w14:paraId="6BDAB473">
            <w:pPr>
              <w:pStyle w:val="22"/>
              <w:widowControl w:val="0"/>
              <w:kinsoku/>
              <w:spacing w:line="360" w:lineRule="auto"/>
              <w:ind w:firstLine="472"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在井场、道路施工过程中土地被扰动，地表植被基本被毁。施工结束后重新回到原来的自然状态，但地表植被及地表结构却发生了变化。地表保护层被破坏后，其稳定性下降，防止水土流失的能力也随之下降。</w:t>
            </w:r>
          </w:p>
          <w:p w14:paraId="4049A274">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（2）人类活动对植被的影响</w:t>
            </w:r>
          </w:p>
          <w:p w14:paraId="63EA0D96">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项目施工过程对植被的影响主要表现在人类和机械对植物的践踏、碾压和砍伐，使原生植被生境发生较大变化。区域单位面积上人口密度的增加将导致工程开发范围内及边缘区域地表土壤被践踏、自然植被减少。</w:t>
            </w:r>
          </w:p>
          <w:p w14:paraId="25181E58">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评价区植被分布不均匀，覆盖度较低，人类活动对该区域天然植被产生的不良影响非常有限。</w:t>
            </w:r>
          </w:p>
          <w:p w14:paraId="3FCA044A">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由于项目地点远离城市干线，交通事故发生的概率极小，且造成的污染有限。相对于整个开发区域而言，事故均发生于一个较小的范围内，事故发生后及时清理事故污染，交通事故不会对整个区域植被产生明显不利影响。</w:t>
            </w:r>
          </w:p>
          <w:p w14:paraId="0FF3E677">
            <w:pPr>
              <w:pStyle w:val="22"/>
              <w:widowControl w:val="0"/>
              <w:kinsoku/>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生物损失量核算</w:t>
            </w:r>
          </w:p>
          <w:p w14:paraId="150D29A6">
            <w:pPr>
              <w:pStyle w:val="22"/>
              <w:widowControl w:val="0"/>
              <w:numPr>
                <w:ilvl w:val="0"/>
                <w:numId w:val="0"/>
              </w:numPr>
              <w:spacing w:line="360" w:lineRule="auto"/>
              <w:ind w:firstLine="472"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本项目占地类型主要为其他草地，区域植被类型为荒漠植被，覆盖度约10%，主要物种为骆驼蓬、白皮锦鸡儿等。由于施工期进行表土剥离和平整，将导致占地范围内的生物量全部损失（按100%损失率计算）。参考新疆北部荒漠草地平均生物量干重（约1500 kg/hm²）进行估算，</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临时占地总面积为</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18020</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m²，</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4"/>
                <w:szCs w:val="24"/>
                <w14:textFill>
                  <w14:solidFill>
                    <w14:schemeClr w14:val="tx1"/>
                  </w14:solidFill>
                </w14:textFill>
              </w:rPr>
              <w:t>本项目因施工造成的植被生物量损失</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约为</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2.703</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吨</w:t>
            </w:r>
            <w:r>
              <w:rPr>
                <w:rFonts w:hint="default" w:ascii="Times New Roman" w:hAnsi="Times New Roman" w:eastAsia="宋体" w:cs="Times New Roman"/>
                <w:color w:val="000000" w:themeColor="text1"/>
                <w:sz w:val="24"/>
                <w:szCs w:val="24"/>
                <w14:textFill>
                  <w14:solidFill>
                    <w14:schemeClr w14:val="tx1"/>
                  </w14:solidFill>
                </w14:textFill>
              </w:rPr>
              <w:t>。由于项目区植被稀疏，生物量基数小，且为临时占地，施工结束后通过人工辅助措施（撒播草籽等）和自然恢复，受损的生物量可在3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5年内逐步恢复，不会对区域生态系统稳定性造成不可逆影响。</w:t>
            </w:r>
          </w:p>
          <w:p w14:paraId="44135CDB">
            <w:pPr>
              <w:pStyle w:val="22"/>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1.3对野生动物的影响分析</w:t>
            </w:r>
          </w:p>
          <w:p w14:paraId="35DE0C76">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14:paraId="2290C89C">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（1）施工期对野生动物的影响</w:t>
            </w:r>
          </w:p>
          <w:p w14:paraId="276CD5ED">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他区域，而常见的伴人型野生动物种类有所增加。施工完成后，施工人员撤离作业区域，区域内的人为活动逐步减少，野生动物将逐步回归原有生境。</w:t>
            </w:r>
          </w:p>
          <w:p w14:paraId="1557A2FE">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（2）事故对野生动物的影响</w:t>
            </w:r>
          </w:p>
          <w:p w14:paraId="5E149F19">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发生事故时常常导致原油及天然气的泄出和渗漏，从而可能影响工程区域内的野生脊椎动物的生存环境。事故类型的不同，对野生动物的影响范围和程度也有所不同。当发生井喷事故时，井场周围200m-500m范围以内的各种小型脊椎动物会因躲避不及造成死亡，局部区域可能影响到的只是一些啮齿类动物、爬行动物和小型鸟类，对大中型动物不会造成影响。如果发生火灾事故，由于生态环境及空气环境的变化，短时间内会使事故周围动物的分布数量下降。</w:t>
            </w:r>
          </w:p>
          <w:p w14:paraId="58285E18">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（3）对野生动物生活环境的影响</w:t>
            </w:r>
          </w:p>
          <w:p w14:paraId="1FAE9AA8">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区域内各种野生动物经过长期的适应已形成较稳定的取食、饮水、栖息活动范围和分布。本项目施工造成的占地（18020m²）和人为活动干扰，将对地表活动的野生动物栖息地产生一定的隔离和切割作用。 栖息地破碎化程度预测： 本项目为陆地钻井点状施工作业，不涉及长距离线性工程（如高等级公路或大型管网）的大范围切割。经预测，施工机械活动和占地造成的栖息地破碎化和惊扰影响范围较为局限，整体影响范围</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较小</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，不会形成大面积的物理阻隔，原分布区内的物种可向外围缓冲地带短暂扩散扩散。恢复周期预测： 钻井作业结束后，随着人类活动和施工机械的撤离，占地扰动因素随之消除。在严格落实地貌平整、表土回覆及人工辅助播种等生态恢复措施的前提下，预计受扰动生境的植被和生态功能将在 3~5 年内逐渐恢复。野生动物在原有生境修复并重新适应后，其活动和分布范围亦将自然恢复，不会对区域物种多样性造成长期不利影响。</w:t>
            </w:r>
          </w:p>
          <w:p w14:paraId="086FF401">
            <w:pPr>
              <w:pStyle w:val="22"/>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1.4对农田的影响分析</w:t>
            </w:r>
          </w:p>
          <w:p w14:paraId="49F07D17">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本项目占地类型主要为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其他草地</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周边约100m有耕地分布，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对农作物的影响主要来自于施工废气、道路扬尘等间接影响方式。</w:t>
            </w:r>
          </w:p>
          <w:p w14:paraId="556986C5">
            <w:pPr>
              <w:pStyle w:val="22"/>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2.施工期土壤环境影响分析</w:t>
            </w:r>
          </w:p>
          <w:p w14:paraId="4C642289">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本项目属于“矿产资源地质勘查（含勘探活动和油气资源勘探）”，根据《环境影响评价技术导则 土壤环境（试行）》（HJ964-2018）附录A，本项目为Ⅳ类项目，可不开展土壤环境影响评价，本次环评仅做简单分析。</w:t>
            </w:r>
          </w:p>
          <w:p w14:paraId="388DBBFC">
            <w:pPr>
              <w:pStyle w:val="22"/>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2.1工程占地影响分析</w:t>
            </w:r>
          </w:p>
          <w:p w14:paraId="307180B3">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本项目占地主要为井场及临时道路，占地类型</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主要</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其他草地</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具体见表2-3），为临时占地。最主要的危害是破坏了地表结构，增加了土壤风蚀量和沙漠化的可能性。在进行井场施工时，将对作业范围内的土壤表层进行干扰和破坏，土壤表层结构（包括紧实度）、肥力将受到影响，土壤易受到侵蚀。当施工结束后，人为活动的范围缩小，将使受到破坏的地表逐渐得到恢复，风蚀和荒漠化影响将随着天然植被的恢复逐渐得到控制。</w:t>
            </w:r>
          </w:p>
          <w:p w14:paraId="0D6317D1">
            <w:pPr>
              <w:pStyle w:val="22"/>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2.2固体废物对土壤环境的影响</w:t>
            </w:r>
          </w:p>
          <w:p w14:paraId="2D9556AA">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在钻井过程中会产生钻井泥浆和岩屑，本项目采用泥浆不落地技术，可以有效减缓钻井泥浆、岩屑对土壤的影响范围和程度。</w:t>
            </w:r>
          </w:p>
          <w:p w14:paraId="552A71E7">
            <w:pPr>
              <w:pStyle w:val="22"/>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2.3事故状态下对土壤环境的影响</w:t>
            </w:r>
          </w:p>
          <w:p w14:paraId="586082F5">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14:paraId="098CDB42">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井喷持续时间越长，对土壤造成的污染越严重。但根据已有的相关资料，井喷事故主要影响事故区域内的表层土壤。</w:t>
            </w:r>
          </w:p>
          <w:p w14:paraId="7BC415D1">
            <w:pPr>
              <w:pStyle w:val="22"/>
              <w:widowControl w:val="0"/>
              <w:kinsoku/>
              <w:spacing w:line="360" w:lineRule="auto"/>
              <w:ind w:left="1"/>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2.4水土流失影响分析</w:t>
            </w:r>
          </w:p>
          <w:p w14:paraId="2C85DE86">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油田工程建设对当地水土流失影响的方式包括扰动、损坏、开挖、破坏原地貌、地表土壤结构及植被。工程施工及占地呈面状分布，施工期间，井场占地、机械作业人员活动等都会加剧水土流失。油田开发过程中加剧水土流失的不良影响主要表现在以下几个方面：</w:t>
            </w:r>
          </w:p>
          <w:p w14:paraId="26B68E3A">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（1）施工车辆对地表的大面积碾压，使所经过地段的植被和地表结构遭到不同程度的破坏，使荒漠化的过程加剧。</w:t>
            </w:r>
          </w:p>
          <w:p w14:paraId="447B0EDA">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在井场开钻及临时设施搭建中，最直接而且易引起水土流失的是施工过程中使影响范围内的地表保护层变得松散，增加风蚀量。对于本项目油田的开发建设来讲，地面构筑物建设的内容主要包括井场、道路的敷设及配套工程等。临时占地范围内的土壤地表表层遭到破坏，下层的粉细物质暴露在地层表面，在风力的作用下，风蚀量会明显加大，这种影响在短时间内不会完全恢复。但随着时间的推移，风蚀量会随着地表新保护层的逐渐形成而减弱。</w:t>
            </w:r>
          </w:p>
          <w:p w14:paraId="4C5AB92A">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项目所在区域属于“天山北坡国家级水土流失重点预防区”，施工期会使施工范围内的土体结构遭到破坏、野生植被会受到严重破坏甚至被彻底清除，若遇到大风天气施工，则可能导致风蚀作用加剧；钻试结束后，由于井场、进场道路和生活营地等土壤结构、自然植被的恢复还需要一定时间，区域水土流失还将继续发生。但随着时间的延长、土壤结构的变化以及地表植被的恢复，水土流失的程度会慢慢减轻。</w:t>
            </w:r>
          </w:p>
          <w:p w14:paraId="4F7E6749">
            <w:pPr>
              <w:pStyle w:val="22"/>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2.5土地沙化影响分析</w:t>
            </w:r>
          </w:p>
          <w:p w14:paraId="3F4D2BFE">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项目区钻井工程实施中，会使施工带范围内的土体结构遭到破坏，其范围内的植被也会受到严重破坏甚至被彻底清除，导致风沙作用加剧，主要表现为：</w:t>
            </w:r>
          </w:p>
          <w:p w14:paraId="0E9D8C43">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（1）土壤粗粒化</w:t>
            </w:r>
          </w:p>
          <w:p w14:paraId="4D1AA9C6">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在土壤沙化过程中，当风力作用地表产生风蚀时，便产生风蚀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12EFFD0E">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（2）土壤贫瘠及含盐量变化</w:t>
            </w:r>
          </w:p>
          <w:p w14:paraId="1BCBB9AF">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沙化增强，盐分含量降低。</w:t>
            </w:r>
          </w:p>
          <w:p w14:paraId="719F3FDE">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（3）对区域沙化土地的影响分析</w:t>
            </w:r>
          </w:p>
          <w:p w14:paraId="05622AED">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项目施工期临时占地将会破坏项目占地范围内的土壤表层稳定砾幕和地表荒漠植被，项目所在区域具有多风、降水量偏低等气候特征，地表稳定结皮被破坏后，在大风天气条件下，项目施工会使占地范围内的土地就地起沙，局部形成沙化土地。</w:t>
            </w:r>
          </w:p>
          <w:p w14:paraId="22158291">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但是由于项目占地范围较小，施工结束后对临时占地范围内场地进行平整和清理，尽量利用井场施工时产生的表层弃土对临时占地进行覆盖，采用自然恢复的方式对区域植被进行恢复。</w:t>
            </w:r>
          </w:p>
          <w:p w14:paraId="2E3EBE8E">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综上所述，本项目对项目所在区域土地沙化影响不大。</w:t>
            </w:r>
          </w:p>
          <w:p w14:paraId="38212B2C">
            <w:pPr>
              <w:pStyle w:val="26"/>
              <w:widowControl w:val="0"/>
              <w:kinsoku/>
              <w:spacing w:line="360" w:lineRule="auto"/>
              <w:ind w:firstLine="0" w:firstLineChars="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3.大气环境影响分析</w:t>
            </w:r>
          </w:p>
          <w:p w14:paraId="6B820BCD">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19" w:name="_Hlk136794460"/>
            <w:r>
              <w:rPr>
                <w:rFonts w:hint="default" w:ascii="Times New Roman" w:hAnsi="Times New Roman" w:eastAsia="宋体" w:cs="Times New Roman"/>
                <w:color w:val="000000" w:themeColor="text1"/>
                <w:sz w:val="24"/>
                <w:szCs w:val="24"/>
                <w:lang w:eastAsia="zh-CN"/>
                <w14:textFill>
                  <w14:solidFill>
                    <w14:schemeClr w14:val="tx1"/>
                  </w14:solidFill>
                </w14:textFill>
              </w:rPr>
              <w:t>废气主要为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备用</w:t>
            </w:r>
            <w:r>
              <w:rPr>
                <w:rFonts w:hint="default" w:ascii="Times New Roman" w:hAnsi="Times New Roman" w:eastAsia="宋体" w:cs="Times New Roman"/>
                <w:color w:val="000000" w:themeColor="text1"/>
                <w:sz w:val="24"/>
                <w:szCs w:val="24"/>
                <w:lang w:eastAsia="zh-CN"/>
                <w14:textFill>
                  <w14:solidFill>
                    <w14:schemeClr w14:val="tx1"/>
                  </w14:solidFill>
                </w14:textFill>
              </w:rPr>
              <w:t>柴油机、发电机燃料燃烧烟气、施工机械及施工车辆尾气、施工扬尘、伴生气放空产生的燃烧烟气、试油期间采出液储存及装车过程中无组织逸散的废气、柴油储存卸车无组织废气和钻井岩屑暂存和</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道路工程等</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在施工作业过程中产生的扬尘等</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41AB648B">
            <w:pPr>
              <w:widowControl w:val="0"/>
              <w:numPr>
                <w:ilvl w:val="0"/>
                <w:numId w:val="9"/>
              </w:numPr>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备用柴油发电机燃料燃烧烟气 </w:t>
            </w:r>
          </w:p>
          <w:p w14:paraId="52738603">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本项目钻井及试油作业动力主要依靠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工业用电</w:t>
            </w:r>
            <w:r>
              <w:rPr>
                <w:rFonts w:hint="default" w:ascii="Times New Roman" w:hAnsi="Times New Roman" w:eastAsia="宋体" w:cs="Times New Roman"/>
                <w:color w:val="000000" w:themeColor="text1"/>
                <w:sz w:val="24"/>
                <w:szCs w:val="24"/>
                <w:lang w:eastAsia="zh-CN"/>
                <w14:textFill>
                  <w14:solidFill>
                    <w14:schemeClr w14:val="tx1"/>
                  </w14:solidFill>
                </w14:textFill>
              </w:rPr>
              <w:t>，配备的柴油发电机组仅作为应急备用电源（仅在电网检修、故障断电或设备调试等特殊情况下启动），不进行连续生产作业。因此，柴油发电机运行具有间歇性和偶发性特点。与传统柴油动力钻井相比，本项目实际柴油消耗量及污染物产生量显著减少。</w:t>
            </w:r>
          </w:p>
          <w:p w14:paraId="43DB635B">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本环评要求钻井期间定期对备用柴油发电机等设备进行维护，并且采用符合国家标准的柴油，确保在应急启动时达标排放。</w:t>
            </w:r>
          </w:p>
          <w:p w14:paraId="61ACE769">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鉴于备用发电机使用频率极低、排放量小，且项目区地域空旷，周围扩散条件良好，废气随应急作业的结束而消失。因此，对区域大气环境影响不大。</w:t>
            </w:r>
          </w:p>
          <w:p w14:paraId="08E2AE83">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（2）施工机械及施工车辆尾气</w:t>
            </w:r>
          </w:p>
          <w:p w14:paraId="7B4D9D6B">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机械及施工车辆运行过程中会产生一定的尾气，对周围大气环境产生一定的影响；各类施工机械及施工车辆均采用符合国家标准的油品，定期对施工机械及车辆检维修并加强保养，保证施工机械及车辆正常运行，且废气随着施工期的结束而消失，不会对周围大气环境产生不利影响。</w:t>
            </w:r>
          </w:p>
          <w:p w14:paraId="6B9D1D29">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（3）施工扬尘</w:t>
            </w:r>
          </w:p>
          <w:p w14:paraId="0574A183">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井场平整、探临道路、生活营地等建设及施工运输车辆会产生扬尘，对周围大气环境产生一定的影响；施工期加强管理、对易起尘物料进行遮盖、车辆低速慢行等措施，且扬尘随着施工期的结束而消失，不会对周围大气环境产生不利影响。</w:t>
            </w:r>
          </w:p>
          <w:p w14:paraId="6664DC8E">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（4）伴生气燃烧烟气</w:t>
            </w:r>
          </w:p>
          <w:p w14:paraId="466E15BE">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和试油过程中可能会出现油层伴生气排出地面的情况，伴生气经过液气分离后通过点火排放。由于勘探前油藏情况未明，伴生气产生量无法确定，根据准东采油管理区区域已经完钻的探井可知，试油期产生的伴生气气量不稳定，不具备回收利用条件，但具备燃烧条件的，经排气管线充分燃烧后排放，因此，本工程伴生气通过排气管线充分燃烧后放空，属于阶段性排放，且随着钻试结束而停止产生，只</w:t>
            </w:r>
            <w:r>
              <w:rPr>
                <w:rFonts w:hint="default" w:ascii="Times New Roman" w:hAnsi="Times New Roman" w:eastAsia="宋体" w:cs="Times New Roman"/>
                <w:color w:val="000000" w:themeColor="text1"/>
                <w:sz w:val="24"/>
                <w:szCs w:val="24"/>
                <w:lang w:eastAsia="zh-CN"/>
                <w14:textFill>
                  <w14:solidFill>
                    <w14:schemeClr w14:val="tx1"/>
                  </w14:solidFill>
                </w14:textFill>
              </w:rPr>
              <w:t>在打开目的层且井筒压力过大时才会进行放喷。</w:t>
            </w:r>
          </w:p>
          <w:p w14:paraId="0844F1EB">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本次评价按照钻井经验中对环境最不利情况进行分析，按照伴生气产生最大量进行估算，整个试油期放喷1次，放喷时间15min，放喷气量30m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/h进行核算，伴生气产生量7.5m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伴生气主要成分为甲烷，基本不含硫，燃烧后排放污染物主要为NOx和颗粒物。根据《第一次全国污染源普查工业污染源产排污系数手册》以及《实用环境保护数据大全》，核算本项目伴生气燃烧废气污染物的产排情况见表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8017A51">
            <w:pPr>
              <w:widowControl w:val="0"/>
              <w:kinsoku/>
              <w:spacing w:before="120" w:beforeLines="50" w:line="360" w:lineRule="auto"/>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表4-</w:t>
            </w:r>
            <w:r>
              <w:rPr>
                <w:rFonts w:hint="default" w:ascii="Times New Roman" w:hAnsi="Times New Roman" w:eastAsia="宋体"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lang w:eastAsia="zh-CN"/>
                <w14:textFill>
                  <w14:solidFill>
                    <w14:schemeClr w14:val="tx1"/>
                  </w14:solidFill>
                </w14:textFill>
              </w:rPr>
              <w:t xml:space="preserve"> 放喷废气污染物排放量表</w:t>
            </w:r>
          </w:p>
          <w:tbl>
            <w:tblPr>
              <w:tblStyle w:val="2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4"/>
              <w:gridCol w:w="1630"/>
              <w:gridCol w:w="1948"/>
              <w:gridCol w:w="2004"/>
            </w:tblGrid>
            <w:tr w14:paraId="4E67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539" w:type="pct"/>
                  <w:tcBorders>
                    <w:top w:val="single" w:color="000000" w:sz="10" w:space="0"/>
                  </w:tcBorders>
                  <w:vAlign w:val="center"/>
                </w:tcPr>
                <w:p w14:paraId="4BBE6D3C">
                  <w:pPr>
                    <w:pStyle w:val="22"/>
                    <w:kinsoku/>
                    <w:spacing w:before="73" w:line="228"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eastAsia="zh-CN"/>
                      <w14:textFill>
                        <w14:solidFill>
                          <w14:schemeClr w14:val="tx1"/>
                        </w14:solidFill>
                      </w14:textFill>
                    </w:rPr>
                    <w:t>污染物名称</w:t>
                  </w:r>
                </w:p>
              </w:tc>
              <w:tc>
                <w:tcPr>
                  <w:tcW w:w="1010" w:type="pct"/>
                  <w:tcBorders>
                    <w:top w:val="single" w:color="000000" w:sz="10" w:space="0"/>
                  </w:tcBorders>
                  <w:vAlign w:val="center"/>
                </w:tcPr>
                <w:p w14:paraId="637181A5">
                  <w:pPr>
                    <w:pStyle w:val="22"/>
                    <w:kinsoku/>
                    <w:spacing w:before="73" w:line="228"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eastAsia="zh-CN"/>
                      <w14:textFill>
                        <w14:solidFill>
                          <w14:schemeClr w14:val="tx1"/>
                        </w14:solidFill>
                      </w14:textFill>
                    </w:rPr>
                    <w:t>废气量</w:t>
                  </w:r>
                </w:p>
              </w:tc>
              <w:tc>
                <w:tcPr>
                  <w:tcW w:w="1207" w:type="pct"/>
                  <w:tcBorders>
                    <w:top w:val="single" w:color="000000" w:sz="10" w:space="0"/>
                  </w:tcBorders>
                  <w:vAlign w:val="center"/>
                </w:tcPr>
                <w:p w14:paraId="14877188">
                  <w:pPr>
                    <w:kinsoku/>
                    <w:spacing w:before="111" w:line="195" w:lineRule="auto"/>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pacing w:val="7"/>
                      <w:lang w:eastAsia="zh-CN"/>
                      <w14:textFill>
                        <w14:solidFill>
                          <w14:schemeClr w14:val="tx1"/>
                        </w14:solidFill>
                      </w14:textFill>
                    </w:rPr>
                    <w:t>NO</w:t>
                  </w:r>
                  <w:r>
                    <w:rPr>
                      <w:rFonts w:hint="default" w:ascii="Times New Roman" w:hAnsi="Times New Roman" w:eastAsia="宋体" w:cs="Times New Roman"/>
                      <w:b/>
                      <w:bCs/>
                      <w:color w:val="000000" w:themeColor="text1"/>
                      <w:spacing w:val="7"/>
                      <w:vertAlign w:val="subscript"/>
                      <w:lang w:eastAsia="zh-CN"/>
                      <w14:textFill>
                        <w14:solidFill>
                          <w14:schemeClr w14:val="tx1"/>
                        </w14:solidFill>
                      </w14:textFill>
                    </w:rPr>
                    <w:t>X</w:t>
                  </w:r>
                </w:p>
              </w:tc>
              <w:tc>
                <w:tcPr>
                  <w:tcW w:w="1242" w:type="pct"/>
                  <w:tcBorders>
                    <w:top w:val="single" w:color="000000" w:sz="10" w:space="0"/>
                    <w:right w:val="single" w:color="000000" w:sz="4" w:space="0"/>
                  </w:tcBorders>
                  <w:vAlign w:val="center"/>
                </w:tcPr>
                <w:p w14:paraId="2B1B3909">
                  <w:pPr>
                    <w:pStyle w:val="22"/>
                    <w:kinsoku/>
                    <w:spacing w:before="73" w:line="228"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lang w:eastAsia="zh-CN"/>
                      <w14:textFill>
                        <w14:solidFill>
                          <w14:schemeClr w14:val="tx1"/>
                        </w14:solidFill>
                      </w14:textFill>
                    </w:rPr>
                    <w:t>颗粒物</w:t>
                  </w:r>
                </w:p>
              </w:tc>
            </w:tr>
            <w:tr w14:paraId="32E95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39" w:type="pct"/>
                  <w:vAlign w:val="center"/>
                </w:tcPr>
                <w:p w14:paraId="02C1D18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产污系数</w:t>
                  </w:r>
                </w:p>
              </w:tc>
              <w:tc>
                <w:tcPr>
                  <w:tcW w:w="1010" w:type="pct"/>
                  <w:vAlign w:val="center"/>
                </w:tcPr>
                <w:p w14:paraId="609043A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207" w:type="pct"/>
                  <w:vAlign w:val="center"/>
                </w:tcPr>
                <w:p w14:paraId="1980DB3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9.36</w:t>
                  </w:r>
                  <w:r>
                    <w:rPr>
                      <w:rFonts w:hint="default" w:ascii="Times New Roman" w:hAnsi="Times New Roman" w:eastAsia="宋体" w:cs="Times New Roman"/>
                      <w:color w:val="000000" w:themeColor="text1"/>
                      <w:sz w:val="21"/>
                      <w:szCs w:val="21"/>
                      <w:lang w:eastAsia="zh-CN"/>
                      <w14:textFill>
                        <w14:solidFill>
                          <w14:schemeClr w14:val="tx1"/>
                        </w14:solidFill>
                      </w14:textFill>
                    </w:rPr>
                    <w:t>kg</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/万</w:t>
                  </w:r>
                  <w:r>
                    <w:rPr>
                      <w:rFonts w:hint="default" w:ascii="Times New Roman" w:hAnsi="Times New Roman" w:eastAsia="宋体" w:cs="Times New Roman"/>
                      <w:color w:val="000000" w:themeColor="text1"/>
                      <w:sz w:val="24"/>
                      <w:szCs w:val="24"/>
                      <w:lang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伴生气</w:t>
                  </w:r>
                </w:p>
              </w:tc>
              <w:tc>
                <w:tcPr>
                  <w:tcW w:w="1242" w:type="pct"/>
                  <w:tcBorders>
                    <w:right w:val="single" w:color="000000" w:sz="4" w:space="0"/>
                  </w:tcBorders>
                  <w:vAlign w:val="center"/>
                </w:tcPr>
                <w:p w14:paraId="7F67245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1.2</w:t>
                  </w:r>
                  <w:r>
                    <w:rPr>
                      <w:rFonts w:hint="default" w:ascii="Times New Roman" w:hAnsi="Times New Roman" w:eastAsia="宋体" w:cs="Times New Roman"/>
                      <w:color w:val="000000" w:themeColor="text1"/>
                      <w:sz w:val="21"/>
                      <w:szCs w:val="21"/>
                      <w:lang w:eastAsia="zh-CN"/>
                      <w14:textFill>
                        <w14:solidFill>
                          <w14:schemeClr w14:val="tx1"/>
                        </w14:solidFill>
                      </w14:textFill>
                    </w:rPr>
                    <w:t>kg</w:t>
                  </w: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/万</w:t>
                  </w:r>
                  <w:r>
                    <w:rPr>
                      <w:rFonts w:hint="default" w:ascii="Times New Roman" w:hAnsi="Times New Roman" w:eastAsia="宋体" w:cs="Times New Roman"/>
                      <w:color w:val="000000" w:themeColor="text1"/>
                      <w:sz w:val="24"/>
                      <w:szCs w:val="24"/>
                      <w:lang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伴生气</w:t>
                  </w:r>
                </w:p>
              </w:tc>
            </w:tr>
            <w:tr w14:paraId="5EE6E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539" w:type="pct"/>
                  <w:vAlign w:val="center"/>
                </w:tcPr>
                <w:p w14:paraId="3DFB68B1">
                  <w:pPr>
                    <w:pStyle w:val="22"/>
                    <w:kinsoku/>
                    <w:spacing w:before="74" w:line="221"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大气污染物排放量</w:t>
                  </w:r>
                </w:p>
              </w:tc>
              <w:tc>
                <w:tcPr>
                  <w:tcW w:w="1010" w:type="pct"/>
                  <w:vAlign w:val="center"/>
                </w:tcPr>
                <w:p w14:paraId="70EC3134">
                  <w:pPr>
                    <w:kinsoku/>
                    <w:spacing w:before="108" w:line="199"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7.5×2（</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lang w:eastAsia="zh-CN"/>
                      <w14:textFill>
                        <w14:solidFill>
                          <w14:schemeClr w14:val="tx1"/>
                        </w14:solidFill>
                      </w14:textFill>
                    </w:rPr>
                    <w:t>）</w:t>
                  </w:r>
                </w:p>
              </w:tc>
              <w:tc>
                <w:tcPr>
                  <w:tcW w:w="1207" w:type="pct"/>
                  <w:vAlign w:val="center"/>
                </w:tcPr>
                <w:p w14:paraId="30288F1A">
                  <w:pPr>
                    <w:kinsoku/>
                    <w:spacing w:before="112"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3"/>
                      <w:lang w:eastAsia="zh-CN"/>
                      <w14:textFill>
                        <w14:solidFill>
                          <w14:schemeClr w14:val="tx1"/>
                        </w14:solidFill>
                      </w14:textFill>
                    </w:rPr>
                    <w:t>0.014</w:t>
                  </w:r>
                  <w:r>
                    <w:rPr>
                      <w:rFonts w:hint="default" w:ascii="Times New Roman" w:hAnsi="Times New Roman" w:eastAsia="宋体" w:cs="Times New Roman"/>
                      <w:color w:val="000000" w:themeColor="text1"/>
                      <w:spacing w:val="7"/>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kg</w:t>
                  </w:r>
                  <w:r>
                    <w:rPr>
                      <w:rFonts w:hint="default" w:ascii="Times New Roman" w:hAnsi="Times New Roman" w:eastAsia="宋体" w:cs="Times New Roman"/>
                      <w:color w:val="000000" w:themeColor="text1"/>
                      <w:spacing w:val="7"/>
                      <w:lang w:eastAsia="zh-CN"/>
                      <w14:textFill>
                        <w14:solidFill>
                          <w14:schemeClr w14:val="tx1"/>
                        </w14:solidFill>
                      </w14:textFill>
                    </w:rPr>
                    <w:t>）</w:t>
                  </w:r>
                </w:p>
              </w:tc>
              <w:tc>
                <w:tcPr>
                  <w:tcW w:w="1242" w:type="pct"/>
                  <w:tcBorders>
                    <w:right w:val="single" w:color="000000" w:sz="4" w:space="0"/>
                  </w:tcBorders>
                  <w:vAlign w:val="center"/>
                </w:tcPr>
                <w:p w14:paraId="1F06B1FD">
                  <w:pPr>
                    <w:kinsoku/>
                    <w:spacing w:before="112"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lang w:eastAsia="zh-CN"/>
                      <w14:textFill>
                        <w14:solidFill>
                          <w14:schemeClr w14:val="tx1"/>
                        </w14:solidFill>
                      </w14:textFill>
                    </w:rPr>
                    <w:t>0.0018</w:t>
                  </w:r>
                  <w:r>
                    <w:rPr>
                      <w:rFonts w:hint="default" w:ascii="Times New Roman" w:hAnsi="Times New Roman" w:eastAsia="宋体" w:cs="Times New Roman"/>
                      <w:color w:val="000000" w:themeColor="text1"/>
                      <w:spacing w:val="7"/>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kg</w:t>
                  </w:r>
                  <w:r>
                    <w:rPr>
                      <w:rFonts w:hint="default" w:ascii="Times New Roman" w:hAnsi="Times New Roman" w:eastAsia="宋体" w:cs="Times New Roman"/>
                      <w:color w:val="000000" w:themeColor="text1"/>
                      <w:spacing w:val="7"/>
                      <w:lang w:eastAsia="zh-CN"/>
                      <w14:textFill>
                        <w14:solidFill>
                          <w14:schemeClr w14:val="tx1"/>
                        </w14:solidFill>
                      </w14:textFill>
                    </w:rPr>
                    <w:t>）</w:t>
                  </w:r>
                </w:p>
              </w:tc>
            </w:tr>
          </w:tbl>
          <w:p w14:paraId="5C13C5A0">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p>
          <w:p w14:paraId="7D917E36">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根据表4-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，整个试油周期燃放产生氮氧化物0.014kg，产生颗粒物0.0018kg；根据周边探井试油情况推断，本项目伴生气产生量较少，符合《陆上石油天然气开采工业大气污染物排放标准》（GB 39728—2020）中规定的其他排放控制要求。由于伴生气放空燃烧属短期排放且产生量较少，因此伴生气燃烧废气对环境的影响可以接受。</w:t>
            </w:r>
          </w:p>
          <w:p w14:paraId="51A3DDD2">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（5）采出液储存及装车过程的无组织废气</w:t>
            </w:r>
          </w:p>
          <w:p w14:paraId="1681930A">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试油期产生的采出液暂存于地面储罐，由罐车定期拉运至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吉康</w:t>
            </w:r>
            <w:r>
              <w:rPr>
                <w:rFonts w:hint="default" w:ascii="Times New Roman" w:hAnsi="Times New Roman" w:eastAsia="宋体" w:cs="Times New Roman"/>
                <w:color w:val="000000" w:themeColor="text1"/>
                <w:sz w:val="24"/>
                <w:szCs w:val="24"/>
                <w:lang w:eastAsia="zh-CN"/>
                <w14:textFill>
                  <w14:solidFill>
                    <w14:schemeClr w14:val="tx1"/>
                  </w14:solidFill>
                </w14:textFill>
              </w:rPr>
              <w:t>脱水站处理，采出液在储存及装车过程中会产生无组织挥发烃类（以非甲烷总烃计）和硫化氢。本项目主要为探明区域油藏含油气性及规模，试油过程不确定性大，试油阶段采出液产生情况无法确定，且采出液装载仅在试油期进行，随试油期结束而停止产生；项目周边地域空旷、扩散条件良好；试油期采出液储存及装车过程产生的无组织非甲烷总烃应符合《陆上石油天然气开采工业大气污染物排放标准》（GB39728-2020）中相关标准限值要求，硫化氢排放浓度应满足《恶臭污染物排放标准》（GB14554-93）表1二级新改扩建浓度要求，不会对区域环境产生较大影响。</w:t>
            </w:r>
          </w:p>
          <w:p w14:paraId="03F2A0A2">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（6）柴油卸车及储存无组织废气</w:t>
            </w:r>
          </w:p>
          <w:p w14:paraId="0E090A99">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钻井</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井场</w:t>
            </w:r>
            <w:r>
              <w:rPr>
                <w:rFonts w:hint="default" w:ascii="Times New Roman" w:hAnsi="Times New Roman" w:eastAsia="宋体" w:cs="Times New Roman"/>
                <w:color w:val="000000" w:themeColor="text1"/>
                <w:sz w:val="24"/>
                <w:szCs w:val="24"/>
                <w:lang w:eastAsia="zh-CN"/>
                <w14:textFill>
                  <w14:solidFill>
                    <w14:schemeClr w14:val="tx1"/>
                  </w14:solidFill>
                </w14:textFill>
              </w:rPr>
              <w:t>设1座柴油罐，为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卧式罐</w:t>
            </w:r>
            <w:r>
              <w:rPr>
                <w:rFonts w:hint="default" w:ascii="Times New Roman" w:hAnsi="Times New Roman" w:eastAsia="宋体" w:cs="Times New Roman"/>
                <w:color w:val="000000" w:themeColor="text1"/>
                <w:sz w:val="24"/>
                <w:szCs w:val="24"/>
                <w:lang w:eastAsia="zh-CN"/>
                <w14:textFill>
                  <w14:solidFill>
                    <w14:schemeClr w14:val="tx1"/>
                  </w14:solidFill>
                </w14:textFill>
              </w:rPr>
              <w:t>，外购柴油由罐车拉运至井场后暂存于储罐内，最大贮存量约20t。柴油卸车及临时贮存时会产生一定的无组织挥发性废气，由于柴油周转量较小，真实蒸气压较低，挥发性低，由柴油卸车及储罐临时储存产生的挥发性废气量较小，不会对周围大气环境产生明显不利影响。对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吐哈油田</w:t>
            </w:r>
            <w:r>
              <w:rPr>
                <w:rFonts w:hint="default" w:ascii="Times New Roman" w:hAnsi="Times New Roman" w:eastAsia="宋体" w:cs="Times New Roman"/>
                <w:color w:val="000000" w:themeColor="text1"/>
                <w:sz w:val="24"/>
                <w:szCs w:val="24"/>
                <w:lang w:eastAsia="zh-CN"/>
                <w14:textFill>
                  <w14:solidFill>
                    <w14:schemeClr w14:val="tx1"/>
                  </w14:solidFill>
                </w14:textFill>
              </w:rPr>
              <w:t>其他类似钻井井场，井场场界外非甲烷总烃的浓度应低于《陆上石油天然气开采工业大气污染物排放标准》（GB39728-2020）周界外无组织排放浓度限值4.0mg/m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的要求。</w:t>
            </w:r>
          </w:p>
          <w:p w14:paraId="0BE83559">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（7）钻井岩屑暂存扬尘</w:t>
            </w:r>
          </w:p>
          <w:p w14:paraId="66535FC9">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本项目钻井过程中产生的钻井岩屑在井场设置的岩屑罐中暂存，采取防渗、防雨及封闭措施。根据设计资料，岩屑含水率较高，整体产量有限，岩屑粒径细、湿度大，自然扬尘能力弱。</w:t>
            </w:r>
          </w:p>
          <w:p w14:paraId="278E94A9">
            <w:pPr>
              <w:widowControl w:val="0"/>
              <w:kinsoku/>
              <w:spacing w:line="360" w:lineRule="auto"/>
              <w:ind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井场在岩屑暂存过程中配套实施加盖、密闭转运等抑尘措施，并确保及时清运至指定处置单位处理。钻井岩屑暂存期间的扬尘产生量较小，作用时间短、空间影响范围有限。整体来看，钻井岩屑暂存对项目周边大气环境的影响较轻微，不会造成明显不利影响。</w:t>
            </w:r>
          </w:p>
          <w:p w14:paraId="23E9EDCA">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（8）试油过程中伴生气中可能含有少量的硫化氢</w:t>
            </w:r>
          </w:p>
          <w:p w14:paraId="6054226B">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为油气矿产资源勘查，不确定油气藏中是否含硫化氢，按不利因素考虑，在试油过程中伴生气中可能含有少量的硫化氢，试油过程中可能通过阀门、法兰等连接件有少量的硫化氢逸散，井场配备有硫化氢监测仪，试油过程中伴生气主要通过排气管线燃烧放空，项目周围无大气环境保护目标，且地域空旷、扩散条件较好，不会对周围环境产生不利影响。</w:t>
            </w:r>
          </w:p>
          <w:p w14:paraId="16B93A04">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（9）锅炉废气影响</w:t>
            </w:r>
          </w:p>
          <w:p w14:paraId="44C7ADB4">
            <w:pPr>
              <w:widowControl w:val="0"/>
              <w:kinsoku/>
              <w:spacing w:line="360" w:lineRule="auto"/>
              <w:ind w:firstLine="480" w:firstLineChars="20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本项目生产过程中产生的废气主要有锅炉废气、锅炉清灰粉尘及贮存粉尘等，根据建设单位提供资料，锅炉将使用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适当</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废气治理措施</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，保证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治理</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效果，锅炉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排放浓度可满足《锅炉大气污染物排放标准》（GB13271-2014）中表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气</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锅炉排放限值。具体排放量如下：</w:t>
            </w:r>
          </w:p>
          <w:p w14:paraId="46FAB1B5">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锅炉拟采用生物质成型燃料为燃料，平均低位发热值16.11MJ/kg，根据建设单位提供资料2.5t/h的生物质锅炉每天使用燃料7.5t/d，按最不利情况下锅炉运行60d计算，共需使用燃料450t。</w:t>
            </w:r>
          </w:p>
          <w:p w14:paraId="1A8053DC">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lang w:eastAsia="zh-CN" w:bidi="ar"/>
                <w14:textFill>
                  <w14:solidFill>
                    <w14:schemeClr w14:val="tx1"/>
                  </w14:solidFill>
                </w14:textFill>
              </w:rPr>
              <w:t>标干烟气量：</w:t>
            </w:r>
          </w:p>
          <w:p w14:paraId="481DD000">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t>根据《排污许可证申请与核发技术规范  锅炉》（HJ953-2018），固体燃料燃烧所需的烟气量采用下式进行计算：</w:t>
            </w:r>
          </w:p>
          <w:p w14:paraId="3AC168DE">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t>Vgy=0.393Qnet,ar+0.876（Qnet,ar≥12.54MJ/kg，Vdaf≥15%）</w:t>
            </w:r>
          </w:p>
          <w:p w14:paraId="28E0D076">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t>式中：Vgy—基准烟气量</w:t>
            </w: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，（标m</w:t>
            </w:r>
            <w:r>
              <w:rPr>
                <w:rFonts w:hint="default" w:ascii="Times New Roman" w:hAnsi="Times New Roman" w:eastAsia="宋体" w:cs="Times New Roman"/>
                <w:snapToGrid/>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/kg）</w:t>
            </w:r>
          </w:p>
          <w:p w14:paraId="53AA011A">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Qnet,ar—燃料的低位发热值，MJ/kg，拟建项目燃料热值16.11MJ/kg；</w:t>
            </w:r>
          </w:p>
          <w:p w14:paraId="3BF9322A">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根据上面计算得出2.5t/h的生物质锅炉的烟气量产生系数为7.20723Nm</w:t>
            </w:r>
            <w:r>
              <w:rPr>
                <w:rFonts w:hint="default" w:ascii="Times New Roman" w:hAnsi="Times New Roman" w:eastAsia="宋体" w:cs="Times New Roman"/>
                <w:snapToGrid/>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/kg－燃料。则2.5t/h的锅炉废气产生量为3243253.5Nm</w:t>
            </w:r>
            <w:r>
              <w:rPr>
                <w:rFonts w:hint="default" w:ascii="Times New Roman" w:hAnsi="Times New Roman" w:eastAsia="宋体" w:cs="Times New Roman"/>
                <w:snapToGrid/>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w:t>
            </w:r>
          </w:p>
          <w:bookmarkEnd w:id="19"/>
          <w:p w14:paraId="2EEC46F4">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颗粒物排放量：</w:t>
            </w:r>
          </w:p>
          <w:p w14:paraId="65058DB6">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参考《排放源统计调查产排污核算方法和系数手册》中4430工业锅炉（热力供应）行业系数手册，生物质锅炉颗粒物产污系数为</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37.6</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千克/吨-原料，则本项目锅炉颗粒物产生量为</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16.92</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t/a，采用</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水幕预除尘+</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耐高温布袋除尘器，</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水幕预除尘效率按87%计，</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除尘效率按 99.7% 计，则本项目颗粒物排放量为</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0.0066</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t/a</w:t>
            </w: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单台锅炉颗粒物排放浓度为2.03mg/Nm</w:t>
            </w:r>
            <w:r>
              <w:rPr>
                <w:rFonts w:hint="eastAsia" w:ascii="Times New Roman" w:hAnsi="Times New Roman" w:eastAsia="宋体" w:cs="Times New Roman"/>
                <w:snapToGrid/>
                <w:color w:val="000000" w:themeColor="text1"/>
                <w:kern w:val="2"/>
                <w:sz w:val="24"/>
                <w:szCs w:val="24"/>
                <w:highlight w:val="none"/>
                <w:vertAlign w:val="superscript"/>
                <w:lang w:val="en-US" w:eastAsia="zh-CN"/>
                <w14:textFill>
                  <w14:solidFill>
                    <w14:schemeClr w14:val="tx1"/>
                  </w14:solidFill>
                </w14:textFill>
              </w:rPr>
              <w:t>3</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p>
          <w:p w14:paraId="73C570AC">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二氧化硫排放量：</w:t>
            </w:r>
          </w:p>
          <w:p w14:paraId="394F1309">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参考《排放源统计调查产排污核算方法和系数手册》中4430工业锅炉（热力供应）行业系数手册，生物质锅炉二氧化硫产污系数为17S</w:t>
            </w:r>
            <w:r>
              <w:rPr>
                <w:rFonts w:ascii="Cambria Math" w:hAnsi="Cambria Math" w:eastAsia="宋体" w:cs="Cambria Math"/>
                <w:snapToGrid/>
                <w:color w:val="000000" w:themeColor="text1"/>
                <w:kern w:val="2"/>
                <w:sz w:val="24"/>
                <w:szCs w:val="24"/>
                <w:highlight w:val="none"/>
                <w:vertAlign w:val="superscript"/>
                <w:lang w:eastAsia="zh-CN"/>
                <w14:textFill>
                  <w14:solidFill>
                    <w14:schemeClr w14:val="tx1"/>
                  </w14:solidFill>
                </w14:textFill>
              </w:rPr>
              <w:t>①</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千克/吨-原料（根据组分报告本项目取0.022），则本项目锅炉二氧化硫产生量为0.</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169</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t/a，</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参考燃煤锅炉使用湿法除尘对二氧化硫的去除效率为15%，本项目使用水幕除尘器对颗粒物进行除尘，则本项目二氧化硫的排放量为0.143</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t/a</w:t>
            </w: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单台锅炉</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二氧化硫</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排放浓度为44.1mg/Nm</w:t>
            </w:r>
            <w:r>
              <w:rPr>
                <w:rFonts w:hint="eastAsia" w:ascii="Times New Roman" w:hAnsi="Times New Roman" w:eastAsia="宋体" w:cs="Times New Roman"/>
                <w:snapToGrid/>
                <w:color w:val="000000" w:themeColor="text1"/>
                <w:kern w:val="2"/>
                <w:sz w:val="24"/>
                <w:szCs w:val="24"/>
                <w:highlight w:val="none"/>
                <w:vertAlign w:val="superscript"/>
                <w:lang w:val="en-US" w:eastAsia="zh-CN"/>
                <w14:textFill>
                  <w14:solidFill>
                    <w14:schemeClr w14:val="tx1"/>
                  </w14:solidFill>
                </w14:textFill>
              </w:rPr>
              <w:t>3</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p>
          <w:p w14:paraId="2997092A">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氮氧化物的排放量：</w:t>
            </w:r>
          </w:p>
          <w:p w14:paraId="3F2E5D24">
            <w:pPr>
              <w:pStyle w:val="20"/>
              <w:widowControl w:val="0"/>
              <w:spacing w:line="360" w:lineRule="auto"/>
              <w:jc w:val="both"/>
              <w:rPr>
                <w:rFonts w:hint="default"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参考《排放源统计调查产排污核算方法和系数手册》中4430工业锅炉（热力供应）行业系数手册，生物质锅炉NOx产污系数为1.02kg/t-原料，则本项目锅炉氮氧化物锅炉氮氧化物产生量为0.459t/a，本项目锅炉采用低氮燃烧技术（风配优化、分级燃烧），通过一次风控制炉排燃烧温度，二次风作为还原性风源进入，在炉膛内形成分段空气供应。这一工艺能有效降低燃烧中心温度，抑制“热力型”NOx的生成，同时在还原性气氛中抑制燃料氮向“燃料型”NOx 的转化</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氮氧化物减排幅度按照30%计，则本项目的氮氧化物排放量为0.3213t</w:t>
            </w:r>
            <w:r>
              <w:rPr>
                <w:rFonts w:hint="default"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/a，</w:t>
            </w: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氮氧化物排放浓度为99.06mg/Nm</w:t>
            </w:r>
            <w:r>
              <w:rPr>
                <w:rFonts w:hint="default" w:ascii="Times New Roman" w:hAnsi="Times New Roman" w:eastAsia="宋体" w:cs="Times New Roman"/>
                <w:snapToGrid/>
                <w:color w:val="000000" w:themeColor="text1"/>
                <w:kern w:val="2"/>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p>
          <w:p w14:paraId="78E86165">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非正常工况排放说明</w:t>
            </w:r>
            <w:r>
              <w:rPr>
                <w:rFonts w:hint="eastAsia"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w:t>
            </w:r>
          </w:p>
          <w:p w14:paraId="188D965D">
            <w:pPr>
              <w:pStyle w:val="20"/>
              <w:widowControl w:val="0"/>
              <w:spacing w:line="360" w:lineRule="auto"/>
              <w:jc w:val="both"/>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工况特征：在锅炉启动（点火）和停炉阶段，因燃烧不稳定且治污设施未达到最佳温度，颗粒物及不完全燃烧产生的挥发物浓度会短时波动。</w:t>
            </w:r>
          </w:p>
          <w:p w14:paraId="547786CA">
            <w:pPr>
              <w:pStyle w:val="20"/>
              <w:widowControl w:val="0"/>
              <w:spacing w:line="360" w:lineRule="auto"/>
              <w:jc w:val="both"/>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管理要求：应先开启除尘系统再进行点火作业；治污设施故障时（如布袋破损、水泵故障），必须立即停止供料并进行紧急停炉，严禁废气直排。</w:t>
            </w:r>
          </w:p>
          <w:p w14:paraId="1920F246">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本项目新建生物质锅炉拟设置1根30m高排气筒</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，在采取上述措施后</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并通过30m高排气筒排放后</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锅炉</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废气中的颗粒物、二氧化硫以及氮氧化物</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排放浓度可满足《锅炉大气污染物排放标准》（GB13271-2014）中表</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3燃气</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锅炉排放限值</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，依据</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关于促进生物质能供热发展的指导意见</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，本项目达到了生物质供热项目向燃气锅炉排放水平</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看齐的环保目标，对区域大气环境影响较小。</w:t>
            </w:r>
          </w:p>
          <w:p w14:paraId="126B8FFC">
            <w:pPr>
              <w:widowControl w:val="0"/>
              <w:numPr>
                <w:ilvl w:val="0"/>
                <w:numId w:val="10"/>
              </w:numPr>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油基岩屑暂存过程无组织非甲烷总烃影响分析 </w:t>
            </w:r>
          </w:p>
          <w:p w14:paraId="7D7D3616">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本项目二开阶段使用油基钻井液，产生的油基岩屑中含有一定量的基础油（如柴油、白油等）。在井场临时暂存过程中，基础油的微量挥发会产生无组织的挥发性有机物（以非甲烷总烃计）。 针对该污染源，本工程严格落实危险废物管理要求，油基岩屑经固控设备分离后，直接落入密闭防渗的专用岩屑方罐内暂存，严禁露天散堆，并实施“日产日清”或高频次及时转运策略。由于基础油本身常温下挥发性相对较弱，且暂存容器处于密闭状态，切断了废气大面积逸散的途径；加之项目所在区域地形开阔、大气扩散条件良好，油基岩屑暂存产生的非甲烷总烃无组织排放量极小。井场周界外非甲烷总烃浓度能够稳定满足《陆上石油天然气开采工业大气污染物排放标准》（GB39728-2020）中规定的无组织排放限值（4.0mg/m³）要求，对周边大气环境影响轻微。</w:t>
            </w:r>
          </w:p>
          <w:p w14:paraId="1BD7EEFD">
            <w:pPr>
              <w:widowControl w:val="0"/>
              <w:numPr>
                <w:ilvl w:val="0"/>
                <w:numId w:val="10"/>
              </w:numPr>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大气污染物估算模型预测及对100m外耕地影响分析 </w:t>
            </w:r>
          </w:p>
          <w:p w14:paraId="5B4FAEEB">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根据《环境影响评价技术导则 大气环境》（HJ2.2-2018），本次评价采用导则推荐的AERSCREEN估算模型，针对本项目主要无组织排放源（施工扬尘）及有组织排放源（试油期伴生气燃烧），量化预测其对周边100m处环境保护目标（耕地）的浓度贡献值，以验证其环境影响是否可接受。</w:t>
            </w:r>
          </w:p>
          <w:p w14:paraId="6A7F7AC7">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① 预测参数及源强设定：</w:t>
            </w:r>
          </w:p>
          <w:p w14:paraId="56EEEB89">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施工扬尘（无组织面源）：按最不利工况，设定整个井场及临时占地为无组织面源（面积约18020m²），排放有效高度取2m。在严格落实洒水、遮盖等抑尘措施后，颗粒物（以TSP计）最大无组织排放源强按 0.15 kg/h 进行估算。</w:t>
            </w:r>
          </w:p>
          <w:p w14:paraId="76D8B7CC">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伴生气燃烧（有组织点源）：试油放喷伴生气通过排气管线点火燃烧。设定排气筒（放喷管线点火点）有效高度10m，烟气温度按1000K计。根据前文源强核算，放喷（15min）产生NOx为0.014kg、颗粒物为0.0018kg，折算最大小时排放速率分别为：NOx 0.056 kg/h，颗粒物 0.0072 kg/h。</w:t>
            </w:r>
          </w:p>
          <w:p w14:paraId="54B15BCF">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② 模型预测结果与达标分析：以井场为中心，重点考察距井场边界约 100m 处的保护目标（耕地）的大气污染物落地浓度。预测结果见表4-</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0D811719">
            <w:pPr>
              <w:widowControl w:val="0"/>
              <w:kinsoku/>
              <w:spacing w:before="120" w:beforeLines="50" w:line="360" w:lineRule="auto"/>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表4-</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lang w:eastAsia="zh-CN"/>
                <w14:textFill>
                  <w14:solidFill>
                    <w14:schemeClr w14:val="tx1"/>
                  </w14:solidFill>
                </w14:textFill>
              </w:rPr>
              <w:t xml:space="preserve"> 估算模型预测结果及对100m外耕地贡献值一览表</w:t>
            </w:r>
          </w:p>
          <w:tbl>
            <w:tblPr>
              <w:tblStyle w:val="17"/>
              <w:tblW w:w="8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622"/>
              <w:gridCol w:w="2296"/>
              <w:gridCol w:w="2663"/>
              <w:gridCol w:w="955"/>
            </w:tblGrid>
            <w:tr w14:paraId="2FF3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63" w:type="pct"/>
                  <w:vAlign w:val="center"/>
                </w:tcPr>
                <w:p w14:paraId="226CA0EA">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污染源</w:t>
                  </w:r>
                </w:p>
              </w:tc>
              <w:tc>
                <w:tcPr>
                  <w:tcW w:w="384" w:type="pct"/>
                  <w:vAlign w:val="center"/>
                </w:tcPr>
                <w:p w14:paraId="13B49E71">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污染物</w:t>
                  </w:r>
                </w:p>
              </w:tc>
              <w:tc>
                <w:tcPr>
                  <w:tcW w:w="1417" w:type="pct"/>
                  <w:vAlign w:val="center"/>
                </w:tcPr>
                <w:p w14:paraId="45B41718">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下风向100m处（耕地）最大浓度贡献值 (μg/m³)</w:t>
                  </w:r>
                </w:p>
              </w:tc>
              <w:tc>
                <w:tcPr>
                  <w:tcW w:w="1643" w:type="pct"/>
                  <w:vAlign w:val="center"/>
                </w:tcPr>
                <w:p w14:paraId="5D7D75FA">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《环境空气质量标准》(GB3095-20</w:t>
                  </w:r>
                  <w:r>
                    <w:rPr>
                      <w:rFonts w:hint="eastAsia"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26</w:t>
                  </w: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 二级标准限值</w:t>
                  </w:r>
                </w:p>
              </w:tc>
              <w:tc>
                <w:tcPr>
                  <w:tcW w:w="589" w:type="pct"/>
                  <w:vAlign w:val="center"/>
                </w:tcPr>
                <w:p w14:paraId="73BEE840">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占标率 (Pᵢ)</w:t>
                  </w:r>
                </w:p>
              </w:tc>
            </w:tr>
            <w:tr w14:paraId="636A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963" w:type="pct"/>
                  <w:vAlign w:val="center"/>
                </w:tcPr>
                <w:p w14:paraId="1D400AF9">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施工场地（无组织面源）</w:t>
                  </w:r>
                </w:p>
              </w:tc>
              <w:tc>
                <w:tcPr>
                  <w:tcW w:w="384" w:type="pct"/>
                  <w:vAlign w:val="center"/>
                </w:tcPr>
                <w:p w14:paraId="58E68C0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TSP</w:t>
                  </w:r>
                </w:p>
              </w:tc>
              <w:tc>
                <w:tcPr>
                  <w:tcW w:w="1417" w:type="pct"/>
                  <w:vAlign w:val="center"/>
                </w:tcPr>
                <w:p w14:paraId="1075FE4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24.5</w:t>
                  </w:r>
                </w:p>
              </w:tc>
              <w:tc>
                <w:tcPr>
                  <w:tcW w:w="1643" w:type="pct"/>
                  <w:vAlign w:val="center"/>
                </w:tcPr>
                <w:p w14:paraId="045D419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300μg/m³</w:t>
                  </w:r>
                </w:p>
              </w:tc>
              <w:tc>
                <w:tcPr>
                  <w:tcW w:w="589" w:type="pct"/>
                  <w:vAlign w:val="center"/>
                </w:tcPr>
                <w:p w14:paraId="72135927">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8.16%</w:t>
                  </w:r>
                </w:p>
              </w:tc>
            </w:tr>
            <w:tr w14:paraId="1C82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63" w:type="pct"/>
                  <w:vAlign w:val="center"/>
                </w:tcPr>
                <w:p w14:paraId="0C711346">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伴生气放空（点火点源）</w:t>
                  </w:r>
                </w:p>
              </w:tc>
              <w:tc>
                <w:tcPr>
                  <w:tcW w:w="384" w:type="pct"/>
                  <w:vAlign w:val="center"/>
                </w:tcPr>
                <w:p w14:paraId="502C9AD5">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NO₂</w:t>
                  </w:r>
                </w:p>
              </w:tc>
              <w:tc>
                <w:tcPr>
                  <w:tcW w:w="1417" w:type="pct"/>
                  <w:vAlign w:val="center"/>
                </w:tcPr>
                <w:p w14:paraId="5BD5B728">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1.82</w:t>
                  </w:r>
                </w:p>
              </w:tc>
              <w:tc>
                <w:tcPr>
                  <w:tcW w:w="1643" w:type="pct"/>
                  <w:vAlign w:val="center"/>
                </w:tcPr>
                <w:p w14:paraId="3D3D2A00">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200μg/m³</w:t>
                  </w:r>
                </w:p>
              </w:tc>
              <w:tc>
                <w:tcPr>
                  <w:tcW w:w="589" w:type="pct"/>
                  <w:vAlign w:val="center"/>
                </w:tcPr>
                <w:p w14:paraId="348B56E4">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0.91%</w:t>
                  </w:r>
                </w:p>
              </w:tc>
            </w:tr>
            <w:tr w14:paraId="3732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3" w:type="pct"/>
                  <w:vAlign w:val="center"/>
                </w:tcPr>
                <w:p w14:paraId="7F34AF95">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伴生气放空（点火点源）</w:t>
                  </w:r>
                </w:p>
              </w:tc>
              <w:tc>
                <w:tcPr>
                  <w:tcW w:w="384" w:type="pct"/>
                  <w:vAlign w:val="center"/>
                </w:tcPr>
                <w:p w14:paraId="2967D6EB">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PM₁₀</w:t>
                  </w:r>
                </w:p>
              </w:tc>
              <w:tc>
                <w:tcPr>
                  <w:tcW w:w="1417" w:type="pct"/>
                  <w:vAlign w:val="center"/>
                </w:tcPr>
                <w:p w14:paraId="484BDAEA">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0.25</w:t>
                  </w:r>
                </w:p>
              </w:tc>
              <w:tc>
                <w:tcPr>
                  <w:tcW w:w="1643" w:type="pct"/>
                  <w:vAlign w:val="center"/>
                </w:tcPr>
                <w:p w14:paraId="034D49A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20</w:t>
                  </w: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μg/m³</w:t>
                  </w:r>
                </w:p>
              </w:tc>
              <w:tc>
                <w:tcPr>
                  <w:tcW w:w="589" w:type="pct"/>
                  <w:vAlign w:val="center"/>
                </w:tcPr>
                <w:p w14:paraId="01AA813B">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0.17%</w:t>
                  </w:r>
                </w:p>
              </w:tc>
            </w:tr>
          </w:tbl>
          <w:p w14:paraId="6BA47381">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由HJ2.2-2018推荐的AERSCREEN估算模型预测结果可知：在最不利气象条件下，施工期场地扬尘及试油期伴生气燃烧废气经过大气扩散后，在下风向100m处的耕地所在位置，TSP、NO₂、PM₁₀ 的最大落地浓度贡献值均极小（分别为24.50 μg/m³、1.82 μg/m³、0.25 μg/m³），各项污染物的最大占标率仅为8.16%，远低于10%。</w:t>
            </w:r>
            <w:r>
              <w:rPr>
                <w:rFonts w:ascii="宋体" w:hAnsi="宋体" w:eastAsia="宋体" w:cs="宋体"/>
                <w:color w:val="000000" w:themeColor="text1"/>
                <w:sz w:val="24"/>
                <w:szCs w:val="24"/>
                <w14:textFill>
                  <w14:solidFill>
                    <w14:schemeClr w14:val="tx1"/>
                  </w14:solidFill>
                </w14:textFill>
              </w:rPr>
              <w:t>项目施工及试油放喷产生的大气污染物不会对周边100m外农作物的正常生长及耕地生态环境造成污染影响。</w:t>
            </w:r>
          </w:p>
          <w:p w14:paraId="0C9211F3">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综上所述，施工期间产生的废气对大气环境影响不大。</w:t>
            </w:r>
          </w:p>
          <w:p w14:paraId="75F7B351">
            <w:pPr>
              <w:pStyle w:val="22"/>
              <w:widowControl w:val="0"/>
              <w:kinsoku/>
              <w:spacing w:before="1" w:line="360" w:lineRule="auto"/>
              <w:ind w:left="2"/>
              <w:jc w:val="both"/>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4"/>
                <w:szCs w:val="24"/>
                <w:highlight w:val="none"/>
                <w:lang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.施工期水环境影响分析</w:t>
            </w:r>
          </w:p>
          <w:p w14:paraId="3AA7295B">
            <w:pPr>
              <w:pStyle w:val="22"/>
              <w:widowControl w:val="0"/>
              <w:kinsoku/>
              <w:spacing w:before="1" w:line="360" w:lineRule="auto"/>
              <w:jc w:val="both"/>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4.1井下作业废水（洗井废水）和压裂返排液</w:t>
            </w:r>
          </w:p>
          <w:p w14:paraId="39EA5682">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试油废水主要包括井下作</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业废水和压裂返排液，根据项目水平衡章节可知，</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废压裂液产生量为3</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000m</w:t>
            </w:r>
            <w:r>
              <w:rPr>
                <w:rFonts w:hint="default" w:ascii="Times New Roman" w:hAnsi="Times New Roman" w:eastAsia="宋体" w:cs="Times New Roman"/>
                <w:color w:val="000000" w:themeColor="text1"/>
                <w:spacing w:val="-3"/>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，洗井废</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水产生量为</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150</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，主要污染物为悬浮物和石油类；洗井废水和压裂返排液均拉运到</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吉康</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脱水站并处理达标后，全部回注油藏</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，不外排，</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底泥依托</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脱水站危废暂存间暂存，委托有危废处置资质的单位进行处置。</w:t>
            </w:r>
          </w:p>
          <w:p w14:paraId="6E0599E2">
            <w:pPr>
              <w:pStyle w:val="22"/>
              <w:widowControl w:val="0"/>
              <w:kinsoku/>
              <w:spacing w:line="219" w:lineRule="auto"/>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3"/>
                <w:sz w:val="24"/>
                <w:szCs w:val="24"/>
                <w:highlight w:val="none"/>
                <w:lang w:eastAsia="zh-CN"/>
                <w14:textFill>
                  <w14:solidFill>
                    <w14:schemeClr w14:val="tx1"/>
                  </w14:solidFill>
                </w14:textFill>
              </w:rPr>
              <w:t>4.2生活污水</w:t>
            </w:r>
          </w:p>
          <w:p w14:paraId="67ED5914">
            <w:pPr>
              <w:pStyle w:val="22"/>
              <w:widowControl w:val="0"/>
              <w:kinsoku/>
              <w:spacing w:before="182" w:line="359" w:lineRule="auto"/>
              <w:ind w:left="5" w:right="4" w:firstLine="477"/>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本项目生活污水产生量约为</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576</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，主要污染物浓度分别为化学需氧量（COD）350mg/L、氨氮（NH</w:t>
            </w:r>
            <w:r>
              <w:rPr>
                <w:rFonts w:hint="default" w:ascii="Times New Roman" w:hAnsi="Times New Roman" w:eastAsia="宋体" w:cs="Times New Roman"/>
                <w:color w:val="000000" w:themeColor="text1"/>
                <w:spacing w:val="-2"/>
                <w:sz w:val="24"/>
                <w:szCs w:val="24"/>
                <w:highlight w:val="none"/>
                <w:vertAlign w:val="sub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-N）30mg/L、悬浮物（SS）200mg/L，则污染物产生量COD：0.12t、NH</w:t>
            </w:r>
            <w:r>
              <w:rPr>
                <w:rFonts w:hint="default" w:ascii="Times New Roman" w:hAnsi="Times New Roman" w:eastAsia="宋体" w:cs="Times New Roman"/>
                <w:color w:val="000000" w:themeColor="text1"/>
                <w:spacing w:val="-2"/>
                <w:sz w:val="24"/>
                <w:szCs w:val="24"/>
                <w:highlight w:val="none"/>
                <w:vertAlign w:val="sub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-N：0.01t、SS：0.069t。</w:t>
            </w:r>
          </w:p>
          <w:p w14:paraId="177F3659">
            <w:pPr>
              <w:pStyle w:val="22"/>
              <w:widowControl w:val="0"/>
              <w:kinsoku/>
              <w:spacing w:before="36" w:line="360" w:lineRule="auto"/>
              <w:ind w:left="6" w:firstLine="472" w:firstLineChars="200"/>
              <w:jc w:val="both"/>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钻试场生活营地内设置1</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个污水防渗收集池</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，用于收集和暂</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存生活</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污水，定期由施工队采用吸污车清运至</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吉木萨尔县</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市政污水处理厂处理。</w:t>
            </w:r>
          </w:p>
          <w:p w14:paraId="0654C542">
            <w:pPr>
              <w:pStyle w:val="22"/>
              <w:widowControl w:val="0"/>
              <w:kinsoku/>
              <w:spacing w:before="36"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4.3对地下水影响分析</w:t>
            </w:r>
          </w:p>
          <w:p w14:paraId="3657D0A2">
            <w:pPr>
              <w:pStyle w:val="22"/>
              <w:widowControl w:val="0"/>
              <w:kinsoku/>
              <w:spacing w:before="36" w:line="360" w:lineRule="auto"/>
              <w:ind w:left="6"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 xml:space="preserve">正常工况下的影响分析： 本项目对地下水的保护采取了“井下隔离+地面防渗”的双重屏障。井下部分：本项目一开表层套管下入深度达700m，远深于区域地下水主要含水层埋深（50~150m），且实施严格的注水泥全封固井工艺，水泥返至地面，从垂向上彻底隔断了井筒与浅层潜水含水层的水力联系，杜绝了钻井液及油气上窜污染地下水；**地面部分：**井场实施严格的分区防渗，针对泥浆不落地系统、危废暂存间、油罐区及废水罐区等涉油、涉水区域，全部划定为重点防渗区，严格铺设2mm厚HDPE防渗膜（等效黏土层Mb≥6.0m，K≤1.0×10⁻⁷cm/s）。在防渗设施完好的正常工况下，污染物无法渗入包气带，对地下水环境无影响。 </w:t>
            </w:r>
          </w:p>
          <w:p w14:paraId="17ABC96D">
            <w:pPr>
              <w:pStyle w:val="22"/>
              <w:widowControl w:val="0"/>
              <w:kinsoku/>
              <w:spacing w:before="36" w:line="360" w:lineRule="auto"/>
              <w:ind w:left="6"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正常工况下的影响分析：在发生储罐破损、管线连接处跑冒滴漏等意外泄漏事件时，泄漏的液态污染物（原油或废水）将被限制在重点防渗区四周设置的防渗围堰或导流槽内，不会发生大面积漫流；依靠底部2mm厚HDPE膜的有效阻隔，泄漏物在被及时发现并抽吸清理的应急响应时间内（通常小于24小时），无法穿透防渗层进入地下水。因此，在严格落实分区防渗和应急预案的前提下，非正常工况下的地下水环境风险总体可控。</w:t>
            </w:r>
          </w:p>
          <w:p w14:paraId="56B9B06E">
            <w:pPr>
              <w:pStyle w:val="22"/>
              <w:widowControl w:val="0"/>
              <w:kinsoku/>
              <w:spacing w:before="36" w:line="360" w:lineRule="auto"/>
              <w:ind w:left="6"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综上所述，项目的实施对所在区域的水环境质量影响不大。</w:t>
            </w:r>
          </w:p>
          <w:p w14:paraId="2CB25A7B">
            <w:pPr>
              <w:pStyle w:val="22"/>
              <w:widowControl w:val="0"/>
              <w:kinsoku/>
              <w:spacing w:before="181" w:line="360" w:lineRule="auto"/>
              <w:ind w:left="1"/>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4.4事故状态下水环境影响分析</w:t>
            </w:r>
          </w:p>
          <w:p w14:paraId="5145F773">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（1）井漏事故的泥浆对地下水的影响</w:t>
            </w:r>
          </w:p>
          <w:p w14:paraId="0432DDA8">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井漏事故对地下水的污染是钻井泥浆漏失于地下水含水层中，由于其含Ca、Na等离子，且盐分较多，易造成地下含水层水质污染。</w:t>
            </w:r>
          </w:p>
          <w:p w14:paraId="2E6E3892">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本项目采用下套管注水泥的方式进行固井，可对潜水和承压水所在的地层进行固封。在固井合格的前提下，可以有效隔离含水层与井内泥浆的交换，有效保护地下水层。</w:t>
            </w:r>
          </w:p>
          <w:p w14:paraId="557CF7E7">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因此，推广使用清洁无害的泥浆，严格要求套管下入深度，可以有效控制钻井液在含水层中的漏失，减轻对地下水环境的影响。</w:t>
            </w:r>
          </w:p>
          <w:p w14:paraId="363F41F8">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（2）油水窜层对地下水的污染影响</w:t>
            </w:r>
          </w:p>
          <w:p w14:paraId="33D293E5">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钻井完井后试油过程中原油窜层污染的主要原因是：①固井质量差；②工艺措施不合理或未实施。因此，为预防污染的发生和污染源的形成，固井质量应符合环保要求。</w:t>
            </w:r>
          </w:p>
          <w:p w14:paraId="30809900">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（3）井喷事故对地下水的污染影响</w:t>
            </w:r>
          </w:p>
          <w:p w14:paraId="507A628D">
            <w:pPr>
              <w:pStyle w:val="22"/>
              <w:widowControl w:val="0"/>
              <w:kinsoku/>
              <w:spacing w:before="36" w:line="360" w:lineRule="auto"/>
              <w:ind w:left="5"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井喷事故一旦发生，大量的油气喷出井口，散落于井场周围，除造成重大经济损失外，还会造成严重的环境污染。根据测算，井喷发生后，一般需要1-2d才能得以控制。据类比资料显示，井喷污染范围在半径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环境的影响主要表现为对其周围土壤的影响，对地下水体有一定的影响，若及时采取有效措施治理污染，井喷对地下水的影响极小。</w:t>
            </w:r>
          </w:p>
          <w:p w14:paraId="022394FE">
            <w:pPr>
              <w:widowControl/>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5.施工期声环境影响分析</w:t>
            </w:r>
          </w:p>
          <w:p w14:paraId="2A17789E">
            <w:pPr>
              <w:pStyle w:val="9"/>
              <w:widowControl w:val="0"/>
              <w:kinsoku/>
              <w:spacing w:line="360" w:lineRule="auto"/>
              <w:ind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施工期噪声来源于井场、生活营地建设等钻前作业、钻井作业及试油作业等施工活动。</w:t>
            </w:r>
            <w:r>
              <w:rPr>
                <w:rFonts w:hint="default" w:ascii="Times New Roman" w:hAnsi="Times New Roman" w:eastAsia="宋体" w:cs="Times New Roman"/>
                <w:color w:val="000000" w:themeColor="text1"/>
                <w:sz w:val="24"/>
                <w:szCs w:val="24"/>
                <w14:textFill>
                  <w14:solidFill>
                    <w14:schemeClr w14:val="tx1"/>
                  </w14:solidFill>
                </w14:textFill>
              </w:rPr>
              <w:t>本项目钻机等主要设备采用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工业用</w:t>
            </w:r>
            <w:r>
              <w:rPr>
                <w:rFonts w:hint="default" w:ascii="Times New Roman" w:hAnsi="Times New Roman" w:eastAsia="宋体" w:cs="Times New Roman"/>
                <w:color w:val="000000" w:themeColor="text1"/>
                <w:sz w:val="24"/>
                <w:szCs w:val="24"/>
                <w14:textFill>
                  <w14:solidFill>
                    <w14:schemeClr w14:val="tx1"/>
                  </w14:solidFill>
                </w14:textFill>
              </w:rPr>
              <w:t>电驱动，相比传统柴油机驱动，噪声源强显著降低</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柴油发电机仅作为备用电源，非连续运行，对声环境影响较小</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各类施工机械，如挖土机、推土机、轮式装载车等，贯穿于整个施工过程，待施工结束后噪声影响消失。根据现场调查，井场周边50m范围内无声环境敏感目标，不会对周围声环境产生明显影响。本环评要求建设单位选用低噪声设备，</w:t>
            </w:r>
            <w:r>
              <w:rPr>
                <w:rFonts w:hint="default" w:ascii="Times New Roman" w:hAnsi="Times New Roman" w:eastAsia="宋体" w:cs="Times New Roman"/>
                <w:color w:val="000000" w:themeColor="text1"/>
                <w:sz w:val="24"/>
                <w:szCs w:val="24"/>
                <w:lang w:eastAsia="zh-CN"/>
                <w14:textFill>
                  <w14:solidFill>
                    <w14:schemeClr w14:val="tx1"/>
                  </w14:solidFill>
                </w14:textFill>
              </w:rPr>
              <w:t>对高噪声设备采取隔声措施，</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加强设备维护和保养，</w:t>
            </w:r>
            <w:r>
              <w:rPr>
                <w:rFonts w:hint="default" w:ascii="Times New Roman" w:hAnsi="Times New Roman" w:eastAsia="宋体" w:cs="Times New Roman"/>
                <w:color w:val="000000" w:themeColor="text1"/>
                <w:sz w:val="24"/>
                <w:szCs w:val="24"/>
                <w:lang w:eastAsia="zh-CN"/>
                <w14:textFill>
                  <w14:solidFill>
                    <w14:schemeClr w14:val="tx1"/>
                  </w14:solidFill>
                </w14:textFill>
              </w:rPr>
              <w:t>保证机械设备的正常运转，以降低设备正常运转的噪声。</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在设施底部进行基础减振处理。加强施工场地管理，合理疏导进入施工区的车辆，符合《建筑施工噪声排放标准》（GB12523-2025）要求。</w:t>
            </w:r>
            <w:r>
              <w:rPr>
                <w:rFonts w:hint="default" w:ascii="Times New Roman" w:hAnsi="Times New Roman" w:eastAsia="宋体" w:cs="Times New Roman"/>
                <w:color w:val="000000" w:themeColor="text1"/>
                <w:sz w:val="24"/>
                <w:szCs w:val="24"/>
                <w:lang w:eastAsia="zh-CN"/>
                <w14:textFill>
                  <w14:solidFill>
                    <w14:schemeClr w14:val="tx1"/>
                  </w14:solidFill>
                </w14:textFill>
              </w:rPr>
              <w:t>进一步落实以上措施后，施工期噪声对周边环境及施工人员的影响将进一步减少，施工期产生噪声对周边环境影响不大。</w:t>
            </w:r>
          </w:p>
          <w:p w14:paraId="617AFC8C">
            <w:pPr>
              <w:pStyle w:val="22"/>
              <w:widowControl w:val="0"/>
              <w:kinsoku/>
              <w:spacing w:before="3" w:line="359" w:lineRule="auto"/>
              <w:ind w:right="4"/>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6.施工期固体废物影响分析</w:t>
            </w:r>
          </w:p>
          <w:p w14:paraId="46376BB6">
            <w:pPr>
              <w:pStyle w:val="22"/>
              <w:widowControl w:val="0"/>
              <w:kinsoku/>
              <w:spacing w:before="3" w:line="359" w:lineRule="auto"/>
              <w:ind w:left="2" w:right="4" w:firstLine="481"/>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固体废物主要为钻井泥浆、钻井岩屑、落地油、机械设备废油和废润滑油桶以及废防渗材料、生活垃圾，均得到有效处置，对环境影响较小。</w:t>
            </w:r>
          </w:p>
          <w:p w14:paraId="572C11B0">
            <w:pPr>
              <w:pStyle w:val="22"/>
              <w:widowControl w:val="0"/>
              <w:kinsoku/>
              <w:spacing w:line="219" w:lineRule="auto"/>
              <w:ind w:left="2"/>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t>6.1钻井泥浆</w:t>
            </w:r>
          </w:p>
          <w:p w14:paraId="50AF6E58">
            <w:pPr>
              <w:pStyle w:val="22"/>
              <w:widowControl w:val="0"/>
              <w:kinsoku/>
              <w:spacing w:before="180" w:line="340" w:lineRule="auto"/>
              <w:ind w:left="14" w:right="4" w:firstLine="467"/>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钻井泥浆的排放量依井的深度而增加，其排放量计算采用《油田开发环境影响评价文集》中的经验公式：</w:t>
            </w:r>
          </w:p>
          <w:p w14:paraId="752904E6">
            <w:pPr>
              <w:widowControl w:val="0"/>
              <w:kinsoku/>
              <w:spacing w:line="585" w:lineRule="exact"/>
              <w:ind w:left="2612"/>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position w:val="-12"/>
                <w14:textFill>
                  <w14:solidFill>
                    <w14:schemeClr w14:val="tx1"/>
                  </w14:solidFill>
                </w14:textFill>
              </w:rPr>
              <w:drawing>
                <wp:inline distT="0" distB="0" distL="0" distR="0">
                  <wp:extent cx="1968500" cy="370840"/>
                  <wp:effectExtent l="0" t="0" r="12700" b="10795"/>
                  <wp:docPr id="35" name="IM 34"/>
                  <wp:cNvGraphicFramePr/>
                  <a:graphic xmlns:a="http://schemas.openxmlformats.org/drawingml/2006/main">
                    <a:graphicData uri="http://schemas.openxmlformats.org/drawingml/2006/picture">
                      <pic:pic xmlns:pic="http://schemas.openxmlformats.org/drawingml/2006/picture">
                        <pic:nvPicPr>
                          <pic:cNvPr id="35" name="IM 34"/>
                          <pic:cNvPicPr/>
                        </pic:nvPicPr>
                        <pic:blipFill>
                          <a:blip r:embed="rId20"/>
                          <a:stretch>
                            <a:fillRect/>
                          </a:stretch>
                        </pic:blipFill>
                        <pic:spPr>
                          <a:xfrm>
                            <a:off x="0" y="0"/>
                            <a:ext cx="1968791" cy="371078"/>
                          </a:xfrm>
                          <a:prstGeom prst="rect">
                            <a:avLst/>
                          </a:prstGeom>
                        </pic:spPr>
                      </pic:pic>
                    </a:graphicData>
                  </a:graphic>
                </wp:inline>
              </w:drawing>
            </w:r>
          </w:p>
          <w:p w14:paraId="41ADF114">
            <w:pPr>
              <w:pStyle w:val="22"/>
              <w:widowControl w:val="0"/>
              <w:kinsoku/>
              <w:spacing w:before="199" w:line="360" w:lineRule="auto"/>
              <w:ind w:firstLine="512" w:firstLineChars="200"/>
              <w:jc w:val="both"/>
              <w:rPr>
                <w:rFonts w:hint="default" w:ascii="Times New Roman" w:hAnsi="Times New Roman" w:eastAsia="宋体" w:cs="Times New Roman"/>
                <w:color w:val="000000" w:themeColor="text1"/>
                <w:spacing w:val="8"/>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8"/>
                <w:sz w:val="24"/>
                <w:szCs w:val="24"/>
                <w:lang w:eastAsia="zh-CN"/>
                <w14:textFill>
                  <w14:solidFill>
                    <w14:schemeClr w14:val="tx1"/>
                  </w14:solidFill>
                </w14:textFill>
              </w:rPr>
              <w:t>上述公式中：</w:t>
            </w:r>
          </w:p>
          <w:p w14:paraId="49065A1E">
            <w:pPr>
              <w:pStyle w:val="22"/>
              <w:widowControl w:val="0"/>
              <w:kinsoku/>
              <w:spacing w:line="360" w:lineRule="auto"/>
              <w:ind w:firstLine="1280" w:firstLineChars="5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8"/>
                <w:sz w:val="24"/>
                <w:szCs w:val="24"/>
                <w:lang w:eastAsia="zh-CN"/>
                <w14:textFill>
                  <w14:solidFill>
                    <w14:schemeClr w14:val="tx1"/>
                  </w14:solidFill>
                </w14:textFill>
              </w:rPr>
              <w:t>V——排到地面上的泥浆量（m</w:t>
            </w:r>
            <w:r>
              <w:rPr>
                <w:rFonts w:hint="default" w:ascii="Times New Roman" w:hAnsi="Times New Roman" w:eastAsia="宋体" w:cs="Times New Roman"/>
                <w:color w:val="000000" w:themeColor="text1"/>
                <w:spacing w:val="8"/>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14"/>
                <w:sz w:val="24"/>
                <w:szCs w:val="24"/>
                <w:lang w:eastAsia="zh-CN"/>
                <w14:textFill>
                  <w14:solidFill>
                    <w14:schemeClr w14:val="tx1"/>
                  </w14:solidFill>
                </w14:textFill>
              </w:rPr>
              <w:t>）；</w:t>
            </w:r>
          </w:p>
          <w:p w14:paraId="13BC002D">
            <w:pPr>
              <w:pStyle w:val="22"/>
              <w:widowControl w:val="0"/>
              <w:kinsoku/>
              <w:spacing w:before="3" w:line="360" w:lineRule="auto"/>
              <w:ind w:right="4" w:firstLine="1290" w:firstLineChars="500"/>
              <w:jc w:val="both"/>
              <w:rPr>
                <w:rFonts w:hint="default" w:ascii="Times New Roman" w:hAnsi="Times New Roman" w:eastAsia="宋体" w:cs="Times New Roman"/>
                <w:color w:val="000000" w:themeColor="text1"/>
                <w:spacing w:val="-14"/>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9"/>
                <w:sz w:val="24"/>
                <w:szCs w:val="24"/>
                <w:lang w:eastAsia="zh-CN"/>
                <w14:textFill>
                  <w14:solidFill>
                    <w14:schemeClr w14:val="tx1"/>
                  </w14:solidFill>
                </w14:textFill>
              </w:rPr>
              <w:t>D——井眼的直径（m</w:t>
            </w:r>
            <w:r>
              <w:rPr>
                <w:rFonts w:hint="default" w:ascii="Times New Roman" w:hAnsi="Times New Roman" w:eastAsia="宋体" w:cs="Times New Roman"/>
                <w:color w:val="000000" w:themeColor="text1"/>
                <w:spacing w:val="-14"/>
                <w:sz w:val="24"/>
                <w:szCs w:val="24"/>
                <w:lang w:eastAsia="zh-CN"/>
                <w14:textFill>
                  <w14:solidFill>
                    <w14:schemeClr w14:val="tx1"/>
                  </w14:solidFill>
                </w14:textFill>
              </w:rPr>
              <w:t>）；</w:t>
            </w:r>
          </w:p>
          <w:p w14:paraId="2E5F7891">
            <w:pPr>
              <w:pStyle w:val="22"/>
              <w:widowControl w:val="0"/>
              <w:kinsoku/>
              <w:spacing w:before="32" w:line="360" w:lineRule="auto"/>
              <w:ind w:firstLine="1280" w:firstLineChars="5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8"/>
                <w:sz w:val="24"/>
                <w:szCs w:val="24"/>
                <w:lang w:eastAsia="zh-CN"/>
                <w14:textFill>
                  <w14:solidFill>
                    <w14:schemeClr w14:val="tx1"/>
                  </w14:solidFill>
                </w14:textFill>
              </w:rPr>
              <w:t>h——井深（m</w:t>
            </w:r>
            <w:r>
              <w:rPr>
                <w:rFonts w:hint="default" w:ascii="Times New Roman" w:hAnsi="Times New Roman" w:eastAsia="宋体" w:cs="Times New Roman"/>
                <w:color w:val="000000" w:themeColor="text1"/>
                <w:spacing w:val="-12"/>
                <w:sz w:val="24"/>
                <w:szCs w:val="24"/>
                <w:lang w:eastAsia="zh-CN"/>
                <w14:textFill>
                  <w14:solidFill>
                    <w14:schemeClr w14:val="tx1"/>
                  </w14:solidFill>
                </w14:textFill>
              </w:rPr>
              <w:t>）；</w:t>
            </w:r>
          </w:p>
          <w:p w14:paraId="1FA131B0">
            <w:pPr>
              <w:pStyle w:val="6"/>
              <w:widowControl w:val="0"/>
              <w:kinsoku/>
              <w:spacing w:line="360" w:lineRule="auto"/>
              <w:ind w:firstLine="472"/>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泥浆产生量详见下表4-</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14:paraId="05FBECB5">
            <w:pPr>
              <w:pStyle w:val="6"/>
              <w:widowControl w:val="0"/>
              <w:kinsoku/>
              <w:ind w:firstLine="0" w:firstLineChars="0"/>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表4-</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lang w:eastAsia="zh-CN"/>
                <w14:textFill>
                  <w14:solidFill>
                    <w14:schemeClr w14:val="tx1"/>
                  </w14:solidFill>
                </w14:textFill>
              </w:rPr>
              <w:t xml:space="preserve"> 钻井泥浆产生量一览表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0"/>
              <w:gridCol w:w="1087"/>
              <w:gridCol w:w="872"/>
              <w:gridCol w:w="1090"/>
              <w:gridCol w:w="4572"/>
            </w:tblGrid>
            <w:tr w14:paraId="08CB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0" w:space="0"/>
                    <w:bottom w:val="single" w:color="auto" w:sz="4" w:space="0"/>
                    <w:right w:val="single" w:color="auto" w:sz="4" w:space="0"/>
                  </w:tcBorders>
                  <w:vAlign w:val="center"/>
                </w:tcPr>
                <w:p w14:paraId="2CB47EF9">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开钻</w:t>
                  </w:r>
                </w:p>
                <w:p w14:paraId="2377D82C">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次序</w:t>
                  </w:r>
                </w:p>
              </w:tc>
              <w:tc>
                <w:tcPr>
                  <w:tcW w:w="674" w:type="pct"/>
                  <w:tcBorders>
                    <w:top w:val="single" w:color="auto" w:sz="4" w:space="0"/>
                    <w:left w:val="single" w:color="auto" w:sz="4" w:space="0"/>
                    <w:bottom w:val="single" w:color="auto" w:sz="4" w:space="0"/>
                    <w:right w:val="single" w:color="auto" w:sz="4" w:space="0"/>
                  </w:tcBorders>
                  <w:vAlign w:val="center"/>
                </w:tcPr>
                <w:p w14:paraId="47ACCEED">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钻井液类型</w:t>
                  </w:r>
                </w:p>
              </w:tc>
              <w:tc>
                <w:tcPr>
                  <w:tcW w:w="541" w:type="pct"/>
                  <w:tcBorders>
                    <w:top w:val="single" w:color="auto" w:sz="4" w:space="0"/>
                    <w:left w:val="single" w:color="auto" w:sz="4" w:space="0"/>
                    <w:bottom w:val="single" w:color="auto" w:sz="4" w:space="0"/>
                    <w:right w:val="single" w:color="auto" w:sz="4" w:space="0"/>
                  </w:tcBorders>
                  <w:vAlign w:val="center"/>
                </w:tcPr>
                <w:p w14:paraId="4B8B23C0">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钻头尺寸</w:t>
                  </w:r>
                </w:p>
                <w:p w14:paraId="33E76BCB">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(mm)</w:t>
                  </w:r>
                </w:p>
              </w:tc>
              <w:tc>
                <w:tcPr>
                  <w:tcW w:w="674" w:type="pct"/>
                  <w:tcBorders>
                    <w:top w:val="single" w:color="auto" w:sz="4" w:space="0"/>
                    <w:left w:val="single" w:color="auto" w:sz="4" w:space="0"/>
                    <w:bottom w:val="single" w:color="auto" w:sz="4" w:space="0"/>
                    <w:right w:val="single" w:color="auto" w:sz="4" w:space="0"/>
                  </w:tcBorders>
                  <w:vAlign w:val="center"/>
                </w:tcPr>
                <w:p w14:paraId="501F2BED">
                  <w:pPr>
                    <w:pStyle w:val="22"/>
                    <w:kinsoku/>
                    <w:spacing w:before="60" w:line="228"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井段（m）</w:t>
                  </w:r>
                </w:p>
              </w:tc>
              <w:tc>
                <w:tcPr>
                  <w:tcW w:w="2835" w:type="pct"/>
                  <w:tcBorders>
                    <w:top w:val="single" w:color="auto" w:sz="4" w:space="0"/>
                    <w:left w:val="single" w:color="auto" w:sz="4" w:space="0"/>
                    <w:bottom w:val="single" w:color="auto" w:sz="4" w:space="0"/>
                    <w:right w:val="single" w:color="auto" w:sz="4" w:space="0"/>
                  </w:tcBorders>
                  <w:vAlign w:val="center"/>
                </w:tcPr>
                <w:p w14:paraId="56E5137D">
                  <w:pPr>
                    <w:pStyle w:val="22"/>
                    <w:kinsoku/>
                    <w:spacing w:before="60" w:line="228" w:lineRule="auto"/>
                    <w:jc w:val="cente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lang w:eastAsia="zh-CN"/>
                      <w14:textFill>
                        <w14:solidFill>
                          <w14:schemeClr w14:val="tx1"/>
                        </w14:solidFill>
                      </w14:textFill>
                    </w:rPr>
                    <w:t>泥浆产生量</w:t>
                  </w:r>
                </w:p>
                <w:p w14:paraId="2D298DEF">
                  <w:pPr>
                    <w:pStyle w:val="22"/>
                    <w:kinsoku/>
                    <w:spacing w:before="60" w:line="228" w:lineRule="auto"/>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1"/>
                      <w:sz w:val="21"/>
                      <w:szCs w:val="21"/>
                      <w:highlight w:val="none"/>
                      <w:lang w:eastAsia="zh-CN"/>
                      <w14:textFill>
                        <w14:solidFill>
                          <w14:schemeClr w14:val="tx1"/>
                        </w14:solidFill>
                      </w14:textFill>
                    </w:rPr>
                    <w:t>m</w:t>
                  </w:r>
                  <w:r>
                    <w:rPr>
                      <w:rFonts w:hint="default" w:ascii="Times New Roman" w:hAnsi="Times New Roman" w:eastAsia="宋体" w:cs="Times New Roman"/>
                      <w:b/>
                      <w:bCs/>
                      <w:color w:val="000000" w:themeColor="text1"/>
                      <w:spacing w:val="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w:t>
                  </w:r>
                </w:p>
              </w:tc>
            </w:tr>
            <w:tr w14:paraId="4043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DC9C2CF">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萨L1501H</w:t>
                  </w:r>
                </w:p>
              </w:tc>
            </w:tr>
            <w:tr w14:paraId="391F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142898B5">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导眼</w:t>
                  </w:r>
                </w:p>
              </w:tc>
              <w:tc>
                <w:tcPr>
                  <w:tcW w:w="674" w:type="pct"/>
                  <w:vMerge w:val="restart"/>
                  <w:tcBorders>
                    <w:top w:val="single" w:color="auto" w:sz="4" w:space="0"/>
                    <w:left w:val="single" w:color="auto" w:sz="4" w:space="0"/>
                    <w:right w:val="single" w:color="auto" w:sz="4" w:space="0"/>
                  </w:tcBorders>
                  <w:vAlign w:val="center"/>
                </w:tcPr>
                <w:p w14:paraId="74770A07">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水基钻井液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15C8AA2D">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Φ660</w:t>
                  </w:r>
                </w:p>
              </w:tc>
              <w:tc>
                <w:tcPr>
                  <w:tcW w:w="674" w:type="pct"/>
                  <w:tcBorders>
                    <w:top w:val="single" w:color="auto" w:sz="4" w:space="0"/>
                    <w:left w:val="single" w:color="auto" w:sz="4" w:space="0"/>
                    <w:bottom w:val="single" w:color="auto" w:sz="4" w:space="0"/>
                    <w:right w:val="single" w:color="auto" w:sz="4" w:space="0"/>
                  </w:tcBorders>
                  <w:vAlign w:val="center"/>
                </w:tcPr>
                <w:p w14:paraId="4E354F19">
                  <w:pPr>
                    <w:kinsoku/>
                    <w:jc w:val="center"/>
                    <w:textAlignment w:val="center"/>
                    <w:rPr>
                      <w:rFonts w:hint="default" w:ascii="Times New Roman" w:hAnsi="Times New Roman" w:eastAsia="宋体" w:cs="Times New Roman"/>
                      <w:color w:val="000000" w:themeColor="text1"/>
                      <w:highlight w:val="none"/>
                      <w:lang w:val="zh-CN"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0-30</w:t>
                  </w:r>
                </w:p>
              </w:tc>
              <w:tc>
                <w:tcPr>
                  <w:tcW w:w="4587" w:type="dxa"/>
                  <w:tcBorders>
                    <w:top w:val="single" w:color="auto" w:sz="4" w:space="0"/>
                    <w:left w:val="single" w:color="auto" w:sz="4" w:space="0"/>
                    <w:bottom w:val="single" w:color="auto" w:sz="4" w:space="0"/>
                    <w:right w:val="single" w:color="auto" w:sz="4" w:space="0"/>
                  </w:tcBorders>
                  <w:vAlign w:val="center"/>
                </w:tcPr>
                <w:p w14:paraId="6E28483F">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81.25</w:t>
                  </w:r>
                </w:p>
              </w:tc>
            </w:tr>
            <w:tr w14:paraId="5812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7A329D24">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一开</w:t>
                  </w:r>
                </w:p>
              </w:tc>
              <w:tc>
                <w:tcPr>
                  <w:tcW w:w="674" w:type="pct"/>
                  <w:vMerge w:val="continue"/>
                  <w:tcBorders>
                    <w:left w:val="single" w:color="auto" w:sz="4" w:space="0"/>
                    <w:right w:val="single" w:color="auto" w:sz="4" w:space="0"/>
                  </w:tcBorders>
                  <w:vAlign w:val="center"/>
                </w:tcPr>
                <w:p w14:paraId="02C36F2F">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875" w:type="dxa"/>
                  <w:tcBorders>
                    <w:top w:val="single" w:color="auto" w:sz="4" w:space="0"/>
                    <w:left w:val="single" w:color="auto" w:sz="4" w:space="0"/>
                    <w:bottom w:val="single" w:color="auto" w:sz="4" w:space="0"/>
                    <w:right w:val="single" w:color="auto" w:sz="4" w:space="0"/>
                  </w:tcBorders>
                  <w:vAlign w:val="center"/>
                </w:tcPr>
                <w:p w14:paraId="1E8D105A">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Φ375</w:t>
                  </w:r>
                </w:p>
              </w:tc>
              <w:tc>
                <w:tcPr>
                  <w:tcW w:w="674" w:type="pct"/>
                  <w:tcBorders>
                    <w:top w:val="single" w:color="auto" w:sz="4" w:space="0"/>
                    <w:left w:val="single" w:color="auto" w:sz="4" w:space="0"/>
                    <w:bottom w:val="single" w:color="auto" w:sz="4" w:space="0"/>
                    <w:right w:val="single" w:color="auto" w:sz="4" w:space="0"/>
                  </w:tcBorders>
                  <w:vAlign w:val="center"/>
                </w:tcPr>
                <w:p w14:paraId="24B921F8">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30-</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7</w:t>
                  </w:r>
                  <w:r>
                    <w:rPr>
                      <w:rFonts w:hint="default" w:ascii="Times New Roman" w:hAnsi="Times New Roman" w:eastAsia="宋体" w:cs="Times New Roman"/>
                      <w:color w:val="000000" w:themeColor="text1"/>
                      <w:highlight w:val="none"/>
                      <w:lang w:eastAsia="zh-CN" w:bidi="ar"/>
                      <w14:textFill>
                        <w14:solidFill>
                          <w14:schemeClr w14:val="tx1"/>
                        </w14:solidFill>
                      </w14:textFill>
                    </w:rPr>
                    <w:t>00</w:t>
                  </w:r>
                </w:p>
              </w:tc>
              <w:tc>
                <w:tcPr>
                  <w:tcW w:w="4587" w:type="dxa"/>
                  <w:tcBorders>
                    <w:top w:val="single" w:color="auto" w:sz="4" w:space="0"/>
                    <w:left w:val="single" w:color="auto" w:sz="4" w:space="0"/>
                    <w:bottom w:val="single" w:color="auto" w:sz="4" w:space="0"/>
                    <w:right w:val="single" w:color="auto" w:sz="4" w:space="0"/>
                  </w:tcBorders>
                  <w:vAlign w:val="center"/>
                </w:tcPr>
                <w:p w14:paraId="6D58E655">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105.26</w:t>
                  </w:r>
                </w:p>
              </w:tc>
            </w:tr>
            <w:tr w14:paraId="70EF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67D1A028">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二开</w:t>
                  </w:r>
                </w:p>
              </w:tc>
              <w:tc>
                <w:tcPr>
                  <w:tcW w:w="674" w:type="pct"/>
                  <w:tcBorders>
                    <w:left w:val="single" w:color="auto" w:sz="4" w:space="0"/>
                    <w:right w:val="single" w:color="auto" w:sz="4" w:space="0"/>
                  </w:tcBorders>
                  <w:vAlign w:val="center"/>
                </w:tcPr>
                <w:p w14:paraId="6FF9FCB7">
                  <w:pPr>
                    <w:pStyle w:val="25"/>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油基钻井液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6460DEAE">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Φ251</w:t>
                  </w:r>
                </w:p>
              </w:tc>
              <w:tc>
                <w:tcPr>
                  <w:tcW w:w="674" w:type="pct"/>
                  <w:tcBorders>
                    <w:top w:val="single" w:color="auto" w:sz="4" w:space="0"/>
                    <w:left w:val="single" w:color="auto" w:sz="4" w:space="0"/>
                    <w:bottom w:val="single" w:color="auto" w:sz="4" w:space="0"/>
                    <w:right w:val="single" w:color="auto" w:sz="4" w:space="0"/>
                  </w:tcBorders>
                  <w:vAlign w:val="center"/>
                </w:tcPr>
                <w:p w14:paraId="734BB01F">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7</w:t>
                  </w:r>
                  <w:r>
                    <w:rPr>
                      <w:rFonts w:hint="default" w:ascii="Times New Roman" w:hAnsi="Times New Roman" w:eastAsia="宋体" w:cs="Times New Roman"/>
                      <w:color w:val="000000" w:themeColor="text1"/>
                      <w:highlight w:val="none"/>
                      <w:lang w:eastAsia="zh-CN" w:bidi="ar"/>
                      <w14:textFill>
                        <w14:solidFill>
                          <w14:schemeClr w14:val="tx1"/>
                        </w14:solidFill>
                      </w14:textFill>
                    </w:rPr>
                    <w:t>00-3</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highlight w:val="none"/>
                      <w:lang w:eastAsia="zh-CN" w:bidi="ar"/>
                      <w14:textFill>
                        <w14:solidFill>
                          <w14:schemeClr w14:val="tx1"/>
                        </w14:solidFill>
                      </w14:textFill>
                    </w:rPr>
                    <w:t>00</w:t>
                  </w:r>
                </w:p>
              </w:tc>
              <w:tc>
                <w:tcPr>
                  <w:tcW w:w="4587" w:type="dxa"/>
                  <w:tcBorders>
                    <w:top w:val="single" w:color="auto" w:sz="4" w:space="0"/>
                    <w:left w:val="single" w:color="auto" w:sz="4" w:space="0"/>
                    <w:bottom w:val="single" w:color="auto" w:sz="4" w:space="0"/>
                    <w:right w:val="single" w:color="auto" w:sz="4" w:space="0"/>
                  </w:tcBorders>
                  <w:vAlign w:val="center"/>
                </w:tcPr>
                <w:p w14:paraId="39B07937">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188.02</w:t>
                  </w:r>
                </w:p>
              </w:tc>
            </w:tr>
            <w:tr w14:paraId="60E8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31A4D644">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三开</w:t>
                  </w:r>
                </w:p>
              </w:tc>
              <w:tc>
                <w:tcPr>
                  <w:tcW w:w="674" w:type="pct"/>
                  <w:tcBorders>
                    <w:left w:val="single" w:color="auto" w:sz="4" w:space="0"/>
                    <w:right w:val="single" w:color="auto" w:sz="4" w:space="0"/>
                  </w:tcBorders>
                  <w:vAlign w:val="center"/>
                </w:tcPr>
                <w:p w14:paraId="1BBCAC39">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水基钻井液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3027BF0E">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000000" w:themeColor="text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Φ168</w:t>
                  </w:r>
                </w:p>
              </w:tc>
              <w:tc>
                <w:tcPr>
                  <w:tcW w:w="674" w:type="pct"/>
                  <w:tcBorders>
                    <w:top w:val="single" w:color="auto" w:sz="4" w:space="0"/>
                    <w:left w:val="single" w:color="auto" w:sz="4" w:space="0"/>
                    <w:bottom w:val="single" w:color="auto" w:sz="4" w:space="0"/>
                    <w:right w:val="single" w:color="auto" w:sz="4" w:space="0"/>
                  </w:tcBorders>
                  <w:vAlign w:val="center"/>
                </w:tcPr>
                <w:p w14:paraId="7FD94656">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highlight w:val="none"/>
                      <w:lang w:eastAsia="zh-CN" w:bidi="ar"/>
                      <w14:textFill>
                        <w14:solidFill>
                          <w14:schemeClr w14:val="tx1"/>
                        </w14:solidFill>
                      </w14:textFill>
                    </w:rPr>
                    <w:t>00-5</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000</w:t>
                  </w:r>
                </w:p>
              </w:tc>
              <w:tc>
                <w:tcPr>
                  <w:tcW w:w="4587" w:type="dxa"/>
                  <w:tcBorders>
                    <w:top w:val="single" w:color="auto" w:sz="4" w:space="0"/>
                    <w:left w:val="single" w:color="auto" w:sz="4" w:space="0"/>
                    <w:bottom w:val="single" w:color="auto" w:sz="4" w:space="0"/>
                    <w:right w:val="single" w:color="auto" w:sz="4" w:space="0"/>
                  </w:tcBorders>
                  <w:vAlign w:val="center"/>
                </w:tcPr>
                <w:p w14:paraId="4D6C51AB">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260.01</w:t>
                  </w:r>
                </w:p>
              </w:tc>
            </w:tr>
            <w:tr w14:paraId="598D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1B2F5D5">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萨L1501H-1</w:t>
                  </w:r>
                </w:p>
              </w:tc>
            </w:tr>
            <w:tr w14:paraId="1083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53EC18F9">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导眼</w:t>
                  </w:r>
                </w:p>
              </w:tc>
              <w:tc>
                <w:tcPr>
                  <w:tcW w:w="674" w:type="pct"/>
                  <w:vMerge w:val="restart"/>
                  <w:tcBorders>
                    <w:left w:val="single" w:color="auto" w:sz="4" w:space="0"/>
                    <w:right w:val="single" w:color="auto" w:sz="4" w:space="0"/>
                  </w:tcBorders>
                  <w:vAlign w:val="center"/>
                </w:tcPr>
                <w:p w14:paraId="2386E299">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水基钻井液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08AFCEC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Φ660</w:t>
                  </w:r>
                </w:p>
              </w:tc>
              <w:tc>
                <w:tcPr>
                  <w:tcW w:w="1093" w:type="dxa"/>
                  <w:tcBorders>
                    <w:top w:val="single" w:color="auto" w:sz="4" w:space="0"/>
                    <w:left w:val="single" w:color="auto" w:sz="4" w:space="0"/>
                    <w:bottom w:val="single" w:color="auto" w:sz="4" w:space="0"/>
                    <w:right w:val="single" w:color="auto" w:sz="4" w:space="0"/>
                  </w:tcBorders>
                  <w:vAlign w:val="center"/>
                </w:tcPr>
                <w:p w14:paraId="5B9BFE1B">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0-30</w:t>
                  </w:r>
                </w:p>
              </w:tc>
              <w:tc>
                <w:tcPr>
                  <w:tcW w:w="4587" w:type="dxa"/>
                  <w:tcBorders>
                    <w:top w:val="single" w:color="auto" w:sz="4" w:space="0"/>
                    <w:left w:val="single" w:color="auto" w:sz="4" w:space="0"/>
                    <w:bottom w:val="single" w:color="auto" w:sz="4" w:space="0"/>
                    <w:right w:val="single" w:color="auto" w:sz="4" w:space="0"/>
                  </w:tcBorders>
                  <w:vAlign w:val="center"/>
                </w:tcPr>
                <w:p w14:paraId="0A7047E6">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81.25</w:t>
                  </w:r>
                </w:p>
              </w:tc>
            </w:tr>
            <w:tr w14:paraId="59CE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305BB41C">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一开</w:t>
                  </w:r>
                </w:p>
              </w:tc>
              <w:tc>
                <w:tcPr>
                  <w:tcW w:w="674" w:type="pct"/>
                  <w:vMerge w:val="continue"/>
                  <w:tcBorders>
                    <w:left w:val="single" w:color="auto" w:sz="4" w:space="0"/>
                    <w:right w:val="single" w:color="auto" w:sz="4" w:space="0"/>
                  </w:tcBorders>
                  <w:vAlign w:val="center"/>
                </w:tcPr>
                <w:p w14:paraId="49196765">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875" w:type="dxa"/>
                  <w:tcBorders>
                    <w:top w:val="single" w:color="auto" w:sz="4" w:space="0"/>
                    <w:left w:val="single" w:color="auto" w:sz="4" w:space="0"/>
                    <w:bottom w:val="single" w:color="auto" w:sz="4" w:space="0"/>
                    <w:right w:val="single" w:color="auto" w:sz="4" w:space="0"/>
                  </w:tcBorders>
                  <w:vAlign w:val="center"/>
                </w:tcPr>
                <w:p w14:paraId="6EA063A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Φ375</w:t>
                  </w:r>
                </w:p>
              </w:tc>
              <w:tc>
                <w:tcPr>
                  <w:tcW w:w="1093" w:type="dxa"/>
                  <w:tcBorders>
                    <w:top w:val="single" w:color="auto" w:sz="4" w:space="0"/>
                    <w:left w:val="single" w:color="auto" w:sz="4" w:space="0"/>
                    <w:bottom w:val="single" w:color="auto" w:sz="4" w:space="0"/>
                    <w:right w:val="single" w:color="auto" w:sz="4" w:space="0"/>
                  </w:tcBorders>
                  <w:vAlign w:val="center"/>
                </w:tcPr>
                <w:p w14:paraId="1A1B24CE">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30-700</w:t>
                  </w:r>
                </w:p>
              </w:tc>
              <w:tc>
                <w:tcPr>
                  <w:tcW w:w="4587" w:type="dxa"/>
                  <w:tcBorders>
                    <w:top w:val="single" w:color="auto" w:sz="4" w:space="0"/>
                    <w:left w:val="single" w:color="auto" w:sz="4" w:space="0"/>
                    <w:bottom w:val="single" w:color="auto" w:sz="4" w:space="0"/>
                    <w:right w:val="single" w:color="auto" w:sz="4" w:space="0"/>
                  </w:tcBorders>
                  <w:vAlign w:val="center"/>
                </w:tcPr>
                <w:p w14:paraId="1E5FBC7E">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105.26</w:t>
                  </w:r>
                </w:p>
              </w:tc>
            </w:tr>
            <w:tr w14:paraId="1E3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73D1A152">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二开</w:t>
                  </w:r>
                </w:p>
              </w:tc>
              <w:tc>
                <w:tcPr>
                  <w:tcW w:w="674" w:type="pct"/>
                  <w:tcBorders>
                    <w:left w:val="single" w:color="auto" w:sz="4" w:space="0"/>
                    <w:right w:val="single" w:color="auto" w:sz="4" w:space="0"/>
                  </w:tcBorders>
                  <w:vAlign w:val="center"/>
                </w:tcPr>
                <w:p w14:paraId="4C26B72E">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油基钻井液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044E4B3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Φ251</w:t>
                  </w:r>
                </w:p>
              </w:tc>
              <w:tc>
                <w:tcPr>
                  <w:tcW w:w="1093" w:type="dxa"/>
                  <w:tcBorders>
                    <w:top w:val="single" w:color="auto" w:sz="4" w:space="0"/>
                    <w:left w:val="single" w:color="auto" w:sz="4" w:space="0"/>
                    <w:bottom w:val="single" w:color="auto" w:sz="4" w:space="0"/>
                    <w:right w:val="single" w:color="auto" w:sz="4" w:space="0"/>
                  </w:tcBorders>
                  <w:vAlign w:val="center"/>
                </w:tcPr>
                <w:p w14:paraId="4AA90960">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700-3000</w:t>
                  </w:r>
                </w:p>
              </w:tc>
              <w:tc>
                <w:tcPr>
                  <w:tcW w:w="4587" w:type="dxa"/>
                  <w:tcBorders>
                    <w:top w:val="single" w:color="auto" w:sz="4" w:space="0"/>
                    <w:left w:val="single" w:color="auto" w:sz="4" w:space="0"/>
                    <w:bottom w:val="single" w:color="auto" w:sz="4" w:space="0"/>
                    <w:right w:val="single" w:color="auto" w:sz="4" w:space="0"/>
                  </w:tcBorders>
                  <w:vAlign w:val="center"/>
                </w:tcPr>
                <w:p w14:paraId="51D973C7">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188.02</w:t>
                  </w:r>
                </w:p>
              </w:tc>
            </w:tr>
            <w:tr w14:paraId="2FDE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148FA8BD">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三开</w:t>
                  </w:r>
                </w:p>
              </w:tc>
              <w:tc>
                <w:tcPr>
                  <w:tcW w:w="674" w:type="pct"/>
                  <w:tcBorders>
                    <w:left w:val="single" w:color="auto" w:sz="4" w:space="0"/>
                    <w:right w:val="single" w:color="auto" w:sz="4" w:space="0"/>
                  </w:tcBorders>
                  <w:vAlign w:val="center"/>
                </w:tcPr>
                <w:p w14:paraId="664926DC">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水基钻井液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1F64BBB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Φ168</w:t>
                  </w:r>
                </w:p>
              </w:tc>
              <w:tc>
                <w:tcPr>
                  <w:tcW w:w="1093" w:type="dxa"/>
                  <w:tcBorders>
                    <w:top w:val="single" w:color="auto" w:sz="4" w:space="0"/>
                    <w:left w:val="single" w:color="auto" w:sz="4" w:space="0"/>
                    <w:bottom w:val="single" w:color="auto" w:sz="4" w:space="0"/>
                    <w:right w:val="single" w:color="auto" w:sz="4" w:space="0"/>
                  </w:tcBorders>
                  <w:vAlign w:val="center"/>
                </w:tcPr>
                <w:p w14:paraId="7681FD45">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3000-5000</w:t>
                  </w:r>
                </w:p>
              </w:tc>
              <w:tc>
                <w:tcPr>
                  <w:tcW w:w="4587" w:type="dxa"/>
                  <w:tcBorders>
                    <w:top w:val="single" w:color="auto" w:sz="4" w:space="0"/>
                    <w:left w:val="single" w:color="auto" w:sz="4" w:space="0"/>
                    <w:bottom w:val="single" w:color="auto" w:sz="4" w:space="0"/>
                    <w:right w:val="single" w:color="auto" w:sz="4" w:space="0"/>
                  </w:tcBorders>
                  <w:vAlign w:val="center"/>
                </w:tcPr>
                <w:p w14:paraId="73DE3D32">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260.01</w:t>
                  </w:r>
                </w:p>
              </w:tc>
            </w:tr>
            <w:tr w14:paraId="1D29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164" w:type="pct"/>
                  <w:gridSpan w:val="4"/>
                  <w:tcBorders>
                    <w:top w:val="single" w:color="auto" w:sz="4" w:space="0"/>
                    <w:left w:val="single" w:color="auto" w:sz="4" w:space="0"/>
                    <w:bottom w:val="single" w:color="auto" w:sz="4" w:space="0"/>
                    <w:right w:val="single" w:color="auto" w:sz="4" w:space="0"/>
                  </w:tcBorders>
                  <w:vAlign w:val="center"/>
                </w:tcPr>
                <w:p w14:paraId="51EF67D8">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合计</w:t>
                  </w:r>
                </w:p>
              </w:tc>
              <w:tc>
                <w:tcPr>
                  <w:tcW w:w="2835" w:type="pct"/>
                  <w:tcBorders>
                    <w:top w:val="single" w:color="auto" w:sz="4" w:space="0"/>
                    <w:left w:val="single" w:color="auto" w:sz="4" w:space="0"/>
                    <w:bottom w:val="single" w:color="auto" w:sz="4" w:space="0"/>
                    <w:right w:val="single" w:color="auto" w:sz="4" w:space="0"/>
                  </w:tcBorders>
                </w:tcPr>
                <w:p w14:paraId="686F9EBC">
                  <w:pPr>
                    <w:kinsoku/>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269.08</w:t>
                  </w:r>
                  <w:r>
                    <w:rPr>
                      <w:rFonts w:hint="default" w:ascii="Times New Roman" w:hAnsi="Times New Roman" w:eastAsia="宋体" w:cs="Times New Roman"/>
                      <w:color w:val="000000" w:themeColor="text1"/>
                      <w:highlight w:val="none"/>
                      <w:lang w:eastAsia="zh-CN"/>
                      <w14:textFill>
                        <w14:solidFill>
                          <w14:schemeClr w14:val="tx1"/>
                        </w14:solidFill>
                      </w14:textFill>
                    </w:rPr>
                    <w:t>，其中水基泥浆</w:t>
                  </w:r>
                  <w:r>
                    <w:rPr>
                      <w:rFonts w:hint="default" w:ascii="Times New Roman" w:hAnsi="Times New Roman" w:eastAsia="宋体" w:cs="Times New Roman"/>
                      <w:color w:val="000000" w:themeColor="text1"/>
                      <w:highlight w:val="none"/>
                      <w:lang w:val="en-US" w:eastAsia="zh-CN"/>
                      <w14:textFill>
                        <w14:solidFill>
                          <w14:schemeClr w14:val="tx1"/>
                        </w14:solidFill>
                      </w14:textFill>
                    </w:rPr>
                    <w:t>893.03</w:t>
                  </w:r>
                  <w:r>
                    <w:rPr>
                      <w:rFonts w:hint="default" w:ascii="Times New Roman" w:hAnsi="Times New Roman" w:eastAsia="宋体" w:cs="Times New Roman"/>
                      <w:color w:val="000000" w:themeColor="text1"/>
                      <w:highlight w:val="none"/>
                      <w:lang w:eastAsia="zh-CN"/>
                      <w14:textFill>
                        <w14:solidFill>
                          <w14:schemeClr w14:val="tx1"/>
                        </w14:solidFill>
                      </w14:textFill>
                    </w:rPr>
                    <w:t>，油基泥浆</w:t>
                  </w:r>
                  <w:r>
                    <w:rPr>
                      <w:rFonts w:hint="default" w:ascii="Times New Roman" w:hAnsi="Times New Roman" w:eastAsia="宋体" w:cs="Times New Roman"/>
                      <w:color w:val="000000" w:themeColor="text1"/>
                      <w:highlight w:val="none"/>
                      <w:lang w:val="en-US" w:eastAsia="zh-CN"/>
                      <w14:textFill>
                        <w14:solidFill>
                          <w14:schemeClr w14:val="tx1"/>
                        </w14:solidFill>
                      </w14:textFill>
                    </w:rPr>
                    <w:t>376.05</w:t>
                  </w:r>
                </w:p>
              </w:tc>
            </w:tr>
          </w:tbl>
          <w:p w14:paraId="78946093">
            <w:pPr>
              <w:widowControl w:val="0"/>
              <w:kinsoku/>
              <w:jc w:val="both"/>
              <w:rPr>
                <w:rFonts w:hint="default" w:ascii="Times New Roman" w:hAnsi="Times New Roman" w:eastAsia="宋体" w:cs="Times New Roman"/>
                <w:b/>
                <w:bCs/>
                <w:color w:val="000000" w:themeColor="text1"/>
                <w:lang w:eastAsia="zh-CN"/>
                <w14:textFill>
                  <w14:solidFill>
                    <w14:schemeClr w14:val="tx1"/>
                  </w14:solidFill>
                </w14:textFill>
              </w:rPr>
            </w:pPr>
          </w:p>
          <w:p w14:paraId="734D90D5">
            <w:pPr>
              <w:pStyle w:val="26"/>
              <w:widowControl w:val="0"/>
              <w:kinsoku/>
              <w:spacing w:line="360" w:lineRule="auto"/>
              <w:ind w:firstLine="460"/>
              <w:jc w:val="both"/>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本项目钻井泥浆最大</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产生量为</w:t>
            </w:r>
            <w:r>
              <w:rPr>
                <w:rFonts w:hint="default" w:ascii="Times New Roman" w:hAnsi="Times New Roman" w:eastAsia="宋体" w:cs="Times New Roman"/>
                <w:color w:val="000000" w:themeColor="text1"/>
                <w:spacing w:val="-5"/>
                <w:sz w:val="24"/>
                <w:szCs w:val="24"/>
                <w:highlight w:val="none"/>
                <w:lang w:val="en-US" w:eastAsia="zh-CN"/>
                <w14:textFill>
                  <w14:solidFill>
                    <w14:schemeClr w14:val="tx1"/>
                  </w14:solidFill>
                </w14:textFill>
              </w:rPr>
              <w:t>1269.08</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5"/>
                <w:position w:val="8"/>
                <w:sz w:val="15"/>
                <w:szCs w:val="15"/>
                <w:highlight w:val="none"/>
                <w:lang w:eastAsia="zh-CN"/>
                <w14:textFill>
                  <w14:solidFill>
                    <w14:schemeClr w14:val="tx1"/>
                  </w14:solidFill>
                </w14:textFill>
              </w:rPr>
              <w:t>3</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其中水基泥浆</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893.03</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5"/>
                <w:position w:val="8"/>
                <w:sz w:val="15"/>
                <w:szCs w:val="15"/>
                <w:highlight w:val="none"/>
                <w:lang w:eastAsia="zh-CN"/>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，油基泥浆</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376.05</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5"/>
                <w:position w:val="8"/>
                <w:sz w:val="15"/>
                <w:szCs w:val="15"/>
                <w:highlight w:val="none"/>
                <w:lang w:eastAsia="zh-CN"/>
                <w14:textFill>
                  <w14:solidFill>
                    <w14:schemeClr w14:val="tx1"/>
                  </w14:solidFill>
                </w14:textFill>
              </w:rPr>
              <w:t>3</w:t>
            </w:r>
            <w:r>
              <w:rPr>
                <w:rFonts w:hint="default" w:ascii="Times New Roman" w:hAnsi="Times New Roman" w:eastAsia="宋体" w:cs="Times New Roman"/>
                <w:color w:val="000000" w:themeColor="text1"/>
                <w:spacing w:val="-14"/>
                <w:sz w:val="24"/>
                <w:szCs w:val="24"/>
                <w:highlight w:val="none"/>
                <w:lang w:eastAsia="zh-CN"/>
                <w14:textFill>
                  <w14:solidFill>
                    <w14:schemeClr w14:val="tx1"/>
                  </w14:solidFill>
                </w14:textFill>
              </w:rPr>
              <w:t>），项目采用泥浆不落地系统实现固液分离，分离后的液相循环使用，</w:t>
            </w:r>
            <w:r>
              <w:rPr>
                <w:rFonts w:hint="default" w:ascii="Times New Roman" w:hAnsi="Times New Roman" w:eastAsia="宋体" w:cs="Times New Roman"/>
                <w:color w:val="000000" w:themeColor="text1"/>
                <w:spacing w:val="-14"/>
                <w:sz w:val="24"/>
                <w:szCs w:val="24"/>
                <w:highlight w:val="none"/>
                <w14:textFill>
                  <w14:solidFill>
                    <w14:schemeClr w14:val="tx1"/>
                  </w14:solidFill>
                </w14:textFill>
              </w:rPr>
              <w:t>泥浆循环利用率（重复利用）按95%计算，因此，废弃钻井泥浆</w:t>
            </w:r>
            <w:r>
              <w:rPr>
                <w:rFonts w:hint="default" w:ascii="Times New Roman" w:hAnsi="Times New Roman" w:eastAsia="宋体" w:cs="Times New Roman"/>
                <w:color w:val="000000" w:themeColor="text1"/>
                <w:spacing w:val="-14"/>
                <w:sz w:val="24"/>
                <w:szCs w:val="24"/>
                <w:highlight w:val="none"/>
                <w:lang w:val="en-US" w:eastAsia="zh-CN"/>
                <w14:textFill>
                  <w14:solidFill>
                    <w14:schemeClr w14:val="tx1"/>
                  </w14:solidFill>
                </w14:textFill>
              </w:rPr>
              <w:t>产生</w:t>
            </w:r>
            <w:r>
              <w:rPr>
                <w:rFonts w:hint="default" w:ascii="Times New Roman" w:hAnsi="Times New Roman" w:eastAsia="宋体" w:cs="Times New Roman"/>
                <w:color w:val="000000" w:themeColor="text1"/>
                <w:spacing w:val="-14"/>
                <w:sz w:val="24"/>
                <w:szCs w:val="24"/>
                <w:highlight w:val="none"/>
                <w14:textFill>
                  <w14:solidFill>
                    <w14:schemeClr w14:val="tx1"/>
                  </w14:solidFill>
                </w14:textFill>
              </w:rPr>
              <w:t>量</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为63.45m</w:t>
            </w:r>
            <w:r>
              <w:rPr>
                <w:rFonts w:hint="default" w:ascii="Times New Roman" w:hAnsi="Times New Roman" w:eastAsia="宋体" w:cs="Times New Roman"/>
                <w:color w:val="000000" w:themeColor="text1"/>
                <w:spacing w:val="-6"/>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4"/>
                <w:sz w:val="24"/>
                <w:szCs w:val="24"/>
                <w:highlight w:val="none"/>
                <w14:textFill>
                  <w14:solidFill>
                    <w14:schemeClr w14:val="tx1"/>
                  </w14:solidFill>
                </w14:textFill>
              </w:rPr>
              <w:t>其中：水基泥浆</w:t>
            </w:r>
            <w:r>
              <w:rPr>
                <w:rFonts w:hint="default" w:ascii="Times New Roman" w:hAnsi="Times New Roman" w:eastAsia="宋体" w:cs="Times New Roman"/>
                <w:color w:val="000000" w:themeColor="text1"/>
                <w:spacing w:val="-14"/>
                <w:sz w:val="24"/>
                <w:szCs w:val="24"/>
                <w:highlight w:val="none"/>
                <w:lang w:val="en-US" w:eastAsia="zh-CN"/>
                <w14:textFill>
                  <w14:solidFill>
                    <w14:schemeClr w14:val="tx1"/>
                  </w14:solidFill>
                </w14:textFill>
              </w:rPr>
              <w:t>44.65</w:t>
            </w:r>
            <w:r>
              <w:rPr>
                <w:rFonts w:hint="default" w:ascii="Times New Roman" w:hAnsi="Times New Roman" w:eastAsia="宋体" w:cs="Times New Roman"/>
                <w:color w:val="000000" w:themeColor="text1"/>
                <w:spacing w:val="-14"/>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14"/>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4"/>
                <w:sz w:val="24"/>
                <w:szCs w:val="24"/>
                <w:highlight w:val="none"/>
                <w14:textFill>
                  <w14:solidFill>
                    <w14:schemeClr w14:val="tx1"/>
                  </w14:solidFill>
                </w14:textFill>
              </w:rPr>
              <w:t>，油基泥浆</w:t>
            </w:r>
            <w:r>
              <w:rPr>
                <w:rFonts w:hint="default" w:ascii="Times New Roman" w:hAnsi="Times New Roman" w:eastAsia="宋体" w:cs="Times New Roman"/>
                <w:color w:val="000000" w:themeColor="text1"/>
                <w:spacing w:val="-14"/>
                <w:sz w:val="24"/>
                <w:szCs w:val="24"/>
                <w:highlight w:val="none"/>
                <w:lang w:val="en-US" w:eastAsia="zh-CN"/>
                <w14:textFill>
                  <w14:solidFill>
                    <w14:schemeClr w14:val="tx1"/>
                  </w14:solidFill>
                </w14:textFill>
              </w:rPr>
              <w:t>18.80</w:t>
            </w:r>
            <w:r>
              <w:rPr>
                <w:rFonts w:hint="default" w:ascii="Times New Roman" w:hAnsi="Times New Roman" w:eastAsia="宋体" w:cs="Times New Roman"/>
                <w:color w:val="000000" w:themeColor="text1"/>
                <w:spacing w:val="-14"/>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14"/>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4"/>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无</w:t>
            </w:r>
            <w:r>
              <w:rPr>
                <w:rFonts w:hint="default" w:ascii="Times New Roman" w:hAnsi="Times New Roman" w:eastAsia="宋体" w:cs="Times New Roman"/>
                <w:color w:val="000000" w:themeColor="text1"/>
                <w:sz w:val="24"/>
                <w:szCs w:val="24"/>
                <w:lang w:eastAsia="zh-CN"/>
                <w14:textFill>
                  <w14:solidFill>
                    <w14:schemeClr w14:val="tx1"/>
                  </w14:solidFill>
                </w14:textFill>
              </w:rPr>
              <w:t>法综合利用的由具备资质的单位及时转运处理，处置过程符合《油气田钻井固体废弃物综合利用污染物控制要求》（DB 65/T 3997—2017）相关要求，具备条件的可综合利用。</w:t>
            </w:r>
          </w:p>
          <w:p w14:paraId="01BA385D">
            <w:pPr>
              <w:pStyle w:val="22"/>
              <w:widowControl w:val="0"/>
              <w:kinsoku/>
              <w:spacing w:before="3" w:line="359" w:lineRule="auto"/>
              <w:ind w:right="4"/>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6.2钻井岩屑</w:t>
            </w:r>
          </w:p>
          <w:p w14:paraId="6010FA5C">
            <w:pPr>
              <w:pStyle w:val="22"/>
              <w:widowControl w:val="0"/>
              <w:kinsoku/>
              <w:spacing w:before="3" w:line="359" w:lineRule="auto"/>
              <w:ind w:left="2" w:right="4" w:firstLine="481"/>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钻井过程中，岩石经钻头和钻井液的研磨而破碎成岩屑，随钻井液排出井口，进入钻井液不落地系统处理后岩屑与钻井液分离，固体岩屑拉运处理。岩屑产生量与井身结构有关，可按下式计算：</w:t>
            </w:r>
          </w:p>
          <w:p w14:paraId="06618C92">
            <w:pPr>
              <w:widowControl w:val="0"/>
              <w:kinsoku/>
              <w:spacing w:line="322" w:lineRule="exact"/>
              <w:ind w:left="3254"/>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position w:val="1"/>
                <w:sz w:val="24"/>
                <w:szCs w:val="24"/>
                <w:lang w:eastAsia="zh-CN"/>
                <w14:textFill>
                  <w14:solidFill>
                    <w14:schemeClr w14:val="tx1"/>
                  </w14:solidFill>
                </w14:textFill>
              </w:rPr>
              <w:t>W=1/4×</w:t>
            </w:r>
            <w:r>
              <w:rPr>
                <w:rFonts w:hint="default" w:ascii="Times New Roman" w:hAnsi="Times New Roman" w:eastAsia="宋体" w:cs="Times New Roman"/>
                <w:color w:val="000000" w:themeColor="text1"/>
                <w:spacing w:val="-4"/>
                <w:position w:val="1"/>
                <w:sz w:val="24"/>
                <w:szCs w:val="24"/>
                <w14:textFill>
                  <w14:solidFill>
                    <w14:schemeClr w14:val="tx1"/>
                  </w14:solidFill>
                </w14:textFill>
              </w:rPr>
              <w:t>π</w:t>
            </w:r>
            <w:r>
              <w:rPr>
                <w:rFonts w:hint="default" w:ascii="Times New Roman" w:hAnsi="Times New Roman" w:eastAsia="宋体" w:cs="Times New Roman"/>
                <w:color w:val="000000" w:themeColor="text1"/>
                <w:spacing w:val="-4"/>
                <w:position w:val="1"/>
                <w:sz w:val="24"/>
                <w:szCs w:val="24"/>
                <w:lang w:eastAsia="zh-CN"/>
                <w14:textFill>
                  <w14:solidFill>
                    <w14:schemeClr w14:val="tx1"/>
                  </w14:solidFill>
                </w14:textFill>
              </w:rPr>
              <w:t>×D</w:t>
            </w:r>
            <w:r>
              <w:rPr>
                <w:rFonts w:hint="default" w:ascii="Times New Roman" w:hAnsi="Times New Roman" w:eastAsia="宋体" w:cs="Times New Roman"/>
                <w:color w:val="000000" w:themeColor="text1"/>
                <w:spacing w:val="-4"/>
                <w:position w:val="8"/>
                <w:sz w:val="15"/>
                <w:szCs w:val="15"/>
                <w:lang w:eastAsia="zh-CN"/>
                <w14:textFill>
                  <w14:solidFill>
                    <w14:schemeClr w14:val="tx1"/>
                  </w14:solidFill>
                </w14:textFill>
              </w:rPr>
              <w:t>2</w:t>
            </w:r>
            <w:r>
              <w:rPr>
                <w:rFonts w:hint="default" w:ascii="Times New Roman" w:hAnsi="Times New Roman" w:eastAsia="宋体" w:cs="Times New Roman"/>
                <w:color w:val="000000" w:themeColor="text1"/>
                <w:spacing w:val="-4"/>
                <w:position w:val="1"/>
                <w:sz w:val="24"/>
                <w:szCs w:val="24"/>
                <w:lang w:eastAsia="zh-CN"/>
                <w14:textFill>
                  <w14:solidFill>
                    <w14:schemeClr w14:val="tx1"/>
                  </w14:solidFill>
                </w14:textFill>
              </w:rPr>
              <w:t>×h×P</w:t>
            </w:r>
          </w:p>
          <w:p w14:paraId="675A6BCB">
            <w:pPr>
              <w:pStyle w:val="22"/>
              <w:widowControl w:val="0"/>
              <w:kinsoku/>
              <w:spacing w:before="153" w:line="219" w:lineRule="auto"/>
              <w:ind w:left="488"/>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式中：W——产生的岩屑量，m</w:t>
            </w:r>
            <w:r>
              <w:rPr>
                <w:rFonts w:hint="default" w:ascii="Times New Roman" w:hAnsi="Times New Roman" w:eastAsia="宋体" w:cs="Times New Roman"/>
                <w:color w:val="000000" w:themeColor="text1"/>
                <w:spacing w:val="-1"/>
                <w:position w:val="8"/>
                <w:sz w:val="15"/>
                <w:szCs w:val="15"/>
                <w:lang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p>
          <w:p w14:paraId="12E631C7">
            <w:pPr>
              <w:pStyle w:val="22"/>
              <w:widowControl w:val="0"/>
              <w:kinsoku/>
              <w:spacing w:before="183" w:line="219" w:lineRule="auto"/>
              <w:ind w:left="1198"/>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D——井眼平均井径，m；</w:t>
            </w:r>
          </w:p>
          <w:p w14:paraId="24104968">
            <w:pPr>
              <w:pStyle w:val="22"/>
              <w:widowControl w:val="0"/>
              <w:kinsoku/>
              <w:spacing w:before="180" w:line="360" w:lineRule="auto"/>
              <w:ind w:left="1195"/>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h——裸眼长度，m；</w:t>
            </w:r>
          </w:p>
          <w:p w14:paraId="1FDCD168">
            <w:pPr>
              <w:pStyle w:val="22"/>
              <w:widowControl w:val="0"/>
              <w:kinsoku/>
              <w:spacing w:before="3" w:line="360" w:lineRule="auto"/>
              <w:ind w:right="4" w:firstLine="1200" w:firstLineChars="5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P——膨胀系数，使用水基钻井液体系时取P= 1.8，油基钻井液体系取P=4。</w:t>
            </w:r>
          </w:p>
          <w:p w14:paraId="755A4637">
            <w:pPr>
              <w:pStyle w:val="6"/>
              <w:widowControl w:val="0"/>
              <w:kinsoku/>
              <w:ind w:firstLine="472"/>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岩屑产生量</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详见下表：</w:t>
            </w:r>
          </w:p>
          <w:p w14:paraId="2344981B">
            <w:pPr>
              <w:pStyle w:val="28"/>
              <w:widowControl w:val="0"/>
              <w:kinsoku/>
              <w:ind w:firstLine="0" w:firstLineChars="0"/>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表4-</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 钻井岩屑产生量一览表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0"/>
              <w:gridCol w:w="1087"/>
              <w:gridCol w:w="872"/>
              <w:gridCol w:w="1090"/>
              <w:gridCol w:w="4572"/>
            </w:tblGrid>
            <w:tr w14:paraId="7A9F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0" w:space="0"/>
                    <w:bottom w:val="single" w:color="auto" w:sz="4" w:space="0"/>
                    <w:right w:val="single" w:color="auto" w:sz="4" w:space="0"/>
                  </w:tcBorders>
                  <w:vAlign w:val="center"/>
                </w:tcPr>
                <w:p w14:paraId="48782F94">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开钻</w:t>
                  </w:r>
                </w:p>
                <w:p w14:paraId="5AD2DF8B">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次序</w:t>
                  </w:r>
                </w:p>
              </w:tc>
              <w:tc>
                <w:tcPr>
                  <w:tcW w:w="674" w:type="pct"/>
                  <w:tcBorders>
                    <w:top w:val="single" w:color="auto" w:sz="4" w:space="0"/>
                    <w:left w:val="single" w:color="auto" w:sz="4" w:space="0"/>
                    <w:bottom w:val="single" w:color="auto" w:sz="4" w:space="0"/>
                    <w:right w:val="single" w:color="auto" w:sz="4" w:space="0"/>
                  </w:tcBorders>
                  <w:vAlign w:val="center"/>
                </w:tcPr>
                <w:p w14:paraId="5213FBA4">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钻井液类型</w:t>
                  </w:r>
                </w:p>
              </w:tc>
              <w:tc>
                <w:tcPr>
                  <w:tcW w:w="541" w:type="pct"/>
                  <w:tcBorders>
                    <w:top w:val="single" w:color="auto" w:sz="4" w:space="0"/>
                    <w:left w:val="single" w:color="auto" w:sz="4" w:space="0"/>
                    <w:bottom w:val="single" w:color="auto" w:sz="4" w:space="0"/>
                    <w:right w:val="single" w:color="auto" w:sz="4" w:space="0"/>
                  </w:tcBorders>
                  <w:vAlign w:val="center"/>
                </w:tcPr>
                <w:p w14:paraId="46A2285D">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钻头尺寸</w:t>
                  </w:r>
                </w:p>
                <w:p w14:paraId="13A6C13D">
                  <w:pPr>
                    <w:pStyle w:val="25"/>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(mm)</w:t>
                  </w:r>
                </w:p>
              </w:tc>
              <w:tc>
                <w:tcPr>
                  <w:tcW w:w="674" w:type="pct"/>
                  <w:tcBorders>
                    <w:top w:val="single" w:color="auto" w:sz="4" w:space="0"/>
                    <w:left w:val="single" w:color="auto" w:sz="4" w:space="0"/>
                    <w:bottom w:val="single" w:color="auto" w:sz="4" w:space="0"/>
                    <w:right w:val="single" w:color="auto" w:sz="4" w:space="0"/>
                  </w:tcBorders>
                  <w:vAlign w:val="center"/>
                </w:tcPr>
                <w:p w14:paraId="7B20B0B8">
                  <w:pPr>
                    <w:pStyle w:val="22"/>
                    <w:kinsoku/>
                    <w:spacing w:before="60" w:line="228"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井段（m）</w:t>
                  </w:r>
                </w:p>
              </w:tc>
              <w:tc>
                <w:tcPr>
                  <w:tcW w:w="2835" w:type="pct"/>
                  <w:tcBorders>
                    <w:top w:val="single" w:color="auto" w:sz="4" w:space="0"/>
                    <w:left w:val="single" w:color="auto" w:sz="4" w:space="0"/>
                    <w:bottom w:val="single" w:color="auto" w:sz="4" w:space="0"/>
                    <w:right w:val="single" w:color="auto" w:sz="4" w:space="0"/>
                  </w:tcBorders>
                  <w:vAlign w:val="center"/>
                </w:tcPr>
                <w:p w14:paraId="7D7111B5">
                  <w:pPr>
                    <w:pStyle w:val="22"/>
                    <w:kinsoku/>
                    <w:spacing w:before="60" w:line="228" w:lineRule="auto"/>
                    <w:jc w:val="cente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lang w:eastAsia="zh-CN"/>
                      <w14:textFill>
                        <w14:solidFill>
                          <w14:schemeClr w14:val="tx1"/>
                        </w14:solidFill>
                      </w14:textFill>
                    </w:rPr>
                    <w:t>岩屑产生量</w:t>
                  </w:r>
                </w:p>
                <w:p w14:paraId="41A59F74">
                  <w:pPr>
                    <w:pStyle w:val="22"/>
                    <w:kinsoku/>
                    <w:spacing w:before="60" w:line="228" w:lineRule="auto"/>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1"/>
                      <w:sz w:val="21"/>
                      <w:szCs w:val="21"/>
                      <w:highlight w:val="none"/>
                      <w:lang w:eastAsia="zh-CN"/>
                      <w14:textFill>
                        <w14:solidFill>
                          <w14:schemeClr w14:val="tx1"/>
                        </w14:solidFill>
                      </w14:textFill>
                    </w:rPr>
                    <w:t>m</w:t>
                  </w:r>
                  <w:r>
                    <w:rPr>
                      <w:rFonts w:hint="default" w:ascii="Times New Roman" w:hAnsi="Times New Roman" w:eastAsia="宋体" w:cs="Times New Roman"/>
                      <w:b/>
                      <w:bCs/>
                      <w:color w:val="000000" w:themeColor="text1"/>
                      <w:spacing w:val="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w:t>
                  </w:r>
                </w:p>
              </w:tc>
            </w:tr>
            <w:tr w14:paraId="1D43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9AC3211">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萨L1501H</w:t>
                  </w:r>
                </w:p>
              </w:tc>
            </w:tr>
            <w:tr w14:paraId="2442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7590E646">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导眼</w:t>
                  </w:r>
                </w:p>
              </w:tc>
              <w:tc>
                <w:tcPr>
                  <w:tcW w:w="674" w:type="pct"/>
                  <w:vMerge w:val="restart"/>
                  <w:tcBorders>
                    <w:top w:val="single" w:color="auto" w:sz="4" w:space="0"/>
                    <w:left w:val="single" w:color="auto" w:sz="4" w:space="0"/>
                    <w:right w:val="single" w:color="auto" w:sz="4" w:space="0"/>
                  </w:tcBorders>
                  <w:vAlign w:val="center"/>
                </w:tcPr>
                <w:p w14:paraId="02A58461">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水基钻井液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6A049E0A">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Φ660</w:t>
                  </w:r>
                </w:p>
              </w:tc>
              <w:tc>
                <w:tcPr>
                  <w:tcW w:w="674" w:type="pct"/>
                  <w:tcBorders>
                    <w:top w:val="single" w:color="auto" w:sz="4" w:space="0"/>
                    <w:left w:val="single" w:color="auto" w:sz="4" w:space="0"/>
                    <w:bottom w:val="single" w:color="auto" w:sz="4" w:space="0"/>
                    <w:right w:val="single" w:color="auto" w:sz="4" w:space="0"/>
                  </w:tcBorders>
                  <w:vAlign w:val="center"/>
                </w:tcPr>
                <w:p w14:paraId="3BE78ACD">
                  <w:pPr>
                    <w:kinsoku/>
                    <w:jc w:val="center"/>
                    <w:textAlignment w:val="center"/>
                    <w:rPr>
                      <w:rFonts w:hint="default" w:ascii="Times New Roman" w:hAnsi="Times New Roman" w:eastAsia="宋体" w:cs="Times New Roman"/>
                      <w:color w:val="000000" w:themeColor="text1"/>
                      <w:highlight w:val="none"/>
                      <w:lang w:val="zh-CN"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0-30</w:t>
                  </w:r>
                </w:p>
              </w:tc>
              <w:tc>
                <w:tcPr>
                  <w:tcW w:w="4587" w:type="dxa"/>
                  <w:tcBorders>
                    <w:top w:val="single" w:color="auto" w:sz="4" w:space="0"/>
                    <w:left w:val="single" w:color="auto" w:sz="4" w:space="0"/>
                    <w:bottom w:val="single" w:color="auto" w:sz="4" w:space="0"/>
                    <w:right w:val="single" w:color="auto" w:sz="4" w:space="0"/>
                  </w:tcBorders>
                  <w:vAlign w:val="center"/>
                </w:tcPr>
                <w:p w14:paraId="428485E0">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18.47 </w:t>
                  </w:r>
                </w:p>
              </w:tc>
            </w:tr>
            <w:tr w14:paraId="59AB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03AFED27">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一开</w:t>
                  </w:r>
                </w:p>
              </w:tc>
              <w:tc>
                <w:tcPr>
                  <w:tcW w:w="674" w:type="pct"/>
                  <w:vMerge w:val="continue"/>
                  <w:tcBorders>
                    <w:left w:val="single" w:color="auto" w:sz="4" w:space="0"/>
                    <w:right w:val="single" w:color="auto" w:sz="4" w:space="0"/>
                  </w:tcBorders>
                  <w:vAlign w:val="center"/>
                </w:tcPr>
                <w:p w14:paraId="57ACB35C">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875" w:type="dxa"/>
                  <w:tcBorders>
                    <w:top w:val="single" w:color="auto" w:sz="4" w:space="0"/>
                    <w:left w:val="single" w:color="auto" w:sz="4" w:space="0"/>
                    <w:bottom w:val="single" w:color="auto" w:sz="4" w:space="0"/>
                    <w:right w:val="single" w:color="auto" w:sz="4" w:space="0"/>
                  </w:tcBorders>
                  <w:vAlign w:val="center"/>
                </w:tcPr>
                <w:p w14:paraId="5053FB0D">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Φ375</w:t>
                  </w:r>
                </w:p>
              </w:tc>
              <w:tc>
                <w:tcPr>
                  <w:tcW w:w="674" w:type="pct"/>
                  <w:tcBorders>
                    <w:top w:val="single" w:color="auto" w:sz="4" w:space="0"/>
                    <w:left w:val="single" w:color="auto" w:sz="4" w:space="0"/>
                    <w:bottom w:val="single" w:color="auto" w:sz="4" w:space="0"/>
                    <w:right w:val="single" w:color="auto" w:sz="4" w:space="0"/>
                  </w:tcBorders>
                  <w:vAlign w:val="center"/>
                </w:tcPr>
                <w:p w14:paraId="4734F43C">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30-</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7</w:t>
                  </w:r>
                  <w:r>
                    <w:rPr>
                      <w:rFonts w:hint="default" w:ascii="Times New Roman" w:hAnsi="Times New Roman" w:eastAsia="宋体" w:cs="Times New Roman"/>
                      <w:color w:val="000000" w:themeColor="text1"/>
                      <w:highlight w:val="none"/>
                      <w:lang w:eastAsia="zh-CN" w:bidi="ar"/>
                      <w14:textFill>
                        <w14:solidFill>
                          <w14:schemeClr w14:val="tx1"/>
                        </w14:solidFill>
                      </w14:textFill>
                    </w:rPr>
                    <w:t>00</w:t>
                  </w:r>
                </w:p>
              </w:tc>
              <w:tc>
                <w:tcPr>
                  <w:tcW w:w="4587" w:type="dxa"/>
                  <w:tcBorders>
                    <w:top w:val="single" w:color="auto" w:sz="4" w:space="0"/>
                    <w:left w:val="single" w:color="auto" w:sz="4" w:space="0"/>
                    <w:bottom w:val="single" w:color="auto" w:sz="4" w:space="0"/>
                    <w:right w:val="single" w:color="auto" w:sz="4" w:space="0"/>
                  </w:tcBorders>
                  <w:vAlign w:val="center"/>
                </w:tcPr>
                <w:p w14:paraId="468A5937">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133.13 </w:t>
                  </w:r>
                </w:p>
              </w:tc>
            </w:tr>
            <w:tr w14:paraId="15A5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1F7AABB3">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二开</w:t>
                  </w:r>
                </w:p>
              </w:tc>
              <w:tc>
                <w:tcPr>
                  <w:tcW w:w="674" w:type="pct"/>
                  <w:tcBorders>
                    <w:left w:val="single" w:color="auto" w:sz="4" w:space="0"/>
                    <w:right w:val="single" w:color="auto" w:sz="4" w:space="0"/>
                  </w:tcBorders>
                  <w:vAlign w:val="center"/>
                </w:tcPr>
                <w:p w14:paraId="2F687B32">
                  <w:pPr>
                    <w:pStyle w:val="25"/>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油基钻井液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5763ADF3">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Φ251</w:t>
                  </w:r>
                </w:p>
              </w:tc>
              <w:tc>
                <w:tcPr>
                  <w:tcW w:w="674" w:type="pct"/>
                  <w:tcBorders>
                    <w:top w:val="single" w:color="auto" w:sz="4" w:space="0"/>
                    <w:left w:val="single" w:color="auto" w:sz="4" w:space="0"/>
                    <w:bottom w:val="single" w:color="auto" w:sz="4" w:space="0"/>
                    <w:right w:val="single" w:color="auto" w:sz="4" w:space="0"/>
                  </w:tcBorders>
                  <w:vAlign w:val="center"/>
                </w:tcPr>
                <w:p w14:paraId="0B76FFCB">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7</w:t>
                  </w:r>
                  <w:r>
                    <w:rPr>
                      <w:rFonts w:hint="default" w:ascii="Times New Roman" w:hAnsi="Times New Roman" w:eastAsia="宋体" w:cs="Times New Roman"/>
                      <w:color w:val="000000" w:themeColor="text1"/>
                      <w:highlight w:val="none"/>
                      <w:lang w:eastAsia="zh-CN" w:bidi="ar"/>
                      <w14:textFill>
                        <w14:solidFill>
                          <w14:schemeClr w14:val="tx1"/>
                        </w14:solidFill>
                      </w14:textFill>
                    </w:rPr>
                    <w:t>00-3</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highlight w:val="none"/>
                      <w:lang w:eastAsia="zh-CN" w:bidi="ar"/>
                      <w14:textFill>
                        <w14:solidFill>
                          <w14:schemeClr w14:val="tx1"/>
                        </w14:solidFill>
                      </w14:textFill>
                    </w:rPr>
                    <w:t>00</w:t>
                  </w:r>
                </w:p>
              </w:tc>
              <w:tc>
                <w:tcPr>
                  <w:tcW w:w="4587" w:type="dxa"/>
                  <w:tcBorders>
                    <w:top w:val="single" w:color="auto" w:sz="4" w:space="0"/>
                    <w:left w:val="single" w:color="auto" w:sz="4" w:space="0"/>
                    <w:bottom w:val="single" w:color="auto" w:sz="4" w:space="0"/>
                    <w:right w:val="single" w:color="auto" w:sz="4" w:space="0"/>
                  </w:tcBorders>
                  <w:vAlign w:val="center"/>
                </w:tcPr>
                <w:p w14:paraId="1F1A70C1">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454.99 </w:t>
                  </w:r>
                </w:p>
              </w:tc>
            </w:tr>
            <w:tr w14:paraId="2D4F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7C14E042">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三开</w:t>
                  </w:r>
                </w:p>
              </w:tc>
              <w:tc>
                <w:tcPr>
                  <w:tcW w:w="674" w:type="pct"/>
                  <w:tcBorders>
                    <w:left w:val="single" w:color="auto" w:sz="4" w:space="0"/>
                    <w:right w:val="single" w:color="auto" w:sz="4" w:space="0"/>
                  </w:tcBorders>
                  <w:vAlign w:val="center"/>
                </w:tcPr>
                <w:p w14:paraId="4F8B8EAB">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水基钻井液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6C1FC250">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000000" w:themeColor="text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Φ168</w:t>
                  </w:r>
                </w:p>
              </w:tc>
              <w:tc>
                <w:tcPr>
                  <w:tcW w:w="674" w:type="pct"/>
                  <w:tcBorders>
                    <w:top w:val="single" w:color="auto" w:sz="4" w:space="0"/>
                    <w:left w:val="single" w:color="auto" w:sz="4" w:space="0"/>
                    <w:bottom w:val="single" w:color="auto" w:sz="4" w:space="0"/>
                    <w:right w:val="single" w:color="auto" w:sz="4" w:space="0"/>
                  </w:tcBorders>
                  <w:vAlign w:val="center"/>
                </w:tcPr>
                <w:p w14:paraId="5E1C53B3">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highlight w:val="none"/>
                      <w:lang w:eastAsia="zh-CN" w:bidi="ar"/>
                      <w14:textFill>
                        <w14:solidFill>
                          <w14:schemeClr w14:val="tx1"/>
                        </w14:solidFill>
                      </w14:textFill>
                    </w:rPr>
                    <w:t>00-5</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000</w:t>
                  </w:r>
                </w:p>
              </w:tc>
              <w:tc>
                <w:tcPr>
                  <w:tcW w:w="4587" w:type="dxa"/>
                  <w:tcBorders>
                    <w:top w:val="single" w:color="auto" w:sz="4" w:space="0"/>
                    <w:left w:val="single" w:color="auto" w:sz="4" w:space="0"/>
                    <w:bottom w:val="single" w:color="auto" w:sz="4" w:space="0"/>
                    <w:right w:val="single" w:color="auto" w:sz="4" w:space="0"/>
                  </w:tcBorders>
                  <w:vAlign w:val="center"/>
                </w:tcPr>
                <w:p w14:paraId="08153B64">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79.76 </w:t>
                  </w:r>
                </w:p>
              </w:tc>
            </w:tr>
            <w:tr w14:paraId="3B35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9223F95">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萨L1501H-1</w:t>
                  </w:r>
                </w:p>
              </w:tc>
            </w:tr>
            <w:tr w14:paraId="39CB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04C5DDF9">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导眼</w:t>
                  </w:r>
                </w:p>
              </w:tc>
              <w:tc>
                <w:tcPr>
                  <w:tcW w:w="674" w:type="pct"/>
                  <w:vMerge w:val="restart"/>
                  <w:tcBorders>
                    <w:left w:val="single" w:color="auto" w:sz="4" w:space="0"/>
                    <w:right w:val="single" w:color="auto" w:sz="4" w:space="0"/>
                  </w:tcBorders>
                  <w:vAlign w:val="center"/>
                </w:tcPr>
                <w:p w14:paraId="2506A6DD">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水基钻井液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41BEACE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Φ660</w:t>
                  </w:r>
                </w:p>
              </w:tc>
              <w:tc>
                <w:tcPr>
                  <w:tcW w:w="1093" w:type="dxa"/>
                  <w:tcBorders>
                    <w:top w:val="single" w:color="auto" w:sz="4" w:space="0"/>
                    <w:left w:val="single" w:color="auto" w:sz="4" w:space="0"/>
                    <w:bottom w:val="single" w:color="auto" w:sz="4" w:space="0"/>
                    <w:right w:val="single" w:color="auto" w:sz="4" w:space="0"/>
                  </w:tcBorders>
                  <w:vAlign w:val="center"/>
                </w:tcPr>
                <w:p w14:paraId="5396359A">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0-30</w:t>
                  </w:r>
                </w:p>
              </w:tc>
              <w:tc>
                <w:tcPr>
                  <w:tcW w:w="4587" w:type="dxa"/>
                  <w:tcBorders>
                    <w:top w:val="single" w:color="auto" w:sz="4" w:space="0"/>
                    <w:left w:val="single" w:color="auto" w:sz="4" w:space="0"/>
                    <w:bottom w:val="single" w:color="auto" w:sz="4" w:space="0"/>
                    <w:right w:val="single" w:color="auto" w:sz="4" w:space="0"/>
                  </w:tcBorders>
                  <w:vAlign w:val="center"/>
                </w:tcPr>
                <w:p w14:paraId="6D00A88B">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18.47 </w:t>
                  </w:r>
                </w:p>
              </w:tc>
            </w:tr>
            <w:tr w14:paraId="4A85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1EEBEBB6">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一开</w:t>
                  </w:r>
                </w:p>
              </w:tc>
              <w:tc>
                <w:tcPr>
                  <w:tcW w:w="674" w:type="pct"/>
                  <w:vMerge w:val="continue"/>
                  <w:tcBorders>
                    <w:left w:val="single" w:color="auto" w:sz="4" w:space="0"/>
                    <w:right w:val="single" w:color="auto" w:sz="4" w:space="0"/>
                  </w:tcBorders>
                  <w:vAlign w:val="center"/>
                </w:tcPr>
                <w:p w14:paraId="4C4D0199">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875" w:type="dxa"/>
                  <w:tcBorders>
                    <w:top w:val="single" w:color="auto" w:sz="4" w:space="0"/>
                    <w:left w:val="single" w:color="auto" w:sz="4" w:space="0"/>
                    <w:bottom w:val="single" w:color="auto" w:sz="4" w:space="0"/>
                    <w:right w:val="single" w:color="auto" w:sz="4" w:space="0"/>
                  </w:tcBorders>
                  <w:vAlign w:val="center"/>
                </w:tcPr>
                <w:p w14:paraId="087FE67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Φ375</w:t>
                  </w:r>
                </w:p>
              </w:tc>
              <w:tc>
                <w:tcPr>
                  <w:tcW w:w="1093" w:type="dxa"/>
                  <w:tcBorders>
                    <w:top w:val="single" w:color="auto" w:sz="4" w:space="0"/>
                    <w:left w:val="single" w:color="auto" w:sz="4" w:space="0"/>
                    <w:bottom w:val="single" w:color="auto" w:sz="4" w:space="0"/>
                    <w:right w:val="single" w:color="auto" w:sz="4" w:space="0"/>
                  </w:tcBorders>
                  <w:vAlign w:val="center"/>
                </w:tcPr>
                <w:p w14:paraId="183ED0BA">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30-700</w:t>
                  </w:r>
                </w:p>
              </w:tc>
              <w:tc>
                <w:tcPr>
                  <w:tcW w:w="4587" w:type="dxa"/>
                  <w:tcBorders>
                    <w:top w:val="single" w:color="auto" w:sz="4" w:space="0"/>
                    <w:left w:val="single" w:color="auto" w:sz="4" w:space="0"/>
                    <w:bottom w:val="single" w:color="auto" w:sz="4" w:space="0"/>
                    <w:right w:val="single" w:color="auto" w:sz="4" w:space="0"/>
                  </w:tcBorders>
                  <w:vAlign w:val="center"/>
                </w:tcPr>
                <w:p w14:paraId="042221FF">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133.13 </w:t>
                  </w:r>
                </w:p>
              </w:tc>
            </w:tr>
            <w:tr w14:paraId="32DB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64BDFEAD">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二开</w:t>
                  </w:r>
                </w:p>
              </w:tc>
              <w:tc>
                <w:tcPr>
                  <w:tcW w:w="674" w:type="pct"/>
                  <w:tcBorders>
                    <w:left w:val="single" w:color="auto" w:sz="4" w:space="0"/>
                    <w:right w:val="single" w:color="auto" w:sz="4" w:space="0"/>
                  </w:tcBorders>
                  <w:vAlign w:val="center"/>
                </w:tcPr>
                <w:p w14:paraId="3CFFF604">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油基钻井液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1BEA08B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Φ251</w:t>
                  </w:r>
                </w:p>
              </w:tc>
              <w:tc>
                <w:tcPr>
                  <w:tcW w:w="1093" w:type="dxa"/>
                  <w:tcBorders>
                    <w:top w:val="single" w:color="auto" w:sz="4" w:space="0"/>
                    <w:left w:val="single" w:color="auto" w:sz="4" w:space="0"/>
                    <w:bottom w:val="single" w:color="auto" w:sz="4" w:space="0"/>
                    <w:right w:val="single" w:color="auto" w:sz="4" w:space="0"/>
                  </w:tcBorders>
                  <w:vAlign w:val="center"/>
                </w:tcPr>
                <w:p w14:paraId="63EA09BC">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700-3000</w:t>
                  </w:r>
                </w:p>
              </w:tc>
              <w:tc>
                <w:tcPr>
                  <w:tcW w:w="4587" w:type="dxa"/>
                  <w:tcBorders>
                    <w:top w:val="single" w:color="auto" w:sz="4" w:space="0"/>
                    <w:left w:val="single" w:color="auto" w:sz="4" w:space="0"/>
                    <w:bottom w:val="single" w:color="auto" w:sz="4" w:space="0"/>
                    <w:right w:val="single" w:color="auto" w:sz="4" w:space="0"/>
                  </w:tcBorders>
                  <w:vAlign w:val="center"/>
                </w:tcPr>
                <w:p w14:paraId="38CABCF3">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454.99 </w:t>
                  </w:r>
                </w:p>
              </w:tc>
            </w:tr>
            <w:tr w14:paraId="5242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3A001782">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三开</w:t>
                  </w:r>
                </w:p>
              </w:tc>
              <w:tc>
                <w:tcPr>
                  <w:tcW w:w="674" w:type="pct"/>
                  <w:tcBorders>
                    <w:left w:val="single" w:color="auto" w:sz="4" w:space="0"/>
                    <w:right w:val="single" w:color="auto" w:sz="4" w:space="0"/>
                  </w:tcBorders>
                  <w:vAlign w:val="center"/>
                </w:tcPr>
                <w:p w14:paraId="6997C61D">
                  <w:pPr>
                    <w:pStyle w:val="25"/>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水基钻井液</w:t>
                  </w:r>
                </w:p>
              </w:tc>
              <w:tc>
                <w:tcPr>
                  <w:tcW w:w="875" w:type="dxa"/>
                  <w:tcBorders>
                    <w:top w:val="single" w:color="auto" w:sz="4" w:space="0"/>
                    <w:left w:val="single" w:color="auto" w:sz="4" w:space="0"/>
                    <w:bottom w:val="single" w:color="auto" w:sz="4" w:space="0"/>
                    <w:right w:val="single" w:color="auto" w:sz="4" w:space="0"/>
                  </w:tcBorders>
                  <w:vAlign w:val="center"/>
                </w:tcPr>
                <w:p w14:paraId="75C2F7E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Φ168</w:t>
                  </w:r>
                </w:p>
              </w:tc>
              <w:tc>
                <w:tcPr>
                  <w:tcW w:w="1093" w:type="dxa"/>
                  <w:tcBorders>
                    <w:top w:val="single" w:color="auto" w:sz="4" w:space="0"/>
                    <w:left w:val="single" w:color="auto" w:sz="4" w:space="0"/>
                    <w:bottom w:val="single" w:color="auto" w:sz="4" w:space="0"/>
                    <w:right w:val="single" w:color="auto" w:sz="4" w:space="0"/>
                  </w:tcBorders>
                  <w:vAlign w:val="center"/>
                </w:tcPr>
                <w:p w14:paraId="3FB42E89">
                  <w:pPr>
                    <w:keepNext w:val="0"/>
                    <w:keepLines w:val="0"/>
                    <w:widowControl/>
                    <w:suppressLineNumbers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3000-5000</w:t>
                  </w:r>
                </w:p>
              </w:tc>
              <w:tc>
                <w:tcPr>
                  <w:tcW w:w="4587" w:type="dxa"/>
                  <w:tcBorders>
                    <w:top w:val="single" w:color="auto" w:sz="4" w:space="0"/>
                    <w:left w:val="single" w:color="auto" w:sz="4" w:space="0"/>
                    <w:bottom w:val="single" w:color="auto" w:sz="4" w:space="0"/>
                    <w:right w:val="single" w:color="auto" w:sz="4" w:space="0"/>
                  </w:tcBorders>
                  <w:vAlign w:val="center"/>
                </w:tcPr>
                <w:p w14:paraId="08A67854">
                  <w:pPr>
                    <w:kinsoku/>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 xml:space="preserve">79.76 </w:t>
                  </w:r>
                </w:p>
              </w:tc>
            </w:tr>
            <w:tr w14:paraId="2A8C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164" w:type="pct"/>
                  <w:gridSpan w:val="4"/>
                  <w:tcBorders>
                    <w:top w:val="single" w:color="auto" w:sz="4" w:space="0"/>
                    <w:left w:val="single" w:color="auto" w:sz="4" w:space="0"/>
                    <w:bottom w:val="single" w:color="auto" w:sz="4" w:space="0"/>
                    <w:right w:val="single" w:color="auto" w:sz="4" w:space="0"/>
                  </w:tcBorders>
                  <w:vAlign w:val="center"/>
                </w:tcPr>
                <w:p w14:paraId="1160E6CD">
                  <w:pPr>
                    <w:kinsoku/>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合计</w:t>
                  </w:r>
                </w:p>
              </w:tc>
              <w:tc>
                <w:tcPr>
                  <w:tcW w:w="2835" w:type="pct"/>
                  <w:tcBorders>
                    <w:top w:val="single" w:color="auto" w:sz="4" w:space="0"/>
                    <w:left w:val="single" w:color="auto" w:sz="4" w:space="0"/>
                    <w:bottom w:val="single" w:color="auto" w:sz="4" w:space="0"/>
                    <w:right w:val="single" w:color="auto" w:sz="4" w:space="0"/>
                  </w:tcBorders>
                </w:tcPr>
                <w:p w14:paraId="28793AED">
                  <w:pPr>
                    <w:kinsoku/>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1372.70</w:t>
                  </w:r>
                  <w:r>
                    <w:rPr>
                      <w:rFonts w:hint="default" w:ascii="Times New Roman" w:hAnsi="Times New Roman" w:eastAsia="宋体" w:cs="Times New Roman"/>
                      <w:color w:val="000000" w:themeColor="text1"/>
                      <w:highlight w:val="none"/>
                      <w:lang w:eastAsia="zh-CN"/>
                      <w14:textFill>
                        <w14:solidFill>
                          <w14:schemeClr w14:val="tx1"/>
                        </w14:solidFill>
                      </w14:textFill>
                    </w:rPr>
                    <w:t>，其中水基岩屑</w:t>
                  </w:r>
                  <w:r>
                    <w:rPr>
                      <w:rFonts w:hint="default" w:ascii="Times New Roman" w:hAnsi="Times New Roman" w:eastAsia="宋体" w:cs="Times New Roman"/>
                      <w:color w:val="000000" w:themeColor="text1"/>
                      <w:highlight w:val="none"/>
                      <w:lang w:val="en-US" w:eastAsia="zh-CN"/>
                      <w14:textFill>
                        <w14:solidFill>
                          <w14:schemeClr w14:val="tx1"/>
                        </w14:solidFill>
                      </w14:textFill>
                    </w:rPr>
                    <w:t>462.71</w:t>
                  </w:r>
                  <w:r>
                    <w:rPr>
                      <w:rFonts w:hint="default" w:ascii="Times New Roman" w:hAnsi="Times New Roman" w:eastAsia="宋体" w:cs="Times New Roman"/>
                      <w:color w:val="000000" w:themeColor="text1"/>
                      <w:highlight w:val="none"/>
                      <w:lang w:eastAsia="zh-CN"/>
                      <w14:textFill>
                        <w14:solidFill>
                          <w14:schemeClr w14:val="tx1"/>
                        </w14:solidFill>
                      </w14:textFill>
                    </w:rPr>
                    <w:t>，油基岩屑</w:t>
                  </w:r>
                  <w:r>
                    <w:rPr>
                      <w:rFonts w:hint="default" w:ascii="Times New Roman" w:hAnsi="Times New Roman" w:eastAsia="宋体" w:cs="Times New Roman"/>
                      <w:color w:val="000000" w:themeColor="text1"/>
                      <w:highlight w:val="none"/>
                      <w:lang w:val="en-US" w:eastAsia="zh-CN"/>
                      <w14:textFill>
                        <w14:solidFill>
                          <w14:schemeClr w14:val="tx1"/>
                        </w14:solidFill>
                      </w14:textFill>
                    </w:rPr>
                    <w:t>909.99</w:t>
                  </w:r>
                </w:p>
              </w:tc>
            </w:tr>
          </w:tbl>
          <w:p w14:paraId="1F5D2449">
            <w:pPr>
              <w:pStyle w:val="22"/>
              <w:widowControl w:val="0"/>
              <w:kinsoku/>
              <w:spacing w:before="38" w:line="360" w:lineRule="auto"/>
              <w:ind w:right="4"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结合本项目钻井液体系及钻井阶段差异，钻井岩屑实行分类</w:t>
            </w:r>
            <w:r>
              <w:rPr>
                <w:rFonts w:hint="default" w:ascii="Times New Roman" w:hAnsi="Times New Roman" w:eastAsia="宋体" w:cs="Times New Roman"/>
                <w:color w:val="000000" w:themeColor="text1"/>
                <w:sz w:val="24"/>
                <w:szCs w:val="24"/>
                <w14:textFill>
                  <w14:solidFill>
                    <w14:schemeClr w14:val="tx1"/>
                  </w14:solidFill>
                </w14:textFill>
              </w:rPr>
              <w:t>管理、分段处置：</w:t>
            </w:r>
          </w:p>
          <w:p w14:paraId="2B28A429">
            <w:pPr>
              <w:pStyle w:val="22"/>
              <w:widowControl w:val="0"/>
              <w:kinsoku/>
              <w:spacing w:before="38" w:line="360" w:lineRule="auto"/>
              <w:ind w:left="3" w:right="4" w:firstLine="48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一开段采用水基钻井液，产生的水基钻井岩屑不属于危险废物。岩屑经“泥浆不落地”系统处理后，由建设单位负责全过程监管，委托具有相应环保处理能力的第三方单位进行集中处置；经检测达到《油气田钻井固体废物综合利用污染控制要求》（DB65/T3997-2017）相关限值后，方可进行综合利用</w:t>
            </w: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水基岩屑资源化利用率须 ≥80%。二开段采用油基钻井液，产生的油基钻井岩屑及废弃油基泥浆含油率高，属于危险废物（HW08类）。为彻底切断其对土壤和环境的污染，本项目严格落实“泥浆不落地”工艺。① 贮存方式及设施：油基岩屑经固控系统分离后，不接触地面，直接落入专用岩屑方罐（铁质储罐）内暂存。严禁挖掘土坑暂存、混入水基岩屑或露天散堆。②防渗要求：严格按照《危险废物贮存污染控制标准》（GB18597-2023）建设，地面采取重点防渗措施（铺设HDPE防渗膜，等效黏土防渗层Mb≥6.0m，K≤1.0×10⁻⁷cm/s），确保满足“防风、防雨、防晒、防渗漏”要求。暂存后委托具有危险废物经营资质的单位进行规范转移处置</w:t>
            </w: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严格确保油基岩屑无害化处置率达到100%。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三开阶段虽使用水基钻井液，</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考虑到存在沾染二开阶段油类物质的风险，在产生后立即进入井场配套的密封罐体，明确不在井场进行现场检测，而是采取‘暂按危废管理、拉运至场外检测’的模式 。物料由资质单位及时转运至其处理场所后，由受托方依据《油气田钻井固体废物综合利用污染控制要求》（DB 65/T3997-2017）等标准实施检测。若检测结果显示属于危废，则按危废处置；若不属于，则按一般固废利用或处置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于三开阶段产生的、处于待定性质期间的泥浆及岩屑，依托井场泥浆不落地系统配套的岩屑罐和泥浆罐进行暂存（总容积可满足单井三开阶段产生量），且通过建立基本日产日清的高频转运机制，确保井场大宗物料不积压，避免了因性质待定物料积压对井场危废贮存间造成负荷压力</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8314225">
            <w:pPr>
              <w:pStyle w:val="22"/>
              <w:widowControl w:val="0"/>
              <w:kinsoku/>
              <w:spacing w:before="38" w:line="360" w:lineRule="auto"/>
              <w:ind w:left="3" w:right="4" w:firstLine="48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综上，本项目钻井岩屑在产生、暂存、转运和处置全过程中均纳入建设单位环保管理体系，严格执行分类管理、规范处置和</w:t>
            </w:r>
            <w:r>
              <w:rPr>
                <w:rFonts w:hint="default" w:ascii="Times New Roman" w:hAnsi="Times New Roman" w:eastAsia="宋体" w:cs="Times New Roman"/>
                <w:color w:val="000000" w:themeColor="text1"/>
                <w:sz w:val="24"/>
                <w:szCs w:val="24"/>
                <w14:textFill>
                  <w14:solidFill>
                    <w14:schemeClr w14:val="tx1"/>
                  </w14:solidFill>
                </w14:textFill>
              </w:rPr>
              <w:t>风险可控原则，不会对周边环境产生不利影响。</w:t>
            </w:r>
          </w:p>
          <w:p w14:paraId="04C350E6">
            <w:pPr>
              <w:pStyle w:val="22"/>
              <w:widowControl w:val="0"/>
              <w:kinsoku/>
              <w:spacing w:line="360" w:lineRule="auto"/>
              <w:ind w:left="3"/>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t>6.3生活垃圾</w:t>
            </w:r>
          </w:p>
          <w:p w14:paraId="540337A8">
            <w:pPr>
              <w:pStyle w:val="22"/>
              <w:widowControl w:val="0"/>
              <w:kinsoku/>
              <w:spacing w:before="38" w:line="360" w:lineRule="auto"/>
              <w:ind w:left="3" w:right="4" w:firstLine="48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钻井期钻井人数</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人，单井钻井天数90天，</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施工期生活垃圾产生量按0.8kg/人·d计算，则施工期间生活垃圾产生量约</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7.2</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t，生活垃圾集中收集后委托第三方拉运至</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垃圾场处理。</w:t>
            </w:r>
          </w:p>
          <w:p w14:paraId="1A7B1966">
            <w:pPr>
              <w:pStyle w:val="22"/>
              <w:widowControl w:val="0"/>
              <w:kinsoku/>
              <w:spacing w:before="2" w:line="360" w:lineRule="auto"/>
              <w:ind w:left="3"/>
              <w:jc w:val="both"/>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3"/>
                <w:sz w:val="24"/>
                <w:szCs w:val="24"/>
                <w:lang w:eastAsia="zh-CN"/>
                <w14:textFill>
                  <w14:solidFill>
                    <w14:schemeClr w14:val="tx1"/>
                  </w14:solidFill>
                </w14:textFill>
              </w:rPr>
              <w:t>6.4废防渗材料</w:t>
            </w:r>
          </w:p>
          <w:p w14:paraId="7F8A3112">
            <w:pPr>
              <w:pStyle w:val="22"/>
              <w:widowControl w:val="0"/>
              <w:kinsoku/>
              <w:spacing w:before="2" w:line="360" w:lineRule="auto"/>
              <w:ind w:left="3" w:firstLine="472"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施工结束对场地进行清理时，会产生在防渗区域铺设的废防渗材料，拆除的未破损且未沾油的防渗材料由建设单位集中回收利用，类比其他钻井井场施工经</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验，沾油的废防渗材料产生量约0.02t/井，本项目共计2口</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评价</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井，预计产生量约为0.04t。沾油的</w:t>
            </w:r>
            <w:r>
              <w:rPr>
                <w:rFonts w:hint="default" w:ascii="Times New Roman" w:hAnsi="Times New Roman" w:eastAsia="宋体" w:cs="Times New Roman"/>
                <w:color w:val="000000" w:themeColor="text1"/>
                <w:sz w:val="24"/>
                <w:szCs w:val="24"/>
                <w:lang w:eastAsia="zh-CN"/>
                <w14:textFill>
                  <w14:solidFill>
                    <w14:schemeClr w14:val="tx1"/>
                  </w14:solidFill>
                </w14:textFill>
              </w:rPr>
              <w:t>废防渗材料属于《国家危险废物名录》（2025年版）中的</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HW08废矿物油与含矿物油类危险废物（废物代码为900-249-08，危险特</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性为毒性和易燃性</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施工结</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束后委托具有相应危险废物处置资质的单位进行处置。</w:t>
            </w:r>
          </w:p>
          <w:p w14:paraId="738989A1">
            <w:pPr>
              <w:pStyle w:val="22"/>
              <w:widowControl w:val="0"/>
              <w:kinsoku/>
              <w:spacing w:before="38" w:line="359" w:lineRule="auto"/>
              <w:ind w:right="4"/>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6.5落地油</w:t>
            </w:r>
          </w:p>
          <w:p w14:paraId="7E71DCB2">
            <w:pPr>
              <w:pStyle w:val="22"/>
              <w:widowControl w:val="0"/>
              <w:kinsoku/>
              <w:spacing w:before="38" w:line="359" w:lineRule="auto"/>
              <w:ind w:left="3" w:right="4"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工程钻井期和试油期间事故状态下可能产生少量落地原油和含油污泥，落地油要求100%回收。本工程试油期产生的液体首先进入试油产液缓冲罐后，采用槽车安装抽油泵的抽汲方式将试油产液吸入罐车，试油过程敷设防渗布。落地油产生量很小。根据相关资料，探井单井试油期产生的落地油产生量约在10-50kg/口。由于探井存在不出油的可能性。只有在有油条件下可能产生落地油，不出油时则没有落地油产生。假设本项目钻井全部出油，则落地油泥产生量共计0.1t。根据《国家危险废物名录》（2025年版）、《危险废物环境管理指南 陆上石油天然气开采》（生态环境部公告2021年第74号），落地油属于《国家危险废物名录》（2025年版）中的HW08废矿物油与含矿物油类危险废物，废物代码为071-001-08，落地油100%回收。</w:t>
            </w:r>
          </w:p>
          <w:p w14:paraId="712C9890">
            <w:pPr>
              <w:pStyle w:val="22"/>
              <w:widowControl w:val="0"/>
              <w:kinsoku/>
              <w:spacing w:before="38" w:line="359" w:lineRule="auto"/>
              <w:ind w:right="4"/>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6.6机械设备废油与废油桶</w:t>
            </w:r>
          </w:p>
          <w:p w14:paraId="56E5CEE9">
            <w:pPr>
              <w:pStyle w:val="22"/>
              <w:widowControl w:val="0"/>
              <w:kinsoku/>
              <w:spacing w:before="38" w:line="359" w:lineRule="auto"/>
              <w:ind w:left="3" w:right="4"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钻井期间使用的机械设备运行过程中需进行维护、保养、维修等工作，以使其能正常运转，此过程中将产生少量的废油，如废润滑油、废机油等，与之相应会有废油桶产生。类比调查一个钻井期机械设备产生的废油产生量不足0.5t，本工程2口评价井产生量约1t，废润滑油桶产生量为0.</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t，钻井期间产生的废油与废油桶暂存至危废贮存点，委托有资质单位进行处置。</w:t>
            </w:r>
          </w:p>
          <w:p w14:paraId="493FB190">
            <w:pPr>
              <w:pStyle w:val="22"/>
              <w:widowControl w:val="0"/>
              <w:kinsoku/>
              <w:spacing w:before="38" w:line="359" w:lineRule="auto"/>
              <w:ind w:left="3" w:right="4"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国家危险废物名录》（2025年版），设备检修与维护过程间歇产生的废矿物油划分为“HW08废矿物油与含矿物油废物类”，其危险废物编号为900-214-08，废油桶危险废物编号为900-249-08，上述危险废物暂存至危废贮存点，委托有资质单位进行处置。</w:t>
            </w:r>
          </w:p>
          <w:p w14:paraId="71F92BB0">
            <w:pPr>
              <w:pStyle w:val="22"/>
              <w:widowControl w:val="0"/>
              <w:kinsoku/>
              <w:spacing w:before="38" w:line="359" w:lineRule="auto"/>
              <w:ind w:right="4"/>
              <w:jc w:val="both"/>
              <w:rPr>
                <w:rFonts w:hint="default" w:ascii="sans-serif" w:hAnsi="sans-serif" w:eastAsia="sans-serif" w:cs="sans-serif"/>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6.7 生物质锅炉灰渣及除尘灰</w:t>
            </w:r>
          </w:p>
          <w:p w14:paraId="3914F490">
            <w:pPr>
              <w:pStyle w:val="22"/>
              <w:keepNext w:val="0"/>
              <w:keepLines w:val="0"/>
              <w:pageBreakBefore w:val="0"/>
              <w:widowControl w:val="0"/>
              <w:kinsoku/>
              <w:wordWrap/>
              <w:overflowPunct/>
              <w:topLinePunct w:val="0"/>
              <w:autoSpaceDE w:val="0"/>
              <w:autoSpaceDN w:val="0"/>
              <w:bidi w:val="0"/>
              <w:adjustRightInd w:val="0"/>
              <w:snapToGrid w:val="0"/>
              <w:spacing w:before="38" w:line="360" w:lineRule="auto"/>
              <w:ind w:left="6" w:right="6" w:firstLine="482"/>
              <w:jc w:val="both"/>
              <w:textAlignment w:val="baseline"/>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产生量计算：</w:t>
            </w:r>
          </w:p>
          <w:p w14:paraId="4B3DA46E">
            <w:pPr>
              <w:pStyle w:val="22"/>
              <w:keepNext w:val="0"/>
              <w:keepLines w:val="0"/>
              <w:pageBreakBefore w:val="0"/>
              <w:widowControl w:val="0"/>
              <w:kinsoku/>
              <w:wordWrap/>
              <w:overflowPunct/>
              <w:topLinePunct w:val="0"/>
              <w:autoSpaceDE w:val="0"/>
              <w:autoSpaceDN w:val="0"/>
              <w:bidi w:val="0"/>
              <w:adjustRightInd w:val="0"/>
              <w:snapToGrid w:val="0"/>
              <w:spacing w:before="38" w:line="360" w:lineRule="auto"/>
              <w:ind w:left="6" w:right="6" w:firstLine="482"/>
              <w:jc w:val="both"/>
              <w:textAlignment w:val="baseline"/>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锅炉灰渣： 根据锅炉能效测试报告，该 WNS2.5-0.8-SCII 型锅炉在工况下产生的湿炉渣质量流量约为20.40kg/h（燃料消耗量约为449.18kg/h）。按全期消耗燃料 450t计算，产生的湿灰渣总量约为20.44t。灰渣中含有未燃尽的生物质（漏料），实测漏料量约为燃料量的1.76%，共计约7.9t。综上，锅炉灰渣总产生量约为 28.34t。</w:t>
            </w:r>
          </w:p>
          <w:p w14:paraId="5F5B15B6">
            <w:pPr>
              <w:pStyle w:val="22"/>
              <w:keepNext w:val="0"/>
              <w:keepLines w:val="0"/>
              <w:pageBreakBefore w:val="0"/>
              <w:widowControl w:val="0"/>
              <w:kinsoku/>
              <w:wordWrap/>
              <w:overflowPunct/>
              <w:topLinePunct w:val="0"/>
              <w:autoSpaceDE w:val="0"/>
              <w:autoSpaceDN w:val="0"/>
              <w:bidi w:val="0"/>
              <w:adjustRightInd w:val="0"/>
              <w:snapToGrid w:val="0"/>
              <w:spacing w:before="38" w:line="360" w:lineRule="auto"/>
              <w:ind w:left="6" w:right="6" w:firstLine="482"/>
              <w:jc w:val="both"/>
              <w:textAlignment w:val="baseline"/>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布袋除尘灰（飞灰）：参考《排放源统计调查产排污核算方法和系数手册》，生物质锅炉颗粒物产污系数为37.6kg/t燃料，总产生量为16.92t。项目采用“水幕预除尘 + 布袋除尘”工艺，其中水幕预除尘截留约87%，布袋除尘器截留效率约99.7%。最终由布袋除尘器收集的干除尘灰量约为2.19t，水幕除尘器收集的含尘污泥量约14.72t。</w:t>
            </w:r>
          </w:p>
          <w:p w14:paraId="2B8BB0E3">
            <w:pPr>
              <w:pStyle w:val="22"/>
              <w:widowControl w:val="0"/>
              <w:kinsoku/>
              <w:spacing w:before="38" w:line="359" w:lineRule="auto"/>
              <w:ind w:left="3" w:right="4"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项目一般固废和危险废物清单见表4-</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和表4-</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14:paraId="06D10039">
            <w:pPr>
              <w:widowControl w:val="0"/>
              <w:kinsoku/>
              <w:jc w:val="center"/>
              <w:rPr>
                <w:rFonts w:hint="default" w:ascii="Times New Roman" w:hAnsi="Times New Roman" w:eastAsia="宋体" w:cs="Times New Roman"/>
                <w:b/>
                <w:bCs/>
                <w:color w:val="000000" w:themeColor="text1"/>
                <w:spacing w:val="5"/>
                <w14:textFill>
                  <w14:solidFill>
                    <w14:schemeClr w14:val="tx1"/>
                  </w14:solidFill>
                </w14:textFill>
              </w:rPr>
            </w:pPr>
          </w:p>
          <w:p w14:paraId="693E0A36">
            <w:pPr>
              <w:widowControl w:val="0"/>
              <w:kinsoku/>
              <w:jc w:val="center"/>
              <w:rPr>
                <w:rFonts w:hint="default" w:ascii="Times New Roman" w:hAnsi="Times New Roman" w:eastAsia="宋体" w:cs="Times New Roman"/>
                <w:b/>
                <w:bCs/>
                <w:color w:val="000000" w:themeColor="text1"/>
                <w:spacing w:val="5"/>
                <w14:textFill>
                  <w14:solidFill>
                    <w14:schemeClr w14:val="tx1"/>
                  </w14:solidFill>
                </w14:textFill>
              </w:rPr>
            </w:pPr>
          </w:p>
          <w:p w14:paraId="290DCA8F">
            <w:pPr>
              <w:widowControl w:val="0"/>
              <w:kinsoku/>
              <w:jc w:val="center"/>
              <w:rPr>
                <w:rFonts w:hint="default" w:ascii="Times New Roman" w:hAnsi="Times New Roman" w:eastAsia="宋体" w:cs="Times New Roman"/>
                <w:b/>
                <w:bCs/>
                <w:color w:val="000000" w:themeColor="text1"/>
                <w:spacing w:val="5"/>
                <w14:textFill>
                  <w14:solidFill>
                    <w14:schemeClr w14:val="tx1"/>
                  </w14:solidFill>
                </w14:textFill>
              </w:rPr>
            </w:pPr>
            <w:r>
              <w:rPr>
                <w:rFonts w:hint="default" w:ascii="Times New Roman" w:hAnsi="Times New Roman" w:eastAsia="宋体" w:cs="Times New Roman"/>
                <w:b/>
                <w:bCs/>
                <w:color w:val="000000" w:themeColor="text1"/>
                <w:spacing w:val="5"/>
                <w14:textFill>
                  <w14:solidFill>
                    <w14:schemeClr w14:val="tx1"/>
                  </w14:solidFill>
                </w14:textFill>
              </w:rPr>
              <w:t>表4-</w:t>
            </w:r>
            <w:r>
              <w:rPr>
                <w:rFonts w:hint="eastAsia" w:ascii="Times New Roman" w:hAnsi="Times New Roman" w:eastAsia="宋体" w:cs="Times New Roman"/>
                <w:b/>
                <w:bCs/>
                <w:color w:val="000000" w:themeColor="text1"/>
                <w:spacing w:val="5"/>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5"/>
                <w:lang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5"/>
                <w14:textFill>
                  <w14:solidFill>
                    <w14:schemeClr w14:val="tx1"/>
                  </w14:solidFill>
                </w14:textFill>
              </w:rPr>
              <w:t>本项目一般固废清单</w:t>
            </w:r>
          </w:p>
          <w:tbl>
            <w:tblPr>
              <w:tblStyle w:val="21"/>
              <w:tblW w:w="80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
              <w:gridCol w:w="968"/>
              <w:gridCol w:w="846"/>
              <w:gridCol w:w="1073"/>
              <w:gridCol w:w="1245"/>
              <w:gridCol w:w="3480"/>
            </w:tblGrid>
            <w:tr w14:paraId="64F2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jc w:val="center"/>
              </w:trPr>
              <w:tc>
                <w:tcPr>
                  <w:tcW w:w="483" w:type="dxa"/>
                  <w:vAlign w:val="center"/>
                </w:tcPr>
                <w:p w14:paraId="11209E7A">
                  <w:pPr>
                    <w:pStyle w:val="22"/>
                    <w:kinsoku/>
                    <w:spacing w:before="81" w:line="218"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 w:val="21"/>
                      <w:szCs w:val="21"/>
                      <w:highlight w:val="none"/>
                      <w14:textFill>
                        <w14:solidFill>
                          <w14:schemeClr w14:val="tx1"/>
                        </w14:solidFill>
                      </w14:textFill>
                    </w:rPr>
                    <w:t>序号</w:t>
                  </w:r>
                </w:p>
              </w:tc>
              <w:tc>
                <w:tcPr>
                  <w:tcW w:w="968" w:type="dxa"/>
                  <w:vAlign w:val="center"/>
                </w:tcPr>
                <w:p w14:paraId="2B6C6F96">
                  <w:pPr>
                    <w:pStyle w:val="22"/>
                    <w:kinsoku/>
                    <w:spacing w:before="65" w:line="228"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固废名称</w:t>
                  </w:r>
                </w:p>
              </w:tc>
              <w:tc>
                <w:tcPr>
                  <w:tcW w:w="846" w:type="dxa"/>
                  <w:vAlign w:val="center"/>
                </w:tcPr>
                <w:p w14:paraId="7A0188FB">
                  <w:pPr>
                    <w:pStyle w:val="22"/>
                    <w:kinsoku/>
                    <w:spacing w:before="65" w:line="229"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3"/>
                      <w:sz w:val="21"/>
                      <w:szCs w:val="21"/>
                      <w:highlight w:val="none"/>
                      <w14:textFill>
                        <w14:solidFill>
                          <w14:schemeClr w14:val="tx1"/>
                        </w14:solidFill>
                      </w14:textFill>
                    </w:rPr>
                    <w:t>属性</w:t>
                  </w:r>
                </w:p>
              </w:tc>
              <w:tc>
                <w:tcPr>
                  <w:tcW w:w="1073" w:type="dxa"/>
                  <w:vAlign w:val="center"/>
                </w:tcPr>
                <w:p w14:paraId="27F10DEE">
                  <w:pPr>
                    <w:pStyle w:val="22"/>
                    <w:kinsoku/>
                    <w:spacing w:before="65" w:line="228"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固废代码</w:t>
                  </w:r>
                </w:p>
              </w:tc>
              <w:tc>
                <w:tcPr>
                  <w:tcW w:w="1245" w:type="dxa"/>
                  <w:vAlign w:val="center"/>
                </w:tcPr>
                <w:p w14:paraId="65B029F7">
                  <w:pPr>
                    <w:pStyle w:val="22"/>
                    <w:kinsoku/>
                    <w:spacing w:before="110" w:line="251" w:lineRule="auto"/>
                    <w:ind w:right="51"/>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 w:val="21"/>
                      <w:szCs w:val="21"/>
                      <w:highlight w:val="none"/>
                      <w14:textFill>
                        <w14:solidFill>
                          <w14:schemeClr w14:val="tx1"/>
                        </w14:solidFill>
                      </w14:textFill>
                    </w:rPr>
                    <w:t>估算产生</w:t>
                  </w: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量（施工期</w:t>
                  </w:r>
                  <w:r>
                    <w:rPr>
                      <w:rFonts w:hint="default" w:ascii="Times New Roman" w:hAnsi="Times New Roman" w:eastAsia="宋体" w:cs="Times New Roman"/>
                      <w:b/>
                      <w:bCs/>
                      <w:color w:val="000000" w:themeColor="text1"/>
                      <w:spacing w:val="-3"/>
                      <w:sz w:val="21"/>
                      <w:szCs w:val="21"/>
                      <w:highlight w:val="none"/>
                      <w14:textFill>
                        <w14:solidFill>
                          <w14:schemeClr w14:val="tx1"/>
                        </w14:solidFill>
                      </w14:textFill>
                    </w:rPr>
                    <w:t>)</w:t>
                  </w:r>
                </w:p>
              </w:tc>
              <w:tc>
                <w:tcPr>
                  <w:tcW w:w="3480" w:type="dxa"/>
                  <w:tcBorders>
                    <w:right w:val="single" w:color="000000" w:sz="4" w:space="0"/>
                  </w:tcBorders>
                  <w:vAlign w:val="center"/>
                </w:tcPr>
                <w:p w14:paraId="3246E603">
                  <w:pPr>
                    <w:pStyle w:val="22"/>
                    <w:kinsoku/>
                    <w:spacing w:before="65" w:line="227"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采取的处理处置方式</w:t>
                  </w:r>
                </w:p>
              </w:tc>
            </w:tr>
            <w:tr w14:paraId="27A1A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jc w:val="center"/>
              </w:trPr>
              <w:tc>
                <w:tcPr>
                  <w:tcW w:w="483" w:type="dxa"/>
                  <w:vAlign w:val="center"/>
                </w:tcPr>
                <w:p w14:paraId="5210C1CA">
                  <w:pPr>
                    <w:kinsoku/>
                    <w:spacing w:before="57" w:line="195"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968" w:type="dxa"/>
                  <w:vAlign w:val="center"/>
                </w:tcPr>
                <w:p w14:paraId="67E7485C">
                  <w:pPr>
                    <w:pStyle w:val="22"/>
                    <w:kinsoku/>
                    <w:spacing w:before="65" w:line="228"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废弃</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水基泥浆</w:t>
                  </w:r>
                </w:p>
              </w:tc>
              <w:tc>
                <w:tcPr>
                  <w:tcW w:w="846" w:type="dxa"/>
                  <w:vAlign w:val="center"/>
                </w:tcPr>
                <w:p w14:paraId="2ECFD36E">
                  <w:pPr>
                    <w:pStyle w:val="22"/>
                    <w:kinsoku/>
                    <w:spacing w:before="194" w:line="229"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一般工业</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固废</w:t>
                  </w:r>
                </w:p>
              </w:tc>
              <w:tc>
                <w:tcPr>
                  <w:tcW w:w="1073" w:type="dxa"/>
                  <w:vAlign w:val="center"/>
                </w:tcPr>
                <w:p w14:paraId="75EEECEA">
                  <w:pPr>
                    <w:pStyle w:val="22"/>
                    <w:kinsoku/>
                    <w:spacing w:before="65" w:line="241"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（071-001-</w:t>
                  </w:r>
                </w:p>
                <w:p w14:paraId="6A03B18F">
                  <w:pPr>
                    <w:pStyle w:val="22"/>
                    <w:kinsoku/>
                    <w:spacing w:before="10"/>
                    <w:ind w:left="317"/>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S12）</w:t>
                  </w:r>
                </w:p>
              </w:tc>
              <w:tc>
                <w:tcPr>
                  <w:tcW w:w="1245" w:type="dxa"/>
                  <w:vAlign w:val="center"/>
                </w:tcPr>
                <w:p w14:paraId="2ABFB229">
                  <w:pPr>
                    <w:kinsoku/>
                    <w:spacing w:before="57" w:line="216"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44.65</w:t>
                  </w:r>
                  <w:r>
                    <w:rPr>
                      <w:rFonts w:hint="default" w:ascii="Times New Roman" w:hAnsi="Times New Roman" w:eastAsia="宋体" w:cs="Times New Roman"/>
                      <w:color w:val="000000" w:themeColor="text1"/>
                      <w:spacing w:val="4"/>
                      <w:highlight w:val="none"/>
                      <w14:textFill>
                        <w14:solidFill>
                          <w14:schemeClr w14:val="tx1"/>
                        </w14:solidFill>
                      </w14:textFill>
                    </w:rPr>
                    <w:t>m</w:t>
                  </w:r>
                  <w:r>
                    <w:rPr>
                      <w:rFonts w:hint="default" w:ascii="Times New Roman" w:hAnsi="Times New Roman" w:eastAsia="宋体" w:cs="Times New Roman"/>
                      <w:color w:val="000000" w:themeColor="text1"/>
                      <w:spacing w:val="4"/>
                      <w:highlight w:val="none"/>
                      <w:vertAlign w:val="superscript"/>
                      <w:lang w:eastAsia="zh-CN"/>
                      <w14:textFill>
                        <w14:solidFill>
                          <w14:schemeClr w14:val="tx1"/>
                        </w14:solidFill>
                      </w14:textFill>
                    </w:rPr>
                    <w:t>3</w:t>
                  </w:r>
                </w:p>
              </w:tc>
              <w:tc>
                <w:tcPr>
                  <w:tcW w:w="3480" w:type="dxa"/>
                  <w:vMerge w:val="restart"/>
                  <w:tcBorders>
                    <w:bottom w:val="nil"/>
                    <w:right w:val="single" w:color="000000" w:sz="4" w:space="0"/>
                  </w:tcBorders>
                  <w:vAlign w:val="center"/>
                </w:tcPr>
                <w:p w14:paraId="1722A85D">
                  <w:pPr>
                    <w:pStyle w:val="22"/>
                    <w:kinsoku/>
                    <w:spacing w:before="65" w:line="228" w:lineRule="auto"/>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项目采用不落地系统，</w:t>
                  </w:r>
                  <w:r>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t>一开阶段废弃水基</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钻井泥浆、岩屑由具备资质的单位及时转运处理，处置过程符合《油气田钻井固体废弃物综合利用污染物控制要求》（DB65/T3997—2017）相关要求，具备条件的可综合利用。三开段产生的</w:t>
                  </w:r>
                  <w:r>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t>废弃水基</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钻井泥浆、岩屑在</w:t>
                  </w:r>
                  <w:r>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t>含油量检测</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结果出具前，暂按危险废物进行严格管理和处置。</w:t>
                  </w:r>
                </w:p>
              </w:tc>
            </w:tr>
            <w:tr w14:paraId="4C699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jc w:val="center"/>
              </w:trPr>
              <w:tc>
                <w:tcPr>
                  <w:tcW w:w="483" w:type="dxa"/>
                  <w:vAlign w:val="center"/>
                </w:tcPr>
                <w:p w14:paraId="7F81C307">
                  <w:pPr>
                    <w:kinsoku/>
                    <w:spacing w:before="57" w:line="195"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w:t>
                  </w:r>
                </w:p>
              </w:tc>
              <w:tc>
                <w:tcPr>
                  <w:tcW w:w="968" w:type="dxa"/>
                  <w:vAlign w:val="center"/>
                </w:tcPr>
                <w:p w14:paraId="3023D642">
                  <w:pPr>
                    <w:pStyle w:val="22"/>
                    <w:kinsoku/>
                    <w:spacing w:before="65" w:line="228"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水基岩屑</w:t>
                  </w:r>
                </w:p>
              </w:tc>
              <w:tc>
                <w:tcPr>
                  <w:tcW w:w="846" w:type="dxa"/>
                  <w:vAlign w:val="center"/>
                </w:tcPr>
                <w:p w14:paraId="69DF7F69">
                  <w:pPr>
                    <w:pStyle w:val="22"/>
                    <w:kinsoku/>
                    <w:spacing w:before="196" w:line="229"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一般工业</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固废</w:t>
                  </w:r>
                </w:p>
              </w:tc>
              <w:tc>
                <w:tcPr>
                  <w:tcW w:w="1073" w:type="dxa"/>
                  <w:vAlign w:val="center"/>
                </w:tcPr>
                <w:p w14:paraId="3E27CC64">
                  <w:pPr>
                    <w:pStyle w:val="22"/>
                    <w:kinsoku/>
                    <w:spacing w:before="65" w:line="241"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（071-001-</w:t>
                  </w:r>
                </w:p>
                <w:p w14:paraId="17D8EBBA">
                  <w:pPr>
                    <w:pStyle w:val="22"/>
                    <w:kinsoku/>
                    <w:spacing w:before="12"/>
                    <w:ind w:left="317"/>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S12）</w:t>
                  </w:r>
                </w:p>
              </w:tc>
              <w:tc>
                <w:tcPr>
                  <w:tcW w:w="1245" w:type="dxa"/>
                  <w:vAlign w:val="center"/>
                </w:tcPr>
                <w:p w14:paraId="77D7F869">
                  <w:pPr>
                    <w:kinsoku/>
                    <w:spacing w:before="57" w:line="213"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highlight w:val="none"/>
                      <w:lang w:val="en-US" w:eastAsia="zh-CN"/>
                      <w14:textFill>
                        <w14:solidFill>
                          <w14:schemeClr w14:val="tx1"/>
                        </w14:solidFill>
                      </w14:textFill>
                    </w:rPr>
                    <w:t>462.71</w:t>
                  </w:r>
                  <w:r>
                    <w:rPr>
                      <w:rFonts w:hint="default" w:ascii="Times New Roman" w:hAnsi="Times New Roman" w:eastAsia="宋体" w:cs="Times New Roman"/>
                      <w:color w:val="000000" w:themeColor="text1"/>
                      <w:spacing w:val="4"/>
                      <w:highlight w:val="none"/>
                      <w14:textFill>
                        <w14:solidFill>
                          <w14:schemeClr w14:val="tx1"/>
                        </w14:solidFill>
                      </w14:textFill>
                    </w:rPr>
                    <w:t>m</w:t>
                  </w:r>
                  <w:r>
                    <w:rPr>
                      <w:rFonts w:hint="default" w:ascii="Times New Roman" w:hAnsi="Times New Roman" w:eastAsia="宋体" w:cs="Times New Roman"/>
                      <w:color w:val="000000" w:themeColor="text1"/>
                      <w:spacing w:val="4"/>
                      <w:highlight w:val="none"/>
                      <w:vertAlign w:val="superscript"/>
                      <w:lang w:eastAsia="zh-CN"/>
                      <w14:textFill>
                        <w14:solidFill>
                          <w14:schemeClr w14:val="tx1"/>
                        </w14:solidFill>
                      </w14:textFill>
                    </w:rPr>
                    <w:t>3</w:t>
                  </w:r>
                </w:p>
              </w:tc>
              <w:tc>
                <w:tcPr>
                  <w:tcW w:w="3480" w:type="dxa"/>
                  <w:vMerge w:val="continue"/>
                  <w:tcBorders>
                    <w:top w:val="nil"/>
                    <w:right w:val="single" w:color="000000" w:sz="4" w:space="0"/>
                  </w:tcBorders>
                  <w:vAlign w:val="center"/>
                </w:tcPr>
                <w:p w14:paraId="3361DD0A">
                  <w:pPr>
                    <w:kinsoku/>
                    <w:jc w:val="both"/>
                    <w:rPr>
                      <w:rFonts w:hint="default" w:ascii="Times New Roman" w:hAnsi="Times New Roman" w:eastAsia="宋体" w:cs="Times New Roman"/>
                      <w:color w:val="000000" w:themeColor="text1"/>
                      <w:highlight w:val="none"/>
                      <w14:textFill>
                        <w14:solidFill>
                          <w14:schemeClr w14:val="tx1"/>
                        </w14:solidFill>
                      </w14:textFill>
                    </w:rPr>
                  </w:pPr>
                </w:p>
              </w:tc>
            </w:tr>
            <w:tr w14:paraId="38D53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483" w:type="dxa"/>
                  <w:vAlign w:val="center"/>
                </w:tcPr>
                <w:p w14:paraId="0ABBD6F2">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3</w:t>
                  </w:r>
                </w:p>
              </w:tc>
              <w:tc>
                <w:tcPr>
                  <w:tcW w:w="968" w:type="dxa"/>
                  <w:vAlign w:val="center"/>
                </w:tcPr>
                <w:p w14:paraId="6331AAC0">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生活垃圾</w:t>
                  </w:r>
                </w:p>
              </w:tc>
              <w:tc>
                <w:tcPr>
                  <w:tcW w:w="846" w:type="dxa"/>
                  <w:vAlign w:val="center"/>
                </w:tcPr>
                <w:p w14:paraId="0370615E">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一般固废</w:t>
                  </w:r>
                </w:p>
              </w:tc>
              <w:tc>
                <w:tcPr>
                  <w:tcW w:w="1073" w:type="dxa"/>
                  <w:vAlign w:val="center"/>
                </w:tcPr>
                <w:p w14:paraId="09540FEB">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w:t>
                  </w:r>
                </w:p>
              </w:tc>
              <w:tc>
                <w:tcPr>
                  <w:tcW w:w="1245" w:type="dxa"/>
                  <w:vAlign w:val="center"/>
                </w:tcPr>
                <w:p w14:paraId="78F369C2">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7.20</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t</w:t>
                  </w:r>
                </w:p>
              </w:tc>
              <w:tc>
                <w:tcPr>
                  <w:tcW w:w="3480" w:type="dxa"/>
                  <w:tcBorders>
                    <w:right w:val="single" w:color="000000" w:sz="4" w:space="0"/>
                  </w:tcBorders>
                  <w:vAlign w:val="center"/>
                </w:tcPr>
                <w:p w14:paraId="2D2D2AF1">
                  <w:pPr>
                    <w:pStyle w:val="22"/>
                    <w:kinsoku/>
                    <w:spacing w:before="89" w:line="252" w:lineRule="auto"/>
                    <w:ind w:left="142" w:right="71" w:hanging="74"/>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生活垃圾集中收集后委托第三方拉运至</w:t>
                  </w: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垃圾场处理</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w:t>
                  </w:r>
                </w:p>
              </w:tc>
            </w:tr>
            <w:tr w14:paraId="2BC7D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483" w:type="dxa"/>
                  <w:vAlign w:val="center"/>
                </w:tcPr>
                <w:p w14:paraId="7819DBC4">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4</w:t>
                  </w:r>
                </w:p>
              </w:tc>
              <w:tc>
                <w:tcPr>
                  <w:tcW w:w="968" w:type="dxa"/>
                  <w:vAlign w:val="center"/>
                </w:tcPr>
                <w:p w14:paraId="08381BFF">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锅炉灰渣</w:t>
                  </w:r>
                </w:p>
              </w:tc>
              <w:tc>
                <w:tcPr>
                  <w:tcW w:w="846" w:type="dxa"/>
                  <w:vAlign w:val="center"/>
                </w:tcPr>
                <w:p w14:paraId="3869B271">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一般固废</w:t>
                  </w:r>
                </w:p>
              </w:tc>
              <w:tc>
                <w:tcPr>
                  <w:tcW w:w="1073" w:type="dxa"/>
                  <w:vAlign w:val="center"/>
                </w:tcPr>
                <w:p w14:paraId="652867B9">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w:t>
                  </w:r>
                </w:p>
              </w:tc>
              <w:tc>
                <w:tcPr>
                  <w:tcW w:w="1245" w:type="dxa"/>
                  <w:vAlign w:val="center"/>
                </w:tcPr>
                <w:p w14:paraId="25C208BB">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28.34t</w:t>
                  </w:r>
                </w:p>
              </w:tc>
              <w:tc>
                <w:tcPr>
                  <w:tcW w:w="3480" w:type="dxa"/>
                  <w:vMerge w:val="restart"/>
                  <w:tcBorders>
                    <w:right w:val="single" w:color="000000" w:sz="4" w:space="0"/>
                  </w:tcBorders>
                  <w:vAlign w:val="center"/>
                </w:tcPr>
                <w:p w14:paraId="62C4924D">
                  <w:pPr>
                    <w:pStyle w:val="22"/>
                    <w:kinsoku/>
                    <w:spacing w:before="89" w:line="252" w:lineRule="auto"/>
                    <w:ind w:left="142" w:right="71" w:hanging="74"/>
                    <w:jc w:val="both"/>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优先委托当地农户拉运用于耕地肥田，无法利用的部分委托</w:t>
                  </w: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具有相应环保处理能力的第三方单位进行集中处置</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w:t>
                  </w:r>
                </w:p>
              </w:tc>
            </w:tr>
            <w:tr w14:paraId="69472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483" w:type="dxa"/>
                  <w:vAlign w:val="center"/>
                </w:tcPr>
                <w:p w14:paraId="11286532">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5</w:t>
                  </w:r>
                </w:p>
              </w:tc>
              <w:tc>
                <w:tcPr>
                  <w:tcW w:w="968" w:type="dxa"/>
                  <w:vAlign w:val="center"/>
                </w:tcPr>
                <w:p w14:paraId="302A3912">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布袋除尘灰</w:t>
                  </w:r>
                </w:p>
              </w:tc>
              <w:tc>
                <w:tcPr>
                  <w:tcW w:w="846" w:type="dxa"/>
                  <w:vAlign w:val="center"/>
                </w:tcPr>
                <w:p w14:paraId="654C3F7E">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一般固废</w:t>
                  </w:r>
                </w:p>
              </w:tc>
              <w:tc>
                <w:tcPr>
                  <w:tcW w:w="1073" w:type="dxa"/>
                  <w:vAlign w:val="center"/>
                </w:tcPr>
                <w:p w14:paraId="7BD77EC7">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w:t>
                  </w:r>
                </w:p>
              </w:tc>
              <w:tc>
                <w:tcPr>
                  <w:tcW w:w="1245" w:type="dxa"/>
                  <w:vAlign w:val="center"/>
                </w:tcPr>
                <w:p w14:paraId="4902DE67">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14.72t</w:t>
                  </w:r>
                </w:p>
              </w:tc>
              <w:tc>
                <w:tcPr>
                  <w:tcW w:w="3480" w:type="dxa"/>
                  <w:vMerge w:val="continue"/>
                  <w:tcBorders>
                    <w:right w:val="single" w:color="000000" w:sz="4" w:space="0"/>
                  </w:tcBorders>
                  <w:vAlign w:val="center"/>
                </w:tcPr>
                <w:p w14:paraId="3B031957">
                  <w:pPr>
                    <w:pStyle w:val="22"/>
                    <w:kinsoku/>
                    <w:spacing w:before="89" w:line="252" w:lineRule="auto"/>
                    <w:ind w:left="142" w:right="71" w:hanging="74"/>
                    <w:jc w:val="both"/>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p>
              </w:tc>
            </w:tr>
          </w:tbl>
          <w:p w14:paraId="6C5FB043">
            <w:pPr>
              <w:widowControl w:val="0"/>
              <w:kinsoku/>
              <w:jc w:val="center"/>
              <w:rPr>
                <w:rFonts w:hint="default" w:ascii="Times New Roman" w:hAnsi="Times New Roman" w:eastAsia="宋体" w:cs="Times New Roman"/>
                <w:b/>
                <w:bCs/>
                <w:color w:val="000000" w:themeColor="text1"/>
                <w:spacing w:val="5"/>
                <w:lang w:eastAsia="zh-CN"/>
                <w14:textFill>
                  <w14:solidFill>
                    <w14:schemeClr w14:val="tx1"/>
                  </w14:solidFill>
                </w14:textFill>
              </w:rPr>
            </w:pPr>
          </w:p>
          <w:p w14:paraId="5592696B">
            <w:pPr>
              <w:widowControl w:val="0"/>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5"/>
                <w:lang w:eastAsia="zh-CN"/>
                <w14:textFill>
                  <w14:solidFill>
                    <w14:schemeClr w14:val="tx1"/>
                  </w14:solidFill>
                </w14:textFill>
              </w:rPr>
              <w:t>表4-</w:t>
            </w:r>
            <w:r>
              <w:rPr>
                <w:rFonts w:hint="eastAsia" w:ascii="Times New Roman" w:hAnsi="Times New Roman" w:eastAsia="宋体" w:cs="Times New Roman"/>
                <w:b/>
                <w:bCs/>
                <w:color w:val="000000" w:themeColor="text1"/>
                <w:spacing w:val="5"/>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5"/>
                <w:lang w:eastAsia="zh-CN"/>
                <w14:textFill>
                  <w14:solidFill>
                    <w14:schemeClr w14:val="tx1"/>
                  </w14:solidFill>
                </w14:textFill>
              </w:rPr>
              <w:t xml:space="preserve"> 本项目危险废物清单</w:t>
            </w:r>
          </w:p>
          <w:tbl>
            <w:tblPr>
              <w:tblStyle w:val="21"/>
              <w:tblW w:w="80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0"/>
              <w:gridCol w:w="941"/>
              <w:gridCol w:w="502"/>
              <w:gridCol w:w="539"/>
              <w:gridCol w:w="702"/>
              <w:gridCol w:w="767"/>
              <w:gridCol w:w="1116"/>
              <w:gridCol w:w="3108"/>
            </w:tblGrid>
            <w:tr w14:paraId="1D51C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jc w:val="center"/>
              </w:trPr>
              <w:tc>
                <w:tcPr>
                  <w:tcW w:w="360" w:type="dxa"/>
                  <w:vAlign w:val="center"/>
                </w:tcPr>
                <w:p w14:paraId="6CE31139">
                  <w:pPr>
                    <w:pStyle w:val="22"/>
                    <w:kinsoku/>
                    <w:spacing w:line="240" w:lineRule="atLeast"/>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序号</w:t>
                  </w:r>
                </w:p>
              </w:tc>
              <w:tc>
                <w:tcPr>
                  <w:tcW w:w="941" w:type="dxa"/>
                  <w:vAlign w:val="center"/>
                </w:tcPr>
                <w:p w14:paraId="5E18B25D">
                  <w:pPr>
                    <w:pStyle w:val="22"/>
                    <w:kinsoku/>
                    <w:spacing w:line="240" w:lineRule="atLeast"/>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危废名称</w:t>
                  </w:r>
                </w:p>
              </w:tc>
              <w:tc>
                <w:tcPr>
                  <w:tcW w:w="502" w:type="dxa"/>
                  <w:vAlign w:val="center"/>
                </w:tcPr>
                <w:p w14:paraId="747F80F5">
                  <w:pPr>
                    <w:pStyle w:val="22"/>
                    <w:kinsoku/>
                    <w:spacing w:line="240" w:lineRule="atLeast"/>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属性</w:t>
                  </w:r>
                </w:p>
              </w:tc>
              <w:tc>
                <w:tcPr>
                  <w:tcW w:w="539" w:type="dxa"/>
                  <w:vAlign w:val="center"/>
                </w:tcPr>
                <w:p w14:paraId="5A833BC7">
                  <w:pPr>
                    <w:pStyle w:val="22"/>
                    <w:kinsoku/>
                    <w:spacing w:line="240" w:lineRule="atLeast"/>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危险特性</w:t>
                  </w:r>
                </w:p>
              </w:tc>
              <w:tc>
                <w:tcPr>
                  <w:tcW w:w="702" w:type="dxa"/>
                  <w:vAlign w:val="center"/>
                </w:tcPr>
                <w:p w14:paraId="77991609">
                  <w:pPr>
                    <w:pStyle w:val="22"/>
                    <w:kinsoku/>
                    <w:spacing w:line="240" w:lineRule="atLeast"/>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废物类别</w:t>
                  </w:r>
                </w:p>
              </w:tc>
              <w:tc>
                <w:tcPr>
                  <w:tcW w:w="767" w:type="dxa"/>
                  <w:vAlign w:val="center"/>
                </w:tcPr>
                <w:p w14:paraId="46EF41D1">
                  <w:pPr>
                    <w:pStyle w:val="22"/>
                    <w:kinsoku/>
                    <w:spacing w:line="240" w:lineRule="atLeast"/>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废物代码</w:t>
                  </w:r>
                </w:p>
              </w:tc>
              <w:tc>
                <w:tcPr>
                  <w:tcW w:w="1116" w:type="dxa"/>
                  <w:vAlign w:val="center"/>
                </w:tcPr>
                <w:p w14:paraId="63BCD427">
                  <w:pPr>
                    <w:pStyle w:val="22"/>
                    <w:kinsoku/>
                    <w:spacing w:line="240" w:lineRule="atLeast"/>
                    <w:jc w:val="cente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估算产生量（施工期）</w:t>
                  </w:r>
                </w:p>
              </w:tc>
              <w:tc>
                <w:tcPr>
                  <w:tcW w:w="3108" w:type="dxa"/>
                  <w:tcBorders>
                    <w:bottom w:val="single" w:color="auto" w:sz="4" w:space="0"/>
                    <w:right w:val="single" w:color="000000" w:sz="4" w:space="0"/>
                  </w:tcBorders>
                  <w:vAlign w:val="center"/>
                </w:tcPr>
                <w:p w14:paraId="5E23C537">
                  <w:pPr>
                    <w:pStyle w:val="22"/>
                    <w:kinsoku/>
                    <w:spacing w:before="81" w:line="218" w:lineRule="auto"/>
                    <w:jc w:val="center"/>
                    <w:rPr>
                      <w:rFonts w:hint="default" w:ascii="Times New Roman" w:hAnsi="Times New Roman" w:eastAsia="宋体" w:cs="Times New Roman"/>
                      <w:b/>
                      <w:bCs/>
                      <w:color w:val="000000" w:themeColor="text1"/>
                      <w:spacing w:val="6"/>
                      <w:sz w:val="21"/>
                      <w:szCs w:val="21"/>
                      <w14:textFill>
                        <w14:solidFill>
                          <w14:schemeClr w14:val="tx1"/>
                        </w14:solidFill>
                      </w14:textFill>
                    </w:rPr>
                  </w:pPr>
                  <w:r>
                    <w:rPr>
                      <w:rFonts w:hint="default" w:ascii="Times New Roman" w:hAnsi="Times New Roman" w:eastAsia="宋体" w:cs="Times New Roman"/>
                      <w:b/>
                      <w:bCs/>
                      <w:color w:val="000000" w:themeColor="text1"/>
                      <w:spacing w:val="6"/>
                      <w:sz w:val="21"/>
                      <w:szCs w:val="21"/>
                      <w:lang w:eastAsia="zh-CN"/>
                      <w14:textFill>
                        <w14:solidFill>
                          <w14:schemeClr w14:val="tx1"/>
                        </w14:solidFill>
                      </w14:textFill>
                    </w:rPr>
                    <w:t>采取的处理处置方式</w:t>
                  </w:r>
                </w:p>
              </w:tc>
            </w:tr>
            <w:tr w14:paraId="73FA2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jc w:val="center"/>
              </w:trPr>
              <w:tc>
                <w:tcPr>
                  <w:tcW w:w="360" w:type="dxa"/>
                  <w:vAlign w:val="center"/>
                </w:tcPr>
                <w:p w14:paraId="6491E63F">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c>
                <w:tcPr>
                  <w:tcW w:w="941" w:type="dxa"/>
                  <w:vAlign w:val="center"/>
                </w:tcPr>
                <w:p w14:paraId="4C3AF2CD">
                  <w:pPr>
                    <w:kinsoku/>
                    <w:spacing w:before="57"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落地油泥</w:t>
                  </w:r>
                </w:p>
              </w:tc>
              <w:tc>
                <w:tcPr>
                  <w:tcW w:w="502" w:type="dxa"/>
                  <w:vMerge w:val="restart"/>
                  <w:vAlign w:val="center"/>
                </w:tcPr>
                <w:p w14:paraId="0C817C3D">
                  <w:pPr>
                    <w:kinsoku/>
                    <w:spacing w:before="263"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危险废物</w:t>
                  </w:r>
                </w:p>
              </w:tc>
              <w:tc>
                <w:tcPr>
                  <w:tcW w:w="539" w:type="dxa"/>
                  <w:vAlign w:val="center"/>
                </w:tcPr>
                <w:p w14:paraId="5E87FADD">
                  <w:pPr>
                    <w:kinsoku/>
                    <w:spacing w:before="263"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毒性T</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易燃性I</w:t>
                  </w:r>
                </w:p>
              </w:tc>
              <w:tc>
                <w:tcPr>
                  <w:tcW w:w="702" w:type="dxa"/>
                  <w:vAlign w:val="center"/>
                </w:tcPr>
                <w:p w14:paraId="21AFCDCC">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HW08</w:t>
                  </w:r>
                </w:p>
              </w:tc>
              <w:tc>
                <w:tcPr>
                  <w:tcW w:w="767" w:type="dxa"/>
                  <w:vAlign w:val="center"/>
                </w:tcPr>
                <w:p w14:paraId="7076D8F5">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071-001-08</w:t>
                  </w:r>
                </w:p>
              </w:tc>
              <w:tc>
                <w:tcPr>
                  <w:tcW w:w="1116" w:type="dxa"/>
                  <w:vAlign w:val="center"/>
                </w:tcPr>
                <w:p w14:paraId="1A6E24A5">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0.1</w:t>
                  </w:r>
                  <w:r>
                    <w:rPr>
                      <w:rFonts w:hint="default" w:ascii="Times New Roman" w:hAnsi="Times New Roman" w:eastAsia="宋体" w:cs="Times New Roman"/>
                      <w:color w:val="000000" w:themeColor="text1"/>
                      <w:spacing w:val="6"/>
                      <w:sz w:val="21"/>
                      <w:szCs w:val="21"/>
                      <w14:textFill>
                        <w14:solidFill>
                          <w14:schemeClr w14:val="tx1"/>
                        </w14:solidFill>
                      </w14:textFill>
                    </w:rPr>
                    <w:t>t</w:t>
                  </w:r>
                </w:p>
              </w:tc>
              <w:tc>
                <w:tcPr>
                  <w:tcW w:w="3108" w:type="dxa"/>
                  <w:tcBorders>
                    <w:top w:val="single" w:color="auto" w:sz="4" w:space="0"/>
                    <w:bottom w:val="single" w:color="auto" w:sz="4" w:space="0"/>
                    <w:right w:val="single" w:color="000000" w:sz="4" w:space="0"/>
                  </w:tcBorders>
                  <w:vAlign w:val="center"/>
                </w:tcPr>
                <w:p w14:paraId="0E808850">
                  <w:pPr>
                    <w:kinsoku/>
                    <w:spacing w:before="263"/>
                    <w:jc w:val="center"/>
                    <w:rPr>
                      <w:rFonts w:hint="default" w:ascii="Times New Roman" w:hAnsi="Times New Roman" w:eastAsia="宋体" w:cs="Times New Roman"/>
                      <w:color w:val="000000" w:themeColor="text1"/>
                      <w:spacing w:val="1"/>
                      <w:lang w:eastAsia="zh-CN"/>
                      <w14:textFill>
                        <w14:solidFill>
                          <w14:schemeClr w14:val="tx1"/>
                        </w14:solidFill>
                      </w14:textFill>
                    </w:rPr>
                  </w:pPr>
                  <w:r>
                    <w:rPr>
                      <w:rFonts w:hint="default" w:ascii="Times New Roman" w:hAnsi="Times New Roman" w:eastAsia="宋体" w:cs="Times New Roman"/>
                      <w:color w:val="000000" w:themeColor="text1"/>
                      <w:spacing w:val="1"/>
                      <w:lang w:eastAsia="zh-CN"/>
                      <w14:textFill>
                        <w14:solidFill>
                          <w14:schemeClr w14:val="tx1"/>
                        </w14:solidFill>
                      </w14:textFill>
                    </w:rPr>
                    <w:t>落地油泥暂存于专用钢制桶内，最终交由有危险废物处置资质的单位处置。</w:t>
                  </w:r>
                </w:p>
              </w:tc>
            </w:tr>
            <w:tr w14:paraId="06DD7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60" w:type="dxa"/>
                  <w:vAlign w:val="center"/>
                </w:tcPr>
                <w:p w14:paraId="5F6936D3">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w:t>
                  </w:r>
                </w:p>
              </w:tc>
              <w:tc>
                <w:tcPr>
                  <w:tcW w:w="941" w:type="dxa"/>
                  <w:vAlign w:val="center"/>
                </w:tcPr>
                <w:p w14:paraId="62692D6B">
                  <w:pPr>
                    <w:kinsoku/>
                    <w:spacing w:before="57"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废防渗材料</w:t>
                  </w:r>
                </w:p>
              </w:tc>
              <w:tc>
                <w:tcPr>
                  <w:tcW w:w="502" w:type="dxa"/>
                  <w:vMerge w:val="continue"/>
                  <w:vAlign w:val="center"/>
                </w:tcPr>
                <w:p w14:paraId="780049DE">
                  <w:pPr>
                    <w:kinsoku/>
                    <w:spacing w:before="263" w:line="195" w:lineRule="auto"/>
                    <w:jc w:val="center"/>
                    <w:rPr>
                      <w:rFonts w:hint="default" w:ascii="Times New Roman" w:hAnsi="Times New Roman" w:eastAsia="宋体" w:cs="Times New Roman"/>
                      <w:color w:val="000000" w:themeColor="text1"/>
                      <w14:textFill>
                        <w14:solidFill>
                          <w14:schemeClr w14:val="tx1"/>
                        </w14:solidFill>
                      </w14:textFill>
                    </w:rPr>
                  </w:pPr>
                </w:p>
              </w:tc>
              <w:tc>
                <w:tcPr>
                  <w:tcW w:w="539" w:type="dxa"/>
                  <w:vAlign w:val="center"/>
                </w:tcPr>
                <w:p w14:paraId="3E1ECE59">
                  <w:pPr>
                    <w:kinsoku/>
                    <w:spacing w:before="263"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毒性T</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易燃性I</w:t>
                  </w:r>
                </w:p>
              </w:tc>
              <w:tc>
                <w:tcPr>
                  <w:tcW w:w="702" w:type="dxa"/>
                  <w:vAlign w:val="center"/>
                </w:tcPr>
                <w:p w14:paraId="3EDEFA2F">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HW08</w:t>
                  </w:r>
                </w:p>
              </w:tc>
              <w:tc>
                <w:tcPr>
                  <w:tcW w:w="767" w:type="dxa"/>
                  <w:vAlign w:val="center"/>
                </w:tcPr>
                <w:p w14:paraId="0B30AC5A">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900-249-08</w:t>
                  </w:r>
                </w:p>
              </w:tc>
              <w:tc>
                <w:tcPr>
                  <w:tcW w:w="1116" w:type="dxa"/>
                  <w:vAlign w:val="center"/>
                </w:tcPr>
                <w:p w14:paraId="6550B2EA">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0.</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04</w:t>
                  </w:r>
                  <w:r>
                    <w:rPr>
                      <w:rFonts w:hint="default" w:ascii="Times New Roman" w:hAnsi="Times New Roman" w:eastAsia="宋体" w:cs="Times New Roman"/>
                      <w:color w:val="000000" w:themeColor="text1"/>
                      <w:spacing w:val="6"/>
                      <w:sz w:val="21"/>
                      <w:szCs w:val="21"/>
                      <w14:textFill>
                        <w14:solidFill>
                          <w14:schemeClr w14:val="tx1"/>
                        </w14:solidFill>
                      </w14:textFill>
                    </w:rPr>
                    <w:t>t</w:t>
                  </w:r>
                </w:p>
              </w:tc>
              <w:tc>
                <w:tcPr>
                  <w:tcW w:w="3108" w:type="dxa"/>
                  <w:tcBorders>
                    <w:top w:val="single" w:color="auto" w:sz="4" w:space="0"/>
                    <w:bottom w:val="single" w:color="auto" w:sz="4" w:space="0"/>
                    <w:right w:val="single" w:color="000000" w:sz="4" w:space="0"/>
                  </w:tcBorders>
                  <w:vAlign w:val="center"/>
                </w:tcPr>
                <w:p w14:paraId="63EC9A04">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施工结束后委托具有相应危险废物处置资质的单位进行处置。</w:t>
                  </w:r>
                </w:p>
              </w:tc>
            </w:tr>
            <w:tr w14:paraId="792C8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jc w:val="center"/>
              </w:trPr>
              <w:tc>
                <w:tcPr>
                  <w:tcW w:w="360" w:type="dxa"/>
                  <w:vAlign w:val="center"/>
                </w:tcPr>
                <w:p w14:paraId="785B2AB5">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w:t>
                  </w:r>
                </w:p>
              </w:tc>
              <w:tc>
                <w:tcPr>
                  <w:tcW w:w="941" w:type="dxa"/>
                  <w:vAlign w:val="center"/>
                </w:tcPr>
                <w:p w14:paraId="5C8249D4">
                  <w:pPr>
                    <w:kinsoku/>
                    <w:spacing w:before="57"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机械设备废油</w:t>
                  </w:r>
                </w:p>
              </w:tc>
              <w:tc>
                <w:tcPr>
                  <w:tcW w:w="502" w:type="dxa"/>
                  <w:vMerge w:val="continue"/>
                  <w:vAlign w:val="center"/>
                </w:tcPr>
                <w:p w14:paraId="0D572F66">
                  <w:pPr>
                    <w:kinsoku/>
                    <w:spacing w:before="263" w:line="195" w:lineRule="auto"/>
                    <w:jc w:val="center"/>
                    <w:rPr>
                      <w:rFonts w:hint="default" w:ascii="Times New Roman" w:hAnsi="Times New Roman" w:eastAsia="宋体" w:cs="Times New Roman"/>
                      <w:color w:val="000000" w:themeColor="text1"/>
                      <w14:textFill>
                        <w14:solidFill>
                          <w14:schemeClr w14:val="tx1"/>
                        </w14:solidFill>
                      </w14:textFill>
                    </w:rPr>
                  </w:pPr>
                </w:p>
              </w:tc>
              <w:tc>
                <w:tcPr>
                  <w:tcW w:w="539" w:type="dxa"/>
                  <w:vAlign w:val="center"/>
                </w:tcPr>
                <w:p w14:paraId="64C20650">
                  <w:pPr>
                    <w:kinsoku/>
                    <w:spacing w:before="263"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毒性T</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易燃性I</w:t>
                  </w:r>
                </w:p>
              </w:tc>
              <w:tc>
                <w:tcPr>
                  <w:tcW w:w="702" w:type="dxa"/>
                  <w:vAlign w:val="center"/>
                </w:tcPr>
                <w:p w14:paraId="027915FD">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HW08</w:t>
                  </w:r>
                </w:p>
              </w:tc>
              <w:tc>
                <w:tcPr>
                  <w:tcW w:w="767" w:type="dxa"/>
                  <w:vAlign w:val="center"/>
                </w:tcPr>
                <w:p w14:paraId="7A4D461A">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900-214-08</w:t>
                  </w:r>
                </w:p>
              </w:tc>
              <w:tc>
                <w:tcPr>
                  <w:tcW w:w="1116" w:type="dxa"/>
                  <w:vAlign w:val="center"/>
                </w:tcPr>
                <w:p w14:paraId="01874053">
                  <w:pPr>
                    <w:pStyle w:val="22"/>
                    <w:kinsoku/>
                    <w:spacing w:before="65" w:line="228" w:lineRule="auto"/>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1</w:t>
                  </w:r>
                  <w:r>
                    <w:rPr>
                      <w:rFonts w:hint="default" w:ascii="Times New Roman" w:hAnsi="Times New Roman" w:eastAsia="宋体" w:cs="Times New Roman"/>
                      <w:color w:val="000000" w:themeColor="text1"/>
                      <w:spacing w:val="6"/>
                      <w:sz w:val="21"/>
                      <w:szCs w:val="21"/>
                      <w14:textFill>
                        <w14:solidFill>
                          <w14:schemeClr w14:val="tx1"/>
                        </w14:solidFill>
                      </w14:textFill>
                    </w:rPr>
                    <w:t>t</w:t>
                  </w:r>
                </w:p>
              </w:tc>
              <w:tc>
                <w:tcPr>
                  <w:tcW w:w="3108" w:type="dxa"/>
                  <w:vMerge w:val="restart"/>
                  <w:tcBorders>
                    <w:top w:val="single" w:color="auto" w:sz="4" w:space="0"/>
                    <w:bottom w:val="single" w:color="auto" w:sz="4" w:space="0"/>
                    <w:right w:val="single" w:color="000000" w:sz="4" w:space="0"/>
                  </w:tcBorders>
                  <w:vAlign w:val="center"/>
                </w:tcPr>
                <w:p w14:paraId="3CBB5159">
                  <w:pPr>
                    <w:pStyle w:val="22"/>
                    <w:kinsoku/>
                    <w:spacing w:before="65" w:line="252" w:lineRule="auto"/>
                    <w:ind w:right="7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暂存至危废贮存点，委托危险废物处置资质</w:t>
                  </w: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单位进行处置。</w:t>
                  </w:r>
                </w:p>
              </w:tc>
            </w:tr>
            <w:tr w14:paraId="3D29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jc w:val="center"/>
              </w:trPr>
              <w:tc>
                <w:tcPr>
                  <w:tcW w:w="360" w:type="dxa"/>
                  <w:vAlign w:val="center"/>
                </w:tcPr>
                <w:p w14:paraId="3C85C16D">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4</w:t>
                  </w:r>
                </w:p>
              </w:tc>
              <w:tc>
                <w:tcPr>
                  <w:tcW w:w="941" w:type="dxa"/>
                  <w:vAlign w:val="center"/>
                </w:tcPr>
                <w:p w14:paraId="725A50A1">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废润滑油桶</w:t>
                  </w:r>
                </w:p>
              </w:tc>
              <w:tc>
                <w:tcPr>
                  <w:tcW w:w="502" w:type="dxa"/>
                  <w:vMerge w:val="continue"/>
                  <w:vAlign w:val="center"/>
                </w:tcPr>
                <w:p w14:paraId="0DD42F1F">
                  <w:pPr>
                    <w:kinsoku/>
                    <w:spacing w:before="263"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539" w:type="dxa"/>
                  <w:vAlign w:val="center"/>
                </w:tcPr>
                <w:p w14:paraId="20206AD7">
                  <w:pPr>
                    <w:kinsoku/>
                    <w:spacing w:before="263"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毒性T</w:t>
                  </w:r>
                </w:p>
              </w:tc>
              <w:tc>
                <w:tcPr>
                  <w:tcW w:w="702" w:type="dxa"/>
                  <w:vAlign w:val="center"/>
                </w:tcPr>
                <w:p w14:paraId="16AF84E3">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HW08</w:t>
                  </w:r>
                </w:p>
              </w:tc>
              <w:tc>
                <w:tcPr>
                  <w:tcW w:w="767" w:type="dxa"/>
                  <w:vAlign w:val="center"/>
                </w:tcPr>
                <w:p w14:paraId="6689B694">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900-249-08</w:t>
                  </w:r>
                </w:p>
              </w:tc>
              <w:tc>
                <w:tcPr>
                  <w:tcW w:w="1116" w:type="dxa"/>
                  <w:vAlign w:val="center"/>
                </w:tcPr>
                <w:p w14:paraId="4C2E3BDC">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0.</w:t>
                  </w:r>
                  <w:r>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t</w:t>
                  </w:r>
                </w:p>
              </w:tc>
              <w:tc>
                <w:tcPr>
                  <w:tcW w:w="3108" w:type="dxa"/>
                  <w:vMerge w:val="continue"/>
                  <w:tcBorders>
                    <w:top w:val="single" w:color="auto" w:sz="4" w:space="0"/>
                    <w:bottom w:val="single" w:color="auto" w:sz="4" w:space="0"/>
                    <w:right w:val="single" w:color="000000" w:sz="4" w:space="0"/>
                  </w:tcBorders>
                  <w:vAlign w:val="center"/>
                </w:tcPr>
                <w:p w14:paraId="24BB3693">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r>
            <w:tr w14:paraId="2EA96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jc w:val="center"/>
              </w:trPr>
              <w:tc>
                <w:tcPr>
                  <w:tcW w:w="360" w:type="dxa"/>
                  <w:vAlign w:val="center"/>
                </w:tcPr>
                <w:p w14:paraId="37524A76">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w:t>
                  </w:r>
                </w:p>
              </w:tc>
              <w:tc>
                <w:tcPr>
                  <w:tcW w:w="941" w:type="dxa"/>
                  <w:vAlign w:val="center"/>
                </w:tcPr>
                <w:p w14:paraId="6AFF68AE">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废弃</w:t>
                  </w:r>
                  <w:r>
                    <w:rPr>
                      <w:rFonts w:hint="default" w:ascii="Times New Roman" w:hAnsi="Times New Roman" w:eastAsia="宋体" w:cs="Times New Roman"/>
                      <w:color w:val="000000" w:themeColor="text1"/>
                      <w:lang w:eastAsia="zh-CN"/>
                      <w14:textFill>
                        <w14:solidFill>
                          <w14:schemeClr w14:val="tx1"/>
                        </w14:solidFill>
                      </w14:textFill>
                    </w:rPr>
                    <w:t>油基泥浆</w:t>
                  </w:r>
                </w:p>
              </w:tc>
              <w:tc>
                <w:tcPr>
                  <w:tcW w:w="502" w:type="dxa"/>
                  <w:vMerge w:val="continue"/>
                  <w:vAlign w:val="center"/>
                </w:tcPr>
                <w:p w14:paraId="635FD6EA">
                  <w:pPr>
                    <w:kinsoku/>
                    <w:spacing w:before="263"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539" w:type="dxa"/>
                  <w:vAlign w:val="center"/>
                </w:tcPr>
                <w:p w14:paraId="6EC4CB03">
                  <w:pPr>
                    <w:kinsoku/>
                    <w:spacing w:before="263"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毒性T</w:t>
                  </w:r>
                </w:p>
              </w:tc>
              <w:tc>
                <w:tcPr>
                  <w:tcW w:w="702" w:type="dxa"/>
                  <w:vAlign w:val="center"/>
                </w:tcPr>
                <w:p w14:paraId="0EAD2389">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HW08</w:t>
                  </w:r>
                </w:p>
              </w:tc>
              <w:tc>
                <w:tcPr>
                  <w:tcW w:w="767" w:type="dxa"/>
                  <w:vAlign w:val="center"/>
                </w:tcPr>
                <w:p w14:paraId="2338F28C">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3"/>
                      <w:lang w:eastAsia="zh-CN"/>
                      <w14:textFill>
                        <w14:solidFill>
                          <w14:schemeClr w14:val="tx1"/>
                        </w14:solidFill>
                      </w14:textFill>
                    </w:rPr>
                    <w:t>071-002-08</w:t>
                  </w:r>
                </w:p>
              </w:tc>
              <w:tc>
                <w:tcPr>
                  <w:tcW w:w="1116" w:type="dxa"/>
                  <w:vAlign w:val="center"/>
                </w:tcPr>
                <w:p w14:paraId="5ABDAC0A">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18.80</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4"/>
                      <w:highlight w:val="none"/>
                      <w:vertAlign w:val="superscript"/>
                      <w:lang w:eastAsia="zh-CN"/>
                      <w14:textFill>
                        <w14:solidFill>
                          <w14:schemeClr w14:val="tx1"/>
                        </w14:solidFill>
                      </w14:textFill>
                    </w:rPr>
                    <w:t>3</w:t>
                  </w:r>
                </w:p>
              </w:tc>
              <w:tc>
                <w:tcPr>
                  <w:tcW w:w="3108" w:type="dxa"/>
                  <w:vMerge w:val="restart"/>
                  <w:tcBorders>
                    <w:top w:val="single" w:color="auto" w:sz="4" w:space="0"/>
                    <w:right w:val="single" w:color="000000" w:sz="4" w:space="0"/>
                  </w:tcBorders>
                  <w:vAlign w:val="center"/>
                </w:tcPr>
                <w:p w14:paraId="397DEAE7">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snapToGrid w:val="0"/>
                      <w:color w:val="000000" w:themeColor="text1"/>
                      <w:spacing w:val="8"/>
                      <w:sz w:val="21"/>
                      <w:szCs w:val="21"/>
                      <w:lang w:val="en-US" w:eastAsia="zh-CN" w:bidi="ar-SA"/>
                      <w14:textFill>
                        <w14:solidFill>
                          <w14:schemeClr w14:val="tx1"/>
                        </w14:solidFill>
                      </w14:textFill>
                    </w:rPr>
                    <w:t>二开段产生的废弃油基泥浆以及油基钻井岩屑含油率高，属于危险废物，按危险废物管理要求，委托具有危险废物经营资质的单位进行规范处置。</w:t>
                  </w:r>
                </w:p>
              </w:tc>
            </w:tr>
            <w:tr w14:paraId="2BB03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jc w:val="center"/>
              </w:trPr>
              <w:tc>
                <w:tcPr>
                  <w:tcW w:w="360" w:type="dxa"/>
                  <w:vAlign w:val="center"/>
                </w:tcPr>
                <w:p w14:paraId="2FD48AC6">
                  <w:pPr>
                    <w:kinsoku/>
                    <w:spacing w:before="57" w:line="195"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p>
              </w:tc>
              <w:tc>
                <w:tcPr>
                  <w:tcW w:w="941" w:type="dxa"/>
                  <w:vAlign w:val="center"/>
                </w:tcPr>
                <w:p w14:paraId="304535B0">
                  <w:pPr>
                    <w:kinsoku/>
                    <w:spacing w:before="57" w:line="195"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油基岩屑</w:t>
                  </w:r>
                </w:p>
              </w:tc>
              <w:tc>
                <w:tcPr>
                  <w:tcW w:w="502" w:type="dxa"/>
                  <w:vMerge w:val="continue"/>
                  <w:vAlign w:val="center"/>
                </w:tcPr>
                <w:p w14:paraId="28B8CC6C">
                  <w:pPr>
                    <w:kinsoku/>
                    <w:spacing w:before="263"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539" w:type="dxa"/>
                  <w:vAlign w:val="center"/>
                </w:tcPr>
                <w:p w14:paraId="7298896E">
                  <w:pPr>
                    <w:kinsoku/>
                    <w:spacing w:before="263"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毒性T</w:t>
                  </w:r>
                </w:p>
              </w:tc>
              <w:tc>
                <w:tcPr>
                  <w:tcW w:w="702" w:type="dxa"/>
                  <w:vAlign w:val="center"/>
                </w:tcPr>
                <w:p w14:paraId="48901F22">
                  <w:pPr>
                    <w:pStyle w:val="22"/>
                    <w:kinsoku/>
                    <w:spacing w:before="65" w:line="228" w:lineRule="auto"/>
                    <w:jc w:val="cente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HW08</w:t>
                  </w:r>
                </w:p>
              </w:tc>
              <w:tc>
                <w:tcPr>
                  <w:tcW w:w="767" w:type="dxa"/>
                  <w:vAlign w:val="center"/>
                </w:tcPr>
                <w:p w14:paraId="4EF2F537">
                  <w:pPr>
                    <w:pStyle w:val="22"/>
                    <w:kinsoku/>
                    <w:spacing w:before="65" w:line="228" w:lineRule="auto"/>
                    <w:jc w:val="center"/>
                    <w:rPr>
                      <w:rFonts w:hint="default" w:ascii="Times New Roman" w:hAnsi="Times New Roman" w:eastAsia="宋体" w:cs="Times New Roman"/>
                      <w:color w:val="000000" w:themeColor="text1"/>
                      <w:spacing w:val="3"/>
                      <w:lang w:eastAsia="zh-CN"/>
                      <w14:textFill>
                        <w14:solidFill>
                          <w14:schemeClr w14:val="tx1"/>
                        </w14:solidFill>
                      </w14:textFill>
                    </w:rPr>
                  </w:pPr>
                  <w:r>
                    <w:rPr>
                      <w:rFonts w:hint="default" w:ascii="Times New Roman" w:hAnsi="Times New Roman" w:eastAsia="宋体" w:cs="Times New Roman"/>
                      <w:color w:val="000000" w:themeColor="text1"/>
                      <w:spacing w:val="3"/>
                      <w:lang w:eastAsia="zh-CN"/>
                      <w14:textFill>
                        <w14:solidFill>
                          <w14:schemeClr w14:val="tx1"/>
                        </w14:solidFill>
                      </w14:textFill>
                    </w:rPr>
                    <w:t>071-002-08</w:t>
                  </w:r>
                </w:p>
              </w:tc>
              <w:tc>
                <w:tcPr>
                  <w:tcW w:w="1116" w:type="dxa"/>
                  <w:vAlign w:val="center"/>
                </w:tcPr>
                <w:p w14:paraId="62179C87">
                  <w:pPr>
                    <w:pStyle w:val="22"/>
                    <w:kinsoku/>
                    <w:spacing w:before="65" w:line="228" w:lineRule="auto"/>
                    <w:jc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909.99</w:t>
                  </w:r>
                </w:p>
              </w:tc>
              <w:tc>
                <w:tcPr>
                  <w:tcW w:w="3108" w:type="dxa"/>
                  <w:vMerge w:val="continue"/>
                  <w:tcBorders>
                    <w:bottom w:val="single" w:color="auto" w:sz="4" w:space="0"/>
                    <w:right w:val="single" w:color="000000" w:sz="4" w:space="0"/>
                  </w:tcBorders>
                  <w:vAlign w:val="center"/>
                </w:tcPr>
                <w:p w14:paraId="1B3C64AD">
                  <w:pPr>
                    <w:kinsoku/>
                    <w:jc w:val="center"/>
                    <w:rPr>
                      <w:rFonts w:hint="default" w:ascii="Times New Roman" w:hAnsi="Times New Roman" w:eastAsia="宋体" w:cs="Times New Roman"/>
                      <w:color w:val="000000" w:themeColor="text1"/>
                      <w:lang w:eastAsia="zh-CN"/>
                      <w14:textFill>
                        <w14:solidFill>
                          <w14:schemeClr w14:val="tx1"/>
                        </w14:solidFill>
                      </w14:textFill>
                    </w:rPr>
                  </w:pPr>
                </w:p>
              </w:tc>
            </w:tr>
          </w:tbl>
          <w:p w14:paraId="76BF1BD9">
            <w:pPr>
              <w:pStyle w:val="9"/>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7.环境风险影响分析</w:t>
            </w:r>
          </w:p>
          <w:p w14:paraId="1C9C3BD6">
            <w:pPr>
              <w:pStyle w:val="9"/>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7.1评价依据</w:t>
            </w:r>
          </w:p>
          <w:p w14:paraId="30B038B7">
            <w:pPr>
              <w:pStyle w:val="9"/>
              <w:widowControl w:val="0"/>
              <w:kinsoku/>
              <w:spacing w:line="360" w:lineRule="auto"/>
              <w:ind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钻井期涉及的危险物质主要为柴油、废润滑油及沾油废防渗材料；试油期涉及的危险物质主要为原油、柴油。根据《建设项目环境风险评价技术导则》（HJ169-2018）附录B可知，柴油、废润滑油属于“油类物质”，废润滑油桶和沾油废防渗材料为含油废物（各危险物质在线量分别以沾油废防渗材料和废润滑油桶中油类含量计），临界量均为2500t。</w:t>
            </w:r>
          </w:p>
          <w:p w14:paraId="737C9241">
            <w:pPr>
              <w:pStyle w:val="9"/>
              <w:widowControl w:val="0"/>
              <w:kinsoku/>
              <w:spacing w:line="360" w:lineRule="auto"/>
              <w:ind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根据相关资料可知，</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钻井</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井场</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柴油储罐的最大储存量约20t；危险废物废润滑油、废润滑油桶及沾油废防渗材料中石油类最大暂存量约为1t。则钻井期油类物质的危险物质数量与临界量比值Q=0.008＜1。</w:t>
            </w:r>
          </w:p>
          <w:p w14:paraId="0D03B649">
            <w:pPr>
              <w:pStyle w:val="9"/>
              <w:widowControl w:val="0"/>
              <w:kinsoku/>
              <w:spacing w:line="360" w:lineRule="auto"/>
              <w:ind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试油期产生的伴生气气量不稳定，伴生气和伴生气中的硫化氢最大存在总量远低于其临界量（伴生气临界量10t，硫化氢临界量2.5t）；试油期柴油在钻井</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井场</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的日常储量为20t，试油期钻井</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井场</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设置原油储罐</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个，油罐容积为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，原油平均密度为0.87g/cm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，则采出液中原油最大储存量约</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139.2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t，试油期油类物质的危险物质数量与临界量比值Q=0.0</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637</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＜1，风险潜势为Ⅰ。评价等级为简单分析。</w:t>
            </w:r>
          </w:p>
          <w:p w14:paraId="6274CCEF">
            <w:pPr>
              <w:pStyle w:val="9"/>
              <w:widowControl w:val="0"/>
              <w:kinsoku/>
              <w:spacing w:line="360" w:lineRule="auto"/>
              <w:ind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事故状态下，若发生井喷或者储罐泄漏事故，无法回收的原油和受污染的土壤形成落地油，落地油属于HW08类危险废物（废物代码：071-001-08），落地油产生量根据具体事故情形而定，落地油泥用专用罐收集，最终交由有危险废物处置资质的单位处置。</w:t>
            </w:r>
          </w:p>
          <w:p w14:paraId="35E6D26E">
            <w:pPr>
              <w:pStyle w:val="9"/>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钻井井场和试油井场各危险物质与临界量的比值计算情况具体见表4-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7323851F">
            <w:pPr>
              <w:pStyle w:val="30"/>
              <w:widowControl w:val="0"/>
              <w:kinsoku/>
              <w:rPr>
                <w:rFonts w:hint="default" w:ascii="Times New Roman" w:hAnsi="Times New Roman" w:eastAsia="宋体" w:cs="Times New Roman"/>
                <w:b/>
                <w:bCs/>
                <w:color w:val="000000" w:themeColor="text1"/>
                <w:spacing w:val="5"/>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Cs w:val="21"/>
                <w:lang w:eastAsia="zh-CN"/>
                <w14:textFill>
                  <w14:solidFill>
                    <w14:schemeClr w14:val="tx1"/>
                  </w14:solidFill>
                </w14:textFill>
              </w:rPr>
              <w:t>表4-</w:t>
            </w:r>
            <w:r>
              <w:rPr>
                <w:rFonts w:hint="eastAsia" w:ascii="Times New Roman" w:hAnsi="Times New Roman" w:eastAsia="宋体" w:cs="Times New Roman"/>
                <w:b/>
                <w:bCs/>
                <w:color w:val="000000" w:themeColor="text1"/>
                <w:spacing w:val="5"/>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5"/>
                <w:szCs w:val="21"/>
                <w:lang w:eastAsia="zh-CN"/>
                <w14:textFill>
                  <w14:solidFill>
                    <w14:schemeClr w14:val="tx1"/>
                  </w14:solidFill>
                </w14:textFill>
              </w:rPr>
              <w:t xml:space="preserve"> 本项目井场各风险单元Q值一览表</w:t>
            </w:r>
          </w:p>
          <w:tbl>
            <w:tblPr>
              <w:tblStyle w:val="16"/>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88"/>
              <w:gridCol w:w="2358"/>
              <w:gridCol w:w="1580"/>
              <w:gridCol w:w="1288"/>
              <w:gridCol w:w="965"/>
              <w:gridCol w:w="1085"/>
            </w:tblGrid>
            <w:tr w14:paraId="3B4539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jc w:val="center"/>
              </w:trPr>
              <w:tc>
                <w:tcPr>
                  <w:tcW w:w="488" w:type="pct"/>
                  <w:tcBorders>
                    <w:bottom w:val="single" w:color="auto" w:sz="4" w:space="0"/>
                    <w:right w:val="single" w:color="auto" w:sz="4" w:space="0"/>
                  </w:tcBorders>
                  <w:vAlign w:val="center"/>
                </w:tcPr>
                <w:p w14:paraId="34B6FB2F">
                  <w:pPr>
                    <w:pStyle w:val="9"/>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风险单位</w:t>
                  </w:r>
                </w:p>
              </w:tc>
              <w:tc>
                <w:tcPr>
                  <w:tcW w:w="1461" w:type="pct"/>
                  <w:tcBorders>
                    <w:left w:val="single" w:color="auto" w:sz="4" w:space="0"/>
                    <w:bottom w:val="single" w:color="auto" w:sz="4" w:space="0"/>
                    <w:right w:val="single" w:color="auto" w:sz="4" w:space="0"/>
                  </w:tcBorders>
                  <w:vAlign w:val="center"/>
                </w:tcPr>
                <w:p w14:paraId="6ACF1CE7">
                  <w:pPr>
                    <w:pStyle w:val="9"/>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危险物质名称</w:t>
                  </w:r>
                </w:p>
              </w:tc>
              <w:tc>
                <w:tcPr>
                  <w:tcW w:w="979" w:type="pct"/>
                  <w:tcBorders>
                    <w:left w:val="single" w:color="auto" w:sz="4" w:space="0"/>
                    <w:bottom w:val="single" w:color="auto" w:sz="4" w:space="0"/>
                    <w:right w:val="single" w:color="auto" w:sz="4" w:space="0"/>
                  </w:tcBorders>
                  <w:vAlign w:val="center"/>
                </w:tcPr>
                <w:p w14:paraId="2694BA2A">
                  <w:pPr>
                    <w:pStyle w:val="9"/>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危险物质最大在线量（t）</w:t>
                  </w:r>
                </w:p>
              </w:tc>
              <w:tc>
                <w:tcPr>
                  <w:tcW w:w="798" w:type="pct"/>
                  <w:tcBorders>
                    <w:left w:val="single" w:color="auto" w:sz="4" w:space="0"/>
                    <w:bottom w:val="single" w:color="auto" w:sz="4" w:space="0"/>
                    <w:right w:val="single" w:color="auto" w:sz="4" w:space="0"/>
                  </w:tcBorders>
                  <w:vAlign w:val="center"/>
                </w:tcPr>
                <w:p w14:paraId="32B694A2">
                  <w:pPr>
                    <w:pStyle w:val="9"/>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危险物质临界量（t）</w:t>
                  </w:r>
                </w:p>
              </w:tc>
              <w:tc>
                <w:tcPr>
                  <w:tcW w:w="598" w:type="pct"/>
                  <w:tcBorders>
                    <w:left w:val="single" w:color="auto" w:sz="4" w:space="0"/>
                    <w:bottom w:val="single" w:color="auto" w:sz="4" w:space="0"/>
                    <w:right w:val="single" w:color="auto" w:sz="4" w:space="0"/>
                  </w:tcBorders>
                  <w:vAlign w:val="center"/>
                </w:tcPr>
                <w:p w14:paraId="2170C73F">
                  <w:pPr>
                    <w:pStyle w:val="9"/>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Q值</w:t>
                  </w:r>
                </w:p>
              </w:tc>
              <w:tc>
                <w:tcPr>
                  <w:tcW w:w="672" w:type="pct"/>
                  <w:tcBorders>
                    <w:left w:val="single" w:color="auto" w:sz="4" w:space="0"/>
                    <w:bottom w:val="single" w:color="auto" w:sz="4" w:space="0"/>
                  </w:tcBorders>
                  <w:vAlign w:val="center"/>
                </w:tcPr>
                <w:p w14:paraId="7E987ECB">
                  <w:pPr>
                    <w:pStyle w:val="9"/>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风险潜势等级</w:t>
                  </w:r>
                </w:p>
              </w:tc>
            </w:tr>
            <w:tr w14:paraId="3EF530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restart"/>
                  <w:tcBorders>
                    <w:top w:val="single" w:color="auto" w:sz="4" w:space="0"/>
                    <w:right w:val="single" w:color="auto" w:sz="4" w:space="0"/>
                  </w:tcBorders>
                  <w:vAlign w:val="center"/>
                </w:tcPr>
                <w:p w14:paraId="69C7DB5E">
                  <w:pPr>
                    <w:kinsoku/>
                    <w:spacing w:before="57"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钻井井场</w:t>
                  </w:r>
                </w:p>
              </w:tc>
              <w:tc>
                <w:tcPr>
                  <w:tcW w:w="1461" w:type="pct"/>
                  <w:tcBorders>
                    <w:top w:val="single" w:color="auto" w:sz="4" w:space="0"/>
                    <w:left w:val="single" w:color="auto" w:sz="4" w:space="0"/>
                    <w:bottom w:val="single" w:color="auto" w:sz="4" w:space="0"/>
                    <w:right w:val="single" w:color="auto" w:sz="4" w:space="0"/>
                  </w:tcBorders>
                  <w:vAlign w:val="center"/>
                </w:tcPr>
                <w:p w14:paraId="33379A30">
                  <w:pPr>
                    <w:kinsoku/>
                    <w:spacing w:before="57"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7722F2A2">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20</w:t>
                  </w:r>
                </w:p>
              </w:tc>
              <w:tc>
                <w:tcPr>
                  <w:tcW w:w="798" w:type="pct"/>
                  <w:tcBorders>
                    <w:top w:val="single" w:color="auto" w:sz="4" w:space="0"/>
                    <w:left w:val="single" w:color="auto" w:sz="4" w:space="0"/>
                    <w:bottom w:val="single" w:color="auto" w:sz="4" w:space="0"/>
                    <w:right w:val="single" w:color="auto" w:sz="4" w:space="0"/>
                  </w:tcBorders>
                  <w:vAlign w:val="center"/>
                </w:tcPr>
                <w:p w14:paraId="12C330D5">
                  <w:pPr>
                    <w:kinsoku/>
                    <w:spacing w:before="57" w:line="195"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5351825">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0.00</w:t>
                  </w:r>
                  <w:r>
                    <w:rPr>
                      <w:rFonts w:hint="default" w:ascii="Times New Roman" w:hAnsi="Times New Roman" w:eastAsia="宋体" w:cs="Times New Roman"/>
                      <w:color w:val="000000" w:themeColor="text1"/>
                      <w:lang w:eastAsia="zh-CN"/>
                      <w14:textFill>
                        <w14:solidFill>
                          <w14:schemeClr w14:val="tx1"/>
                        </w14:solidFill>
                      </w14:textFill>
                    </w:rPr>
                    <w:t>8</w:t>
                  </w:r>
                </w:p>
              </w:tc>
              <w:tc>
                <w:tcPr>
                  <w:tcW w:w="672" w:type="pct"/>
                  <w:vMerge w:val="restart"/>
                  <w:tcBorders>
                    <w:top w:val="single" w:color="auto" w:sz="4" w:space="0"/>
                    <w:left w:val="single" w:color="auto" w:sz="4" w:space="0"/>
                    <w:bottom w:val="single" w:color="auto" w:sz="4" w:space="0"/>
                  </w:tcBorders>
                  <w:vAlign w:val="center"/>
                </w:tcPr>
                <w:p w14:paraId="40EC2932">
                  <w:pPr>
                    <w:pStyle w:val="9"/>
                    <w:kinsoku/>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w:t>
                  </w:r>
                </w:p>
              </w:tc>
            </w:tr>
            <w:tr w14:paraId="02F8A89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continue"/>
                  <w:tcBorders>
                    <w:right w:val="single" w:color="auto" w:sz="4" w:space="0"/>
                  </w:tcBorders>
                  <w:vAlign w:val="center"/>
                </w:tcPr>
                <w:p w14:paraId="5F497705">
                  <w:pPr>
                    <w:kinsoku/>
                    <w:spacing w:before="57" w:line="195" w:lineRule="auto"/>
                    <w:jc w:val="center"/>
                    <w:rPr>
                      <w:rFonts w:hint="default" w:ascii="Times New Roman" w:hAnsi="Times New Roman" w:eastAsia="宋体" w:cs="Times New Roman"/>
                      <w:color w:val="000000" w:themeColor="text1"/>
                      <w14:textFill>
                        <w14:solidFill>
                          <w14:schemeClr w14:val="tx1"/>
                        </w14:solidFill>
                      </w14:textFill>
                    </w:rPr>
                  </w:pPr>
                </w:p>
              </w:tc>
              <w:tc>
                <w:tcPr>
                  <w:tcW w:w="1461" w:type="pct"/>
                  <w:tcBorders>
                    <w:top w:val="single" w:color="auto" w:sz="4" w:space="0"/>
                    <w:left w:val="single" w:color="auto" w:sz="4" w:space="0"/>
                    <w:bottom w:val="single" w:color="auto" w:sz="4" w:space="0"/>
                    <w:right w:val="single" w:color="auto" w:sz="4" w:space="0"/>
                  </w:tcBorders>
                  <w:vAlign w:val="center"/>
                </w:tcPr>
                <w:p w14:paraId="2067DE40">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废润滑油、废润滑油桶及沾油废防渗材料</w:t>
                  </w:r>
                </w:p>
              </w:tc>
              <w:tc>
                <w:tcPr>
                  <w:tcW w:w="979" w:type="pct"/>
                  <w:tcBorders>
                    <w:top w:val="single" w:color="auto" w:sz="4" w:space="0"/>
                    <w:left w:val="single" w:color="auto" w:sz="4" w:space="0"/>
                    <w:bottom w:val="single" w:color="auto" w:sz="4" w:space="0"/>
                    <w:right w:val="single" w:color="auto" w:sz="4" w:space="0"/>
                  </w:tcBorders>
                  <w:vAlign w:val="center"/>
                </w:tcPr>
                <w:p w14:paraId="4BC5F226">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w:t>
                  </w:r>
                </w:p>
              </w:tc>
              <w:tc>
                <w:tcPr>
                  <w:tcW w:w="798" w:type="pct"/>
                  <w:tcBorders>
                    <w:top w:val="single" w:color="auto" w:sz="4" w:space="0"/>
                    <w:left w:val="single" w:color="auto" w:sz="4" w:space="0"/>
                    <w:bottom w:val="single" w:color="auto" w:sz="4" w:space="0"/>
                    <w:right w:val="single" w:color="auto" w:sz="4" w:space="0"/>
                  </w:tcBorders>
                  <w:vAlign w:val="center"/>
                </w:tcPr>
                <w:p w14:paraId="03E77ECA">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2F7BCD5">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0.0004</w:t>
                  </w:r>
                </w:p>
              </w:tc>
              <w:tc>
                <w:tcPr>
                  <w:tcW w:w="672" w:type="pct"/>
                  <w:vMerge w:val="continue"/>
                  <w:tcBorders>
                    <w:top w:val="single" w:color="auto" w:sz="4" w:space="0"/>
                    <w:left w:val="single" w:color="auto" w:sz="4" w:space="0"/>
                    <w:bottom w:val="single" w:color="auto" w:sz="4" w:space="0"/>
                  </w:tcBorders>
                  <w:vAlign w:val="center"/>
                </w:tcPr>
                <w:p w14:paraId="55143316">
                  <w:pPr>
                    <w:pStyle w:val="9"/>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14:paraId="1990DB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tcBorders>
                    <w:top w:val="single" w:color="auto" w:sz="4" w:space="0"/>
                    <w:bottom w:val="single" w:color="auto" w:sz="4" w:space="0"/>
                    <w:right w:val="single" w:color="auto" w:sz="4" w:space="0"/>
                  </w:tcBorders>
                  <w:vAlign w:val="center"/>
                </w:tcPr>
                <w:p w14:paraId="1867606D">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小计</w:t>
                  </w:r>
                </w:p>
              </w:tc>
              <w:tc>
                <w:tcPr>
                  <w:tcW w:w="1461" w:type="pct"/>
                  <w:tcBorders>
                    <w:top w:val="single" w:color="auto" w:sz="4" w:space="0"/>
                    <w:left w:val="single" w:color="auto" w:sz="4" w:space="0"/>
                    <w:bottom w:val="single" w:color="auto" w:sz="4" w:space="0"/>
                    <w:right w:val="single" w:color="auto" w:sz="4" w:space="0"/>
                  </w:tcBorders>
                  <w:vAlign w:val="center"/>
                </w:tcPr>
                <w:p w14:paraId="50EAED59">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979" w:type="pct"/>
                  <w:tcBorders>
                    <w:top w:val="single" w:color="auto" w:sz="4" w:space="0"/>
                    <w:left w:val="single" w:color="auto" w:sz="4" w:space="0"/>
                    <w:bottom w:val="single" w:color="auto" w:sz="4" w:space="0"/>
                    <w:right w:val="single" w:color="auto" w:sz="4" w:space="0"/>
                  </w:tcBorders>
                  <w:vAlign w:val="center"/>
                </w:tcPr>
                <w:p w14:paraId="5FA03F34">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798" w:type="pct"/>
                  <w:tcBorders>
                    <w:top w:val="single" w:color="auto" w:sz="4" w:space="0"/>
                    <w:left w:val="single" w:color="auto" w:sz="4" w:space="0"/>
                    <w:bottom w:val="single" w:color="auto" w:sz="4" w:space="0"/>
                    <w:right w:val="single" w:color="auto" w:sz="4" w:space="0"/>
                  </w:tcBorders>
                  <w:vAlign w:val="center"/>
                </w:tcPr>
                <w:p w14:paraId="21A59FDC">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598" w:type="pct"/>
                  <w:tcBorders>
                    <w:top w:val="single" w:color="auto" w:sz="4" w:space="0"/>
                    <w:left w:val="single" w:color="auto" w:sz="4" w:space="0"/>
                    <w:bottom w:val="single" w:color="auto" w:sz="4" w:space="0"/>
                    <w:right w:val="single" w:color="auto" w:sz="4" w:space="0"/>
                  </w:tcBorders>
                  <w:vAlign w:val="center"/>
                </w:tcPr>
                <w:p w14:paraId="69F278F6">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0.0084</w:t>
                  </w:r>
                </w:p>
              </w:tc>
              <w:tc>
                <w:tcPr>
                  <w:tcW w:w="672" w:type="pct"/>
                  <w:vMerge w:val="continue"/>
                  <w:tcBorders>
                    <w:top w:val="single" w:color="auto" w:sz="4" w:space="0"/>
                    <w:left w:val="single" w:color="auto" w:sz="4" w:space="0"/>
                    <w:bottom w:val="single" w:color="auto" w:sz="4" w:space="0"/>
                  </w:tcBorders>
                  <w:vAlign w:val="center"/>
                </w:tcPr>
                <w:p w14:paraId="16175E7F">
                  <w:pPr>
                    <w:pStyle w:val="9"/>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14:paraId="5BFF4B6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restart"/>
                  <w:tcBorders>
                    <w:top w:val="single" w:color="auto" w:sz="4" w:space="0"/>
                    <w:bottom w:val="single" w:color="auto" w:sz="4" w:space="0"/>
                    <w:right w:val="single" w:color="auto" w:sz="4" w:space="0"/>
                  </w:tcBorders>
                  <w:vAlign w:val="center"/>
                </w:tcPr>
                <w:p w14:paraId="6543402E">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试油井场</w:t>
                  </w:r>
                </w:p>
              </w:tc>
              <w:tc>
                <w:tcPr>
                  <w:tcW w:w="1461" w:type="pct"/>
                  <w:tcBorders>
                    <w:top w:val="single" w:color="auto" w:sz="4" w:space="0"/>
                    <w:left w:val="single" w:color="auto" w:sz="4" w:space="0"/>
                    <w:bottom w:val="single" w:color="auto" w:sz="4" w:space="0"/>
                    <w:right w:val="single" w:color="auto" w:sz="4" w:space="0"/>
                  </w:tcBorders>
                  <w:vAlign w:val="center"/>
                </w:tcPr>
                <w:p w14:paraId="600218FF">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4B85EB3E">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20</w:t>
                  </w:r>
                </w:p>
              </w:tc>
              <w:tc>
                <w:tcPr>
                  <w:tcW w:w="798" w:type="pct"/>
                  <w:tcBorders>
                    <w:top w:val="single" w:color="auto" w:sz="4" w:space="0"/>
                    <w:left w:val="single" w:color="auto" w:sz="4" w:space="0"/>
                    <w:bottom w:val="single" w:color="auto" w:sz="4" w:space="0"/>
                    <w:right w:val="single" w:color="auto" w:sz="4" w:space="0"/>
                  </w:tcBorders>
                  <w:vAlign w:val="center"/>
                </w:tcPr>
                <w:p w14:paraId="6B9E85FC">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3B86F3EE">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0.008</w:t>
                  </w:r>
                </w:p>
              </w:tc>
              <w:tc>
                <w:tcPr>
                  <w:tcW w:w="672" w:type="pct"/>
                  <w:vMerge w:val="restart"/>
                  <w:tcBorders>
                    <w:top w:val="single" w:color="auto" w:sz="4" w:space="0"/>
                    <w:left w:val="single" w:color="auto" w:sz="4" w:space="0"/>
                    <w:bottom w:val="single" w:color="auto" w:sz="4" w:space="0"/>
                  </w:tcBorders>
                  <w:vAlign w:val="center"/>
                </w:tcPr>
                <w:p w14:paraId="4348D424">
                  <w:pPr>
                    <w:pStyle w:val="9"/>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Ⅰ</w:t>
                  </w:r>
                </w:p>
              </w:tc>
            </w:tr>
            <w:tr w14:paraId="733432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continue"/>
                  <w:tcBorders>
                    <w:top w:val="single" w:color="auto" w:sz="4" w:space="0"/>
                    <w:bottom w:val="single" w:color="auto" w:sz="4" w:space="0"/>
                    <w:right w:val="single" w:color="auto" w:sz="4" w:space="0"/>
                  </w:tcBorders>
                  <w:vAlign w:val="center"/>
                </w:tcPr>
                <w:p w14:paraId="6BFBD46D">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461" w:type="pct"/>
                  <w:tcBorders>
                    <w:top w:val="single" w:color="auto" w:sz="4" w:space="0"/>
                    <w:left w:val="single" w:color="auto" w:sz="4" w:space="0"/>
                    <w:bottom w:val="single" w:color="auto" w:sz="4" w:space="0"/>
                    <w:right w:val="single" w:color="auto" w:sz="4" w:space="0"/>
                  </w:tcBorders>
                  <w:vAlign w:val="center"/>
                </w:tcPr>
                <w:p w14:paraId="37115408">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采出液中原油</w:t>
                  </w:r>
                </w:p>
              </w:tc>
              <w:tc>
                <w:tcPr>
                  <w:tcW w:w="979" w:type="pct"/>
                  <w:tcBorders>
                    <w:top w:val="single" w:color="auto" w:sz="4" w:space="0"/>
                    <w:left w:val="single" w:color="auto" w:sz="4" w:space="0"/>
                    <w:bottom w:val="single" w:color="auto" w:sz="4" w:space="0"/>
                    <w:right w:val="single" w:color="auto" w:sz="4" w:space="0"/>
                  </w:tcBorders>
                  <w:vAlign w:val="center"/>
                </w:tcPr>
                <w:p w14:paraId="2ED18941">
                  <w:pPr>
                    <w:kinsoku/>
                    <w:spacing w:before="57" w:line="195"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139.2</w:t>
                  </w:r>
                </w:p>
              </w:tc>
              <w:tc>
                <w:tcPr>
                  <w:tcW w:w="798" w:type="pct"/>
                  <w:tcBorders>
                    <w:top w:val="single" w:color="auto" w:sz="4" w:space="0"/>
                    <w:left w:val="single" w:color="auto" w:sz="4" w:space="0"/>
                    <w:bottom w:val="single" w:color="auto" w:sz="4" w:space="0"/>
                    <w:right w:val="single" w:color="auto" w:sz="4" w:space="0"/>
                  </w:tcBorders>
                  <w:vAlign w:val="center"/>
                </w:tcPr>
                <w:p w14:paraId="378B4DFE">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763BD8C5">
                  <w:pPr>
                    <w:kinsoku/>
                    <w:spacing w:before="57" w:line="195"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0.0</w:t>
                  </w:r>
                  <w:r>
                    <w:rPr>
                      <w:rFonts w:hint="default" w:ascii="Times New Roman" w:hAnsi="Times New Roman" w:eastAsia="宋体" w:cs="Times New Roman"/>
                      <w:color w:val="000000" w:themeColor="text1"/>
                      <w:lang w:val="en-US" w:eastAsia="zh-CN"/>
                      <w14:textFill>
                        <w14:solidFill>
                          <w14:schemeClr w14:val="tx1"/>
                        </w14:solidFill>
                      </w14:textFill>
                    </w:rPr>
                    <w:t>557</w:t>
                  </w:r>
                </w:p>
              </w:tc>
              <w:tc>
                <w:tcPr>
                  <w:tcW w:w="672" w:type="pct"/>
                  <w:vMerge w:val="continue"/>
                  <w:tcBorders>
                    <w:top w:val="single" w:color="auto" w:sz="4" w:space="0"/>
                    <w:left w:val="single" w:color="auto" w:sz="4" w:space="0"/>
                    <w:bottom w:val="single" w:color="auto" w:sz="4" w:space="0"/>
                  </w:tcBorders>
                  <w:vAlign w:val="center"/>
                </w:tcPr>
                <w:p w14:paraId="70F7F30D">
                  <w:pPr>
                    <w:pStyle w:val="9"/>
                    <w:kinsoku/>
                    <w:ind w:firstLine="420"/>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14:paraId="6279A5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tcBorders>
                    <w:top w:val="single" w:color="auto" w:sz="4" w:space="0"/>
                    <w:right w:val="single" w:color="auto" w:sz="4" w:space="0"/>
                  </w:tcBorders>
                  <w:vAlign w:val="center"/>
                </w:tcPr>
                <w:p w14:paraId="348B1743">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小计</w:t>
                  </w:r>
                </w:p>
              </w:tc>
              <w:tc>
                <w:tcPr>
                  <w:tcW w:w="1461" w:type="pct"/>
                  <w:tcBorders>
                    <w:top w:val="single" w:color="auto" w:sz="4" w:space="0"/>
                    <w:left w:val="single" w:color="auto" w:sz="4" w:space="0"/>
                    <w:right w:val="single" w:color="auto" w:sz="4" w:space="0"/>
                  </w:tcBorders>
                  <w:vAlign w:val="center"/>
                </w:tcPr>
                <w:p w14:paraId="57082B66">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979" w:type="pct"/>
                  <w:tcBorders>
                    <w:top w:val="single" w:color="auto" w:sz="4" w:space="0"/>
                    <w:left w:val="single" w:color="auto" w:sz="4" w:space="0"/>
                    <w:right w:val="single" w:color="auto" w:sz="4" w:space="0"/>
                  </w:tcBorders>
                  <w:vAlign w:val="center"/>
                </w:tcPr>
                <w:p w14:paraId="6F75BB86">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798" w:type="pct"/>
                  <w:tcBorders>
                    <w:top w:val="single" w:color="auto" w:sz="4" w:space="0"/>
                    <w:left w:val="single" w:color="auto" w:sz="4" w:space="0"/>
                    <w:right w:val="single" w:color="auto" w:sz="4" w:space="0"/>
                  </w:tcBorders>
                  <w:vAlign w:val="center"/>
                </w:tcPr>
                <w:p w14:paraId="12A7EADC">
                  <w:pPr>
                    <w:kinsoku/>
                    <w:spacing w:before="57" w:line="195"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598" w:type="pct"/>
                  <w:tcBorders>
                    <w:top w:val="single" w:color="auto" w:sz="4" w:space="0"/>
                    <w:left w:val="single" w:color="auto" w:sz="4" w:space="0"/>
                    <w:right w:val="single" w:color="auto" w:sz="4" w:space="0"/>
                  </w:tcBorders>
                  <w:vAlign w:val="center"/>
                </w:tcPr>
                <w:p w14:paraId="4EE9B20B">
                  <w:pPr>
                    <w:kinsoku/>
                    <w:spacing w:before="57" w:line="195"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0.0064</w:t>
                  </w:r>
                </w:p>
              </w:tc>
              <w:tc>
                <w:tcPr>
                  <w:tcW w:w="672" w:type="pct"/>
                  <w:vMerge w:val="continue"/>
                  <w:tcBorders>
                    <w:top w:val="single" w:color="auto" w:sz="4" w:space="0"/>
                    <w:left w:val="single" w:color="auto" w:sz="4" w:space="0"/>
                  </w:tcBorders>
                  <w:vAlign w:val="center"/>
                </w:tcPr>
                <w:p w14:paraId="76602BB5">
                  <w:pPr>
                    <w:pStyle w:val="9"/>
                    <w:kinsoku/>
                    <w:ind w:firstLine="420"/>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bl>
          <w:p w14:paraId="6FC2BB3C">
            <w:pPr>
              <w:pStyle w:val="9"/>
              <w:widowControl w:val="0"/>
              <w:kinsoku/>
              <w:spacing w:line="360"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综上所述，井场钻井期、试油期Q值均小于1，评价工作等级为简单分析。</w:t>
            </w:r>
          </w:p>
          <w:p w14:paraId="1C95F1B9">
            <w:pPr>
              <w:pStyle w:val="9"/>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7.2环境敏感目标概况</w:t>
            </w:r>
          </w:p>
          <w:p w14:paraId="3F6702AD">
            <w:pPr>
              <w:pStyle w:val="9"/>
              <w:widowControl w:val="0"/>
              <w:kinsoku/>
              <w:spacing w:line="360"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根据《建设项目环境风险评价技术导则》（HJ169-2018）的规定，项目开展简单分析，不设环境风险评价范围。</w:t>
            </w:r>
          </w:p>
          <w:p w14:paraId="6DDE70B9">
            <w:pPr>
              <w:pStyle w:val="9"/>
              <w:widowControl w:val="0"/>
              <w:kinsoku/>
              <w:spacing w:line="360" w:lineRule="auto"/>
              <w:ind w:firstLine="482"/>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经调查，项目所在区域干旱少雨，项目区周围3km范围内有村庄，无重要生物群落、无地表水体。本次拟部署的井场中，钻井周边均分布有农田，井场边界外扩1km范围内存在耕地，属于土壤环境敏感目标。</w:t>
            </w:r>
          </w:p>
          <w:p w14:paraId="09976D29">
            <w:pPr>
              <w:pStyle w:val="9"/>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7.3环境风险识别</w:t>
            </w:r>
          </w:p>
          <w:p w14:paraId="11436C6E">
            <w:pPr>
              <w:pStyle w:val="9"/>
              <w:widowControl w:val="0"/>
              <w:kinsoku/>
              <w:spacing w:line="360" w:lineRule="auto"/>
              <w:ind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①危险物质识别</w:t>
            </w:r>
          </w:p>
          <w:p w14:paraId="62A363B8">
            <w:pPr>
              <w:pStyle w:val="9"/>
              <w:widowControl w:val="0"/>
              <w:kinsoku/>
              <w:spacing w:line="360" w:lineRule="auto"/>
              <w:ind w:firstLine="48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施工期间涉及的环境危险物质主要为柴油、原油、伴生气（主要成分为天然气）</w:t>
            </w:r>
            <w:bookmarkStart w:id="20" w:name="OLE_LINK52"/>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和伴生气中可能存在的少量硫化氢</w:t>
            </w:r>
            <w:bookmarkEnd w:id="20"/>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等，其主要物化、毒理性质、危险等级划分及影响途径见表4-</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14:paraId="313566AE">
            <w:pPr>
              <w:pStyle w:val="9"/>
              <w:widowControl w:val="0"/>
              <w:kinsoku/>
              <w:jc w:val="cente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表4-</w:t>
            </w:r>
            <w:r>
              <w:rPr>
                <w:rFonts w:hint="eastAsia" w:ascii="Times New Roman" w:hAnsi="Times New Roman" w:eastAsia="宋体" w:cs="Times New Roman"/>
                <w:b/>
                <w:bCs/>
                <w:color w:val="000000" w:themeColor="text1"/>
                <w:spacing w:val="5"/>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5"/>
                <w:sz w:val="21"/>
                <w:szCs w:val="21"/>
                <w:lang w:val="zh-CN" w:eastAsia="zh-CN"/>
                <w14:textFill>
                  <w14:solidFill>
                    <w14:schemeClr w14:val="tx1"/>
                  </w14:solidFill>
                </w14:textFill>
              </w:rPr>
              <w:t>原油、柴油、伴生气和硫化氢理化性质及危险级别分类</w:t>
            </w: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83"/>
              <w:gridCol w:w="866"/>
              <w:gridCol w:w="3085"/>
              <w:gridCol w:w="1738"/>
              <w:gridCol w:w="696"/>
              <w:gridCol w:w="723"/>
            </w:tblGrid>
            <w:tr w14:paraId="14150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top w:val="single" w:color="auto" w:sz="4" w:space="0"/>
                    <w:left w:val="single" w:color="auto" w:sz="0" w:space="0"/>
                  </w:tcBorders>
                  <w:vAlign w:val="center"/>
                </w:tcPr>
                <w:p w14:paraId="68B0FD12">
                  <w:pPr>
                    <w:widowControl w:val="0"/>
                    <w:kinsoku/>
                    <w:spacing w:line="28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299" w:type="pct"/>
                  <w:tcBorders>
                    <w:top w:val="single" w:color="auto" w:sz="4" w:space="0"/>
                  </w:tcBorders>
                  <w:vAlign w:val="center"/>
                </w:tcPr>
                <w:p w14:paraId="68E98FE7">
                  <w:pPr>
                    <w:widowControl w:val="0"/>
                    <w:kinsoku/>
                    <w:spacing w:line="28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名称</w:t>
                  </w:r>
                </w:p>
              </w:tc>
              <w:tc>
                <w:tcPr>
                  <w:tcW w:w="536" w:type="pct"/>
                  <w:tcBorders>
                    <w:top w:val="single" w:color="auto" w:sz="4" w:space="0"/>
                  </w:tcBorders>
                  <w:vAlign w:val="center"/>
                </w:tcPr>
                <w:p w14:paraId="63426E20">
                  <w:pPr>
                    <w:widowControl w:val="0"/>
                    <w:kinsoku/>
                    <w:spacing w:line="28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组分</w:t>
                  </w:r>
                </w:p>
              </w:tc>
              <w:tc>
                <w:tcPr>
                  <w:tcW w:w="1910" w:type="pct"/>
                  <w:tcBorders>
                    <w:top w:val="single" w:color="auto" w:sz="4" w:space="0"/>
                  </w:tcBorders>
                  <w:vAlign w:val="center"/>
                </w:tcPr>
                <w:p w14:paraId="0687C055">
                  <w:pPr>
                    <w:widowControl w:val="0"/>
                    <w:kinsoku/>
                    <w:spacing w:line="28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危险性</w:t>
                  </w:r>
                </w:p>
              </w:tc>
              <w:tc>
                <w:tcPr>
                  <w:tcW w:w="1076" w:type="pct"/>
                  <w:tcBorders>
                    <w:top w:val="single" w:color="auto" w:sz="4" w:space="0"/>
                  </w:tcBorders>
                  <w:vAlign w:val="center"/>
                </w:tcPr>
                <w:p w14:paraId="20EA3647">
                  <w:pPr>
                    <w:widowControl w:val="0"/>
                    <w:kinsoku/>
                    <w:spacing w:line="28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燃烧爆炸特性参数</w:t>
                  </w:r>
                </w:p>
              </w:tc>
              <w:tc>
                <w:tcPr>
                  <w:tcW w:w="431" w:type="pct"/>
                  <w:tcBorders>
                    <w:top w:val="single" w:color="auto" w:sz="4" w:space="0"/>
                  </w:tcBorders>
                  <w:vAlign w:val="center"/>
                </w:tcPr>
                <w:p w14:paraId="5430FA83">
                  <w:pPr>
                    <w:widowControl w:val="0"/>
                    <w:kinsoku/>
                    <w:spacing w:line="28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危险级别</w:t>
                  </w:r>
                </w:p>
              </w:tc>
              <w:tc>
                <w:tcPr>
                  <w:tcW w:w="447" w:type="pct"/>
                  <w:tcBorders>
                    <w:top w:val="single" w:color="auto" w:sz="4" w:space="0"/>
                    <w:right w:val="single" w:color="auto" w:sz="4" w:space="0"/>
                  </w:tcBorders>
                  <w:vAlign w:val="center"/>
                </w:tcPr>
                <w:p w14:paraId="760760AF">
                  <w:pPr>
                    <w:widowControl w:val="0"/>
                    <w:kinsoku/>
                    <w:spacing w:line="28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影响途径</w:t>
                  </w:r>
                </w:p>
              </w:tc>
            </w:tr>
            <w:tr w14:paraId="549A6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057CDC38">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299" w:type="pct"/>
                  <w:vAlign w:val="center"/>
                </w:tcPr>
                <w:p w14:paraId="221912BB">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原油</w:t>
                  </w:r>
                </w:p>
              </w:tc>
              <w:tc>
                <w:tcPr>
                  <w:tcW w:w="536" w:type="pct"/>
                  <w:vAlign w:val="center"/>
                </w:tcPr>
                <w:p w14:paraId="36F0673A">
                  <w:pPr>
                    <w:widowControl w:val="0"/>
                    <w:kinsoku/>
                    <w:spacing w:line="28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各种烃类和非烃类化合物所组成的复杂混合物</w:t>
                  </w:r>
                </w:p>
              </w:tc>
              <w:tc>
                <w:tcPr>
                  <w:tcW w:w="1910" w:type="pct"/>
                  <w:vAlign w:val="center"/>
                </w:tcPr>
                <w:p w14:paraId="3FB4E700">
                  <w:pPr>
                    <w:widowControl w:val="0"/>
                    <w:kinsoku/>
                    <w:spacing w:line="28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原油本身无明显毒性。遇热分解出有毒烟雾，人体大量吸入可引起危害：有刺激和麻痹作用，急性中毒者有上呼吸道刺激症状。</w:t>
                  </w:r>
                </w:p>
              </w:tc>
              <w:tc>
                <w:tcPr>
                  <w:tcW w:w="1076" w:type="pct"/>
                  <w:vAlign w:val="center"/>
                </w:tcPr>
                <w:p w14:paraId="1A0EB70E">
                  <w:pPr>
                    <w:widowControl w:val="0"/>
                    <w:kinsoku/>
                    <w:spacing w:line="28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热值：41870KJ/kg；沸点：300～325℃；闪点：23.5℃；爆炸极限：1.1%～6.4%（v）；自燃点：380～530℃。</w:t>
                  </w:r>
                </w:p>
              </w:tc>
              <w:tc>
                <w:tcPr>
                  <w:tcW w:w="431" w:type="pct"/>
                  <w:vAlign w:val="center"/>
                </w:tcPr>
                <w:p w14:paraId="41915593">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高闪点液体</w:t>
                  </w:r>
                </w:p>
              </w:tc>
              <w:tc>
                <w:tcPr>
                  <w:tcW w:w="447" w:type="pct"/>
                  <w:tcBorders>
                    <w:right w:val="single" w:color="auto" w:sz="4" w:space="0"/>
                  </w:tcBorders>
                  <w:vAlign w:val="center"/>
                </w:tcPr>
                <w:p w14:paraId="7F8CB8CC">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大气、地下水、土壤</w:t>
                  </w:r>
                </w:p>
              </w:tc>
            </w:tr>
            <w:tr w14:paraId="266FC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425AB755">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299" w:type="pct"/>
                  <w:vAlign w:val="center"/>
                </w:tcPr>
                <w:p w14:paraId="2D37FD44">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伴生气</w:t>
                  </w:r>
                </w:p>
              </w:tc>
              <w:tc>
                <w:tcPr>
                  <w:tcW w:w="536" w:type="pct"/>
                  <w:vAlign w:val="center"/>
                </w:tcPr>
                <w:p w14:paraId="57FBD4D2">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主要成分包括甲烷、乙烷等</w:t>
                  </w:r>
                </w:p>
              </w:tc>
              <w:tc>
                <w:tcPr>
                  <w:tcW w:w="1910" w:type="pct"/>
                  <w:vAlign w:val="center"/>
                </w:tcPr>
                <w:p w14:paraId="73206230">
                  <w:pPr>
                    <w:widowControl w:val="0"/>
                    <w:kinsoku/>
                    <w:spacing w:line="28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伴生气主要成分为天然气。天然气中含有的甲烷，是一种无毒气体，当空气中大量弥漫这种气体时会使人因氧气不足而呼吸困难，进而失去知觉、昏迷甚至残废。</w:t>
                  </w:r>
                </w:p>
              </w:tc>
              <w:tc>
                <w:tcPr>
                  <w:tcW w:w="1076" w:type="pct"/>
                  <w:vAlign w:val="center"/>
                </w:tcPr>
                <w:p w14:paraId="3C63CCD7">
                  <w:pPr>
                    <w:widowControl w:val="0"/>
                    <w:kinsoku/>
                    <w:spacing w:line="28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热值：50009KJ/kg；爆炸极限：5%～14%（v）；自燃点：482～632℃。</w:t>
                  </w:r>
                </w:p>
              </w:tc>
              <w:tc>
                <w:tcPr>
                  <w:tcW w:w="431" w:type="pct"/>
                  <w:vAlign w:val="center"/>
                </w:tcPr>
                <w:p w14:paraId="5BB62241">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易燃气体</w:t>
                  </w:r>
                </w:p>
              </w:tc>
              <w:tc>
                <w:tcPr>
                  <w:tcW w:w="447" w:type="pct"/>
                  <w:tcBorders>
                    <w:right w:val="single" w:color="auto" w:sz="4" w:space="0"/>
                  </w:tcBorders>
                  <w:vAlign w:val="center"/>
                </w:tcPr>
                <w:p w14:paraId="754D02C2">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w:t>
                  </w:r>
                </w:p>
              </w:tc>
            </w:tr>
            <w:tr w14:paraId="156E4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289651C6">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299" w:type="pct"/>
                  <w:vAlign w:val="center"/>
                </w:tcPr>
                <w:p w14:paraId="29CBD194">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柴油</w:t>
                  </w:r>
                </w:p>
              </w:tc>
              <w:tc>
                <w:tcPr>
                  <w:tcW w:w="536" w:type="pct"/>
                  <w:vAlign w:val="center"/>
                </w:tcPr>
                <w:p w14:paraId="0B33DA88">
                  <w:pPr>
                    <w:widowControl w:val="0"/>
                    <w:kinsoku/>
                    <w:spacing w:line="28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复杂烃类(碳原子数约10～22)混合物</w:t>
                  </w:r>
                </w:p>
              </w:tc>
              <w:tc>
                <w:tcPr>
                  <w:tcW w:w="1910" w:type="pct"/>
                  <w:vAlign w:val="center"/>
                </w:tcPr>
                <w:p w14:paraId="5F535CFC">
                  <w:pPr>
                    <w:widowControl w:val="0"/>
                    <w:kinsoku/>
                    <w:spacing w:line="28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柴油的毒性类似于煤油，但由于添加剂(如硫化酯类)的影响，毒性比煤油略大，主要有麻醉和刺激作用。柴油的雾滴吸入后可致吸入性肺炎，皮肤接触柴油可致接触性皮炎。</w:t>
                  </w:r>
                </w:p>
              </w:tc>
              <w:tc>
                <w:tcPr>
                  <w:tcW w:w="1076" w:type="pct"/>
                  <w:vAlign w:val="center"/>
                </w:tcPr>
                <w:p w14:paraId="1C2317A0">
                  <w:pPr>
                    <w:widowControl w:val="0"/>
                    <w:kinsoku/>
                    <w:spacing w:line="28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热值：3.3×10</w:t>
                  </w:r>
                  <w:r>
                    <w:rPr>
                      <w:rFonts w:hint="default" w:ascii="Times New Roman" w:hAnsi="Times New Roman" w:eastAsia="宋体" w:cs="Times New Roman"/>
                      <w:color w:val="000000" w:themeColor="text1"/>
                      <w:vertAlign w:val="superscript"/>
                      <w:lang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KJ/L；沸点范围：180～370℃和350～410℃；两类闪点：38℃。</w:t>
                  </w:r>
                </w:p>
              </w:tc>
              <w:tc>
                <w:tcPr>
                  <w:tcW w:w="431" w:type="pct"/>
                  <w:vAlign w:val="center"/>
                </w:tcPr>
                <w:p w14:paraId="094E1412">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高闪点液体</w:t>
                  </w:r>
                </w:p>
              </w:tc>
              <w:tc>
                <w:tcPr>
                  <w:tcW w:w="447" w:type="pct"/>
                  <w:tcBorders>
                    <w:right w:val="single" w:color="auto" w:sz="4" w:space="0"/>
                  </w:tcBorders>
                  <w:vAlign w:val="center"/>
                </w:tcPr>
                <w:p w14:paraId="136499D5">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大气、地下水、土壤</w:t>
                  </w:r>
                </w:p>
              </w:tc>
            </w:tr>
            <w:tr w14:paraId="11F7A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42F5A5A2">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299" w:type="pct"/>
                  <w:vAlign w:val="center"/>
                </w:tcPr>
                <w:p w14:paraId="64E001E1">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硫化氢</w:t>
                  </w:r>
                </w:p>
              </w:tc>
              <w:tc>
                <w:tcPr>
                  <w:tcW w:w="536" w:type="pct"/>
                  <w:vAlign w:val="center"/>
                </w:tcPr>
                <w:p w14:paraId="00B50044">
                  <w:pPr>
                    <w:widowControl w:val="0"/>
                    <w:kinsoku/>
                    <w:spacing w:line="28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硫化氢气体</w:t>
                  </w:r>
                </w:p>
              </w:tc>
              <w:tc>
                <w:tcPr>
                  <w:tcW w:w="1910" w:type="pct"/>
                  <w:vAlign w:val="center"/>
                </w:tcPr>
                <w:p w14:paraId="3AD7D6EB">
                  <w:pPr>
                    <w:widowControl w:val="0"/>
                    <w:kinsoku/>
                    <w:spacing w:line="28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本品是强烈的神经毒物，对粘膜有强烈刺激作用。</w:t>
                  </w:r>
                </w:p>
                <w:p w14:paraId="055CC147">
                  <w:pPr>
                    <w:widowControl w:val="0"/>
                    <w:kinsoku/>
                    <w:spacing w:line="28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急性中毒：短期内吸入高浓度硫化氢后出现流泪、眼痛、眼内异物感、畏光、视物模糊、流涕、喉部灼热感、咳、胸闷、头痛、头晕、乏力、意识模糊等。部分患者可有心肌损害。重者可出现脑水肿、肺水肿。极高浓度(1000mg/m</w:t>
                  </w:r>
                  <w:r>
                    <w:rPr>
                      <w:rFonts w:hint="default" w:ascii="Times New Roman" w:hAnsi="Times New Roman" w:eastAsia="宋体" w:cs="Times New Roman"/>
                      <w:color w:val="000000" w:themeColor="text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以上)时可在数秒钟内突然昏迷，呼吸和心跳骤停，发生闪电型死亡。高浓度接触眼结膜发生水肿和角膜溃疡。长期低浓度接触，引起神经衰弱综合征和植物神经功能紊乱。</w:t>
                  </w:r>
                </w:p>
              </w:tc>
              <w:tc>
                <w:tcPr>
                  <w:tcW w:w="1076" w:type="pct"/>
                  <w:vAlign w:val="center"/>
                </w:tcPr>
                <w:p w14:paraId="526F7FCF">
                  <w:pPr>
                    <w:widowControl w:val="0"/>
                    <w:kinsoku/>
                    <w:spacing w:line="28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易燃，与空气混合能形成爆炸性混合物，遇明火、高热能引起燃烧</w:t>
                  </w:r>
                  <w:r>
                    <w:rPr>
                      <w:rFonts w:hint="default" w:ascii="Times New Roman" w:hAnsi="Times New Roman" w:eastAsia="宋体" w:cs="Times New Roman"/>
                      <w:color w:val="000000" w:themeColor="text1"/>
                      <w:lang w:val="en-US" w:eastAsia="zh-CN"/>
                      <w14:textFill>
                        <w14:solidFill>
                          <w14:schemeClr w14:val="tx1"/>
                        </w14:solidFill>
                      </w14:textFill>
                    </w:rPr>
                    <w:t>爆</w:t>
                  </w:r>
                  <w:r>
                    <w:rPr>
                      <w:rFonts w:hint="default" w:ascii="Times New Roman" w:hAnsi="Times New Roman" w:eastAsia="宋体" w:cs="Times New Roman"/>
                      <w:color w:val="000000" w:themeColor="text1"/>
                      <w:lang w:eastAsia="zh-CN"/>
                      <w14:textFill>
                        <w14:solidFill>
                          <w14:schemeClr w14:val="tx1"/>
                        </w14:solidFill>
                      </w14:textFill>
                    </w:rPr>
                    <w:t>炸。与浓硝酸、发烟硝酸或其它强氧化剂剧烈反应，发生爆炸。气体比空气重，能在较低处扩散到相当远的地方，遇火源会着火回燃。</w:t>
                  </w:r>
                </w:p>
              </w:tc>
              <w:tc>
                <w:tcPr>
                  <w:tcW w:w="431" w:type="pct"/>
                  <w:vAlign w:val="center"/>
                </w:tcPr>
                <w:p w14:paraId="1A86F8D3">
                  <w:pPr>
                    <w:widowControl w:val="0"/>
                    <w:kinsoku/>
                    <w:spacing w:line="28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易燃，具强刺激性。</w:t>
                  </w:r>
                </w:p>
              </w:tc>
              <w:tc>
                <w:tcPr>
                  <w:tcW w:w="447" w:type="pct"/>
                  <w:tcBorders>
                    <w:right w:val="single" w:color="auto" w:sz="4" w:space="0"/>
                  </w:tcBorders>
                  <w:vAlign w:val="center"/>
                </w:tcPr>
                <w:p w14:paraId="47047B36">
                  <w:pPr>
                    <w:widowControl w:val="0"/>
                    <w:kinsoku/>
                    <w:spacing w:line="28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大气</w:t>
                  </w:r>
                </w:p>
              </w:tc>
            </w:tr>
          </w:tbl>
          <w:p w14:paraId="64FB8CDA">
            <w:pPr>
              <w:widowControl w:val="0"/>
              <w:kinsoku/>
              <w:spacing w:line="49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②生产设施风险识别</w:t>
            </w:r>
          </w:p>
          <w:p w14:paraId="2157847A">
            <w:pPr>
              <w:widowControl w:val="0"/>
              <w:kinsoku/>
              <w:spacing w:line="49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a.井喷事故风险</w:t>
            </w:r>
          </w:p>
          <w:p w14:paraId="35820AC5">
            <w:pPr>
              <w:widowControl w:val="0"/>
              <w:kinsoku/>
              <w:spacing w:line="49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若井底压力小于地层压力，地层流体将进入井筒并推动钻井液外溢。此时，如果对地下油、气压力平衡控制不当，不能及时控制溢流，会造成油、气、水或其他混合物迅速喷到地面，即发生井喷。井喷会引发油气泄漏及火灾爆炸，对大气环境、地下水环境、土壤环境及生态环境造成危害，致使人员伤亡、财产损失。</w:t>
            </w:r>
          </w:p>
          <w:p w14:paraId="58E40839">
            <w:pPr>
              <w:widowControl w:val="0"/>
              <w:kinsoku/>
              <w:spacing w:line="49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b.储罐泄漏风险</w:t>
            </w:r>
          </w:p>
          <w:p w14:paraId="3F1C58AF">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钻试期井场设有柴油储罐、废水储罐和采出液储罐等，若储罐因质量、操作运行和管理等方面存在缺陷和失误，可能会发生泄漏，对周围地下水、土壤、大气等环境造成污染。</w:t>
            </w:r>
          </w:p>
          <w:p w14:paraId="3D831395">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c.井漏事故风险</w:t>
            </w:r>
          </w:p>
          <w:p w14:paraId="68930515">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钻井施工表层套管下入深度不够或固井质量不好可能引发井漏事故。</w:t>
            </w:r>
          </w:p>
          <w:p w14:paraId="6B36DB2E">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d.采出液、废水及柴油拉运过程中的环境风险</w:t>
            </w:r>
          </w:p>
          <w:p w14:paraId="32836AC6">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试油期废水及其他采出液由罐车拉运至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吉康</w:t>
            </w:r>
            <w:r>
              <w:rPr>
                <w:rFonts w:hint="default" w:ascii="Times New Roman" w:hAnsi="Times New Roman" w:eastAsia="宋体" w:cs="Times New Roman"/>
                <w:color w:val="000000" w:themeColor="text1"/>
                <w:sz w:val="24"/>
                <w:szCs w:val="24"/>
                <w:lang w:eastAsia="zh-CN"/>
                <w14:textFill>
                  <w14:solidFill>
                    <w14:schemeClr w14:val="tx1"/>
                  </w14:solidFill>
                </w14:textFill>
              </w:rPr>
              <w:t>脱水站处理，运输过程中若因车辆本身的设计、制造、操作、管理等各环节存在缺陷，则可能发生泄漏事故的风险。事故发生时罐车内液体溢出，对周围环境造成直接污染，泄漏的油气如遇到明火还可能发生火灾、爆炸事故。</w:t>
            </w:r>
          </w:p>
          <w:p w14:paraId="150B9444">
            <w:pPr>
              <w:widowControl w:val="0"/>
              <w:snapToGrid w:val="0"/>
              <w:spacing w:line="480" w:lineRule="exact"/>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e.油基岩屑等危险废物运输过程的环境风险</w:t>
            </w:r>
          </w:p>
          <w:p w14:paraId="52CBC5BD">
            <w:pPr>
              <w:widowControl w:val="0"/>
              <w:snapToGrid w:val="0"/>
              <w:spacing w:line="480" w:lineRule="exact"/>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‌泄漏污染‌</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突发泄漏可导致土壤石油烃浓度超标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污染物通过雨水冲刷进入水体，威胁地下水安全</w:t>
            </w:r>
          </w:p>
          <w:p w14:paraId="33F6B9D2">
            <w:pPr>
              <w:widowControl w:val="0"/>
              <w:snapToGrid w:val="0"/>
              <w:spacing w:line="480" w:lineRule="exact"/>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‌大气污染</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‌挥发性有机物（如苯系物）在运输中逸散，扩散半径可达500米‌。</w:t>
            </w:r>
          </w:p>
          <w:p w14:paraId="45EEC024">
            <w:pPr>
              <w:widowControl w:val="0"/>
              <w:snapToGrid w:val="0"/>
              <w:spacing w:line="480" w:lineRule="exact"/>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‌生态链破坏‌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多环芳烃（PAHs）通过生物富集进入食物链，长期影响区域生态系统。</w:t>
            </w:r>
          </w:p>
          <w:p w14:paraId="76A3F988">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③环境风险类型</w:t>
            </w:r>
          </w:p>
          <w:p w14:paraId="0BA8BAD0">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环境风险类型主要为泄漏、火灾、爆炸等引发的伴生/次生污染物排放。</w:t>
            </w:r>
          </w:p>
          <w:p w14:paraId="63138052">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④危险物质向环境转移的可能途径和影响方式</w:t>
            </w:r>
          </w:p>
          <w:p w14:paraId="7E2EC3EB">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柴油储罐、采出液储罐、废水储罐、废润滑油桶等发生破损造成柴油/采出液/废水/废润滑油泄漏以及井喷事故造成采出液泄漏，柴油/采出液/废水/废润滑油泄漏后污染土壤，污染物有可能通过包气带渗漏进入地下含水层，污染地下水；泄漏的柴油/采出液/废润滑油若遇明火，发生火灾、爆炸，污染大气环境。</w:t>
            </w:r>
          </w:p>
          <w:p w14:paraId="631F116B">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7.4环境风险分析</w:t>
            </w:r>
          </w:p>
          <w:p w14:paraId="39EC2A3C">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①井喷事故环境影响分析</w:t>
            </w:r>
          </w:p>
          <w:p w14:paraId="62AAA8DC">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a.</w:t>
            </w:r>
            <w:r>
              <w:rPr>
                <w:rFonts w:hint="default" w:ascii="Times New Roman" w:hAnsi="Times New Roman" w:eastAsia="宋体" w:cs="Times New Roman"/>
                <w:bCs/>
                <w:color w:val="000000" w:themeColor="text1"/>
                <w:sz w:val="24"/>
                <w:szCs w:val="24"/>
                <w:lang w:eastAsia="zh-CN"/>
                <w14:textFill>
                  <w14:solidFill>
                    <w14:schemeClr w14:val="tx1"/>
                  </w14:solidFill>
                </w14:textFill>
              </w:rPr>
              <w:t>针对项目可能发生的井喷失控极端事故，本次评价基于原油理化性质及区域土壤特征，对原油泄漏后的土壤污染扩散路径及范围进行半定量模拟预测与分析：</w:t>
            </w:r>
          </w:p>
          <w:p w14:paraId="7C5420A6">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 水平扩散范围模拟分析：井喷发生时，原油随高压地层流体喷出井口并呈雾状散落。结合高压喷射动力学特征及当地平均风速风向，散落的原油主要沿下风向呈椭圆形或扇形沉降区。经类比同类油田井喷事故散落规律及估算，原油散落的水平扩散范围主要集中在井口周边 ≤300m 的区域内。超出此范围后，原油颗粒因重力沉降及浓度衰减，无法形成地表连片污染。</w:t>
            </w:r>
          </w:p>
          <w:p w14:paraId="5823DE24">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垂直渗透深度模拟分析：原油属于高粘度液体，散落至地表后，由于地表土壤的毛细管阻滞作用，以及原油暴露在空气中轻组分挥发导致粘度迅速增加的特性，其在土壤基质中的下渗速率极为缓慢。假定应急队伍在事故发生后24小时内完成初步封堵与地表大面积油污回收，根据经验公式及土壤渗透系数综合估算，原油在表层土壤中的垂直渗透深度将被严格限制在 ≤1m 的范围内。深层土壤及地下水（埋深50~150m）不会受到实质性污染。</w:t>
            </w:r>
          </w:p>
          <w:p w14:paraId="6E98A1EE">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应急处置临界阈值与修复启动机制：事故抢险与地表浮油回收结束后，建设单位须立即对受影响的 ≤300m 范围内的土壤开展网格化采样监测。为确保生态环境安全，本项目明确设定土壤应急处置与修复的临界阈值：当任意监测点位的土壤石油烃（C10-C40）含量 ≥1000 mg/kg 时，必须立即启动土壤修复程序。 对于超标区域，须采取“机械剥离+异地处置”的修复方案，将受污染的表层土壤（深度0~1m）全部剥离，暂存于防渗防雨的危废暂存间或专用吨袋中，随后交由具备危险废物（HW08类）处理资质的第三方单位进行无害化集中处置（如热脱附等）；清理完毕经复测达标后，回填洁净客土并重新进行植被恢复。</w:t>
            </w:r>
          </w:p>
          <w:p w14:paraId="70892CE8">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b.对大气环境影响分析</w:t>
            </w:r>
          </w:p>
          <w:p w14:paraId="598CAD73">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发生井喷失控事故后，伴生气、伴生气中硫化氢和原油挥发产生的非甲烷总烃进入环境空气，可能会对周围环境空气产生影响。若遇明火可能发生火灾、爆炸，随之产生的伴生、次生污染物会对环境空气产生一定的影响，</w:t>
            </w:r>
            <w:r>
              <w:rPr>
                <w:rFonts w:hint="default" w:ascii="Times New Roman" w:hAnsi="Times New Roman" w:eastAsia="宋体" w:cs="Times New Roman"/>
                <w:color w:val="000000" w:themeColor="text1"/>
                <w:sz w:val="24"/>
                <w:szCs w:val="24"/>
                <w:lang w:eastAsia="zh-CN"/>
                <w14:textFill>
                  <w14:solidFill>
                    <w14:schemeClr w14:val="tx1"/>
                  </w14:solidFill>
                </w14:textFill>
              </w:rPr>
              <w:t>并对环境和施工人员产生一定危害，主要危害包括：遇明火可能发生火灾或爆炸事故，造成人员伤亡；烃类气体以及火灾或爆炸事故次生污染物CO对人体的毒性危害，对周围的大气环境及施工人员造成影响。伴生气中的甲烷和硫化氢进入大气后，可能会造成中毒事件。</w:t>
            </w:r>
          </w:p>
          <w:p w14:paraId="04E707A5">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由于地域空旷，扩散条件较好，发生事故后，及时采取相应的措施，不会对周围环境空气产生明显影响。</w:t>
            </w:r>
          </w:p>
          <w:p w14:paraId="2E1D09E0">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c.对地下水环境影响分析</w:t>
            </w:r>
          </w:p>
          <w:p w14:paraId="2B10B469">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根据类比调查，从事故井区土壤剖面分析，井喷失控事故后石油类污染物主要被拦截在包气带土壤剖面1m以内，同时因为气候干旱少雨，不存在大量降水的淋滤作用，因此对地下水体的影响概率不大。及时清理井喷事故中落地原油，对可回收原油进行回收，落地油收集后交由具有相应危废处置资质的单位进行回收处置，及时采取上述有效措施治理污染后，井喷不会造成地下水污染。</w:t>
            </w:r>
          </w:p>
          <w:p w14:paraId="3AE5F869">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d.对土壤环境影响分析</w:t>
            </w:r>
          </w:p>
          <w:p w14:paraId="2377ACF0">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井喷失控事故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可回收采出液进行回收，不能回收的原油和受污染的土壤形成落地油，落地油集中收集后由有相应危废处置资质的单位进行回收处置，将井喷事故对周边植被的影响降至最低。</w:t>
            </w:r>
          </w:p>
          <w:p w14:paraId="41323008">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e.对植被影响分析</w:t>
            </w:r>
          </w:p>
          <w:p w14:paraId="3D696944">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井喷事故发生后，喷出的油类物质可能对周围自然植被产生一定的影响，井场周围半径200m范围内自然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减弱，甚至使这一区域变为裸地。由于这一影响使土壤结构受石油类污染而发生变化，因此，被污染区域的植被不易恢复。若井喷时发生火灾，结果将使燃烧范围内的植被全部死亡。必须采取严格有效的风险防范措施，防止、降低井喷事故风险发生。事故发生后应及时清理现场，及时清理沾染油污的植被，对落地油进行回收，受污染的土壤集中收集后由有相应危废处置资质的单位进行回收处置，将井喷事故对周边植被的影响降至最低。</w:t>
            </w:r>
          </w:p>
          <w:p w14:paraId="2A4CEE1E">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f. 对农田耕地及草地的次生事故影响分析 </w:t>
            </w:r>
          </w:p>
          <w:p w14:paraId="2FF95D86">
            <w:pPr>
              <w:widowControl w:val="0"/>
              <w:kinsoku/>
              <w:spacing w:line="480" w:lineRule="exact"/>
              <w:ind w:firstLine="480" w:firstLineChars="200"/>
              <w:jc w:val="both"/>
              <w:rPr>
                <w:rFonts w:hint="default"/>
                <w:color w:val="000000" w:themeColor="text1"/>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井喷事故的直接影响：井喷发生时，大量原油及伴生气喷出并散落。若飘落在周边农田或草地，原油中的重组分会覆盖土壤表层，导致土壤透气性及水分渗透性迅速下降，破坏土壤结构 。原油中的有害物质会被作物根系吸收，产生毒害作用，导致农作物减产甚至大面积枯死 。火灾次生事故影响： 若井喷引发火灾，强烈的热辐射会直接烧毁火源周边的农作物及荒漠草地植被 。火灾产生的大量烟尘（含颗粒物、CO、多环芳烃等）随风飘散，其沉降物会污染叶片，阻断植物光合作用，对受影响区域的农业生产造成短时严重干扰 。</w:t>
            </w:r>
          </w:p>
          <w:p w14:paraId="0FF81EB0">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②储罐泄漏环境影响分析</w:t>
            </w:r>
          </w:p>
          <w:p w14:paraId="3CBDF644">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a.对大气环境影响分析</w:t>
            </w:r>
          </w:p>
          <w:p w14:paraId="5E9D6E9C">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储罐发生泄漏后，伴生气、伴生气中硫化氢和原油挥发产生的非甲烷总烃进入环境空气可能会对周围环境空气产生影响。若遇明火，可发生火灾、爆炸，且火灾、爆炸产生的伴生、次生污染物也会对环境空气产生一定影响。由于泄漏量少，加上项目区地域空旷、扩散条件较好，发生事故后若能及时采取相应措施，则不会对周围环境空气产生明显影响。</w:t>
            </w:r>
          </w:p>
          <w:p w14:paraId="58A943B1">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b.对土壤环境影响分析</w:t>
            </w:r>
          </w:p>
          <w:p w14:paraId="7096C227">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62A33EBD">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期间柴油储罐、采出液储罐、废水储罐、岩屑储罐等储罐区域均铺设防渗膜，储罐发生泄漏后应及时回收原油、收集受污染的土壤，然后委托有相应危废处置资质的单位进行回收处置。因此，在采取上述措施后不会对周围土壤环境产生明显影响。</w:t>
            </w:r>
          </w:p>
          <w:p w14:paraId="2BAABA25">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c.对植被的影响</w:t>
            </w:r>
          </w:p>
          <w:p w14:paraId="4FB3DCFB">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42316439">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d.对地下水环境的影响</w:t>
            </w:r>
          </w:p>
          <w:p w14:paraId="7BDEACC7">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柴油储罐、采出液储罐和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289758D6">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③井漏环境影响分析</w:t>
            </w:r>
          </w:p>
          <w:p w14:paraId="5137DE09">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井漏事故对地下水的污染途径主要是钻井液漏失于地下水含水层中，造成地下含水层水质污染。钻井液漏失于地下含水层其径流型污染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14:paraId="674DE65E">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④采出液、废水及柴油拉运过程中泄漏风险分析</w:t>
            </w:r>
          </w:p>
          <w:p w14:paraId="328BA1F4">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罐车拉运过程中的风险主要为罐车上的储罐发生泄漏、火灾、爆炸等事故对周围环境的影响，其影响与储罐泄漏影响相同，具体影响见储罐泄漏影响分析。</w:t>
            </w:r>
          </w:p>
          <w:p w14:paraId="56454056">
            <w:pPr>
              <w:widowControl w:val="0"/>
              <w:kinsoku/>
              <w:spacing w:line="48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⑤</w:t>
            </w:r>
            <w:r>
              <w:rPr>
                <w:rFonts w:hint="eastAsia" w:ascii="Times New Roman" w:hAnsi="Times New Roman" w:eastAsia="宋体" w:cs="Times New Roman"/>
                <w:color w:val="000000" w:themeColor="text1"/>
                <w:sz w:val="24"/>
                <w:szCs w:val="24"/>
                <w:lang w:eastAsia="zh-CN"/>
                <w14:textFill>
                  <w14:solidFill>
                    <w14:schemeClr w14:val="tx1"/>
                  </w14:solidFill>
                </w14:textFill>
              </w:rPr>
              <w:t>危废暂存期间的渗漏风险预测分析</w:t>
            </w:r>
          </w:p>
          <w:p w14:paraId="36399E26">
            <w:pPr>
              <w:widowControl w:val="0"/>
              <w:kinsoku/>
              <w:spacing w:line="48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油基岩屑采用不落地全密闭方罐收集且日产日清，切断了在井场长期滞留的渗漏途径。井场设置的危险废物临时贮存间主要用于集中暂存废机油、废润滑油及含油废防渗材料等其他危险废物。该贮存间地面已严格落实重点防渗措施（采用2mm厚HDPE防渗膜）。结合防渗材料物理特性测算，即使在防渗层出现老化微小破损的极端不利工况下，预测危废在暂存期间的渗漏风险极低，潜在最大渗漏量 ≤0.01m³/a。该微小渗漏量完全在土壤环境自净能力范围内，不会对深层地下水造成污染，环境风险完全可控。</w:t>
            </w:r>
          </w:p>
          <w:p w14:paraId="01F2B189">
            <w:pPr>
              <w:pStyle w:val="2"/>
              <w:widowControl w:val="0"/>
              <w:ind w:left="0" w:leftChars="0" w:firstLine="0" w:firstLineChars="0"/>
              <w:jc w:val="both"/>
              <w:rPr>
                <w:rFonts w:hint="default"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7.5</w:t>
            </w:r>
            <w:r>
              <w:rPr>
                <w:rFonts w:hint="default"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 xml:space="preserve">突发环境事件（泄漏、井喷）应急监测方案 </w:t>
            </w:r>
          </w:p>
          <w:p w14:paraId="68B30390">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针对试油及施工作业期间可能发生的井喷、原油大量泄漏等突发环境风险事故，建设单位及应急救援指挥部必须立即启动应急监测响应机制。具体方案如下：①应急监测点位布设：以事故发生地（井口或储罐泄漏点）为事故中心，在事故中心及周边 500m 范围内的下风向、地下水下游及敏感目标处迅速布设空气、土壤及地下水应急监测点位。②应急监测因子：重点监测事故特征污染物，包括 石油烃（含空气中的非甲烷总烃）、H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S、pH。 ③应急监测频次：事故抢险及应急响应期间，必须开展高频次跟踪监测，监测频次要求达到每2小时1次，直至污染源得到有效控制、环境质量连续稳定达到本底水平后方可降频或终止。④数据报送要求：应急监测数据应作为指挥救援的重要依据。事故发生后及首批监测数据出具后，必须在24小时内按规定程序向当地生态环境部门及相关应急管理部门报送监测结果及污染态势评估报告。</w:t>
            </w:r>
            <w:r>
              <w:rPr>
                <w:rFonts w:hint="eastAsia" w:ascii="微软雅黑" w:hAnsi="微软雅黑" w:eastAsia="微软雅黑" w:cs="微软雅黑"/>
                <w:color w:val="000000" w:themeColor="text1"/>
                <w:sz w:val="24"/>
                <w:szCs w:val="24"/>
                <w:lang w:eastAsia="zh-CN"/>
                <w14:textFill>
                  <w14:solidFill>
                    <w14:schemeClr w14:val="tx1"/>
                  </w14:solidFill>
                </w14:textFill>
              </w:rPr>
              <w:t>⑤</w:t>
            </w:r>
            <w:r>
              <w:rPr>
                <w:rFonts w:hint="eastAsia" w:ascii="Times New Roman" w:hAnsi="Times New Roman" w:eastAsia="宋体" w:cs="Times New Roman"/>
                <w:color w:val="000000" w:themeColor="text1"/>
                <w:sz w:val="24"/>
                <w:szCs w:val="24"/>
                <w:lang w:eastAsia="zh-CN"/>
                <w14:textFill>
                  <w14:solidFill>
                    <w14:schemeClr w14:val="tx1"/>
                  </w14:solidFill>
                </w14:textFill>
              </w:rPr>
              <w:t>应急物资储备清单及量化要求： 针对项目试油期可能面临的泄漏与伴生气逸散风险，井场必须在专门区域配备充足、有效的大宗及专用环境应急物资。经核算与论证，关键应急物资储备量必须满足以下最低配置要求：防泄漏围栏（围油栏）≥50m、吸油毡（含吸油棉等）≥100kg、便携式硫化氢（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S）气体监测仪≥2台。此外，还需常备足量的防毒面具、正压式空气呼吸器、消防器材、应急照明设备、木楔/堵漏带及专用收集容器等，所有物资实行专人管理、定期点检验配。</w:t>
            </w:r>
          </w:p>
          <w:p w14:paraId="31D0E682">
            <w:pPr>
              <w:widowControl w:val="0"/>
              <w:kinsoku/>
              <w:spacing w:line="480" w:lineRule="exact"/>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环境风险评价结论</w:t>
            </w:r>
          </w:p>
          <w:p w14:paraId="3627CD0A">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本项目设计中严格执行各种安全标准、规范，采取完善的安全措施，可有效地防止火灾、爆炸、泄漏、井喷等事故的发生。本项目的环境风险在可接受范围之内。</w:t>
            </w:r>
          </w:p>
          <w:p w14:paraId="2FF1BADF">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8.其它产出物影响分析</w:t>
            </w:r>
          </w:p>
          <w:p w14:paraId="679AC65D">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罐，拉运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吉康</w:t>
            </w:r>
            <w:r>
              <w:rPr>
                <w:rFonts w:hint="default" w:ascii="Times New Roman" w:hAnsi="Times New Roman" w:eastAsia="宋体" w:cs="Times New Roman"/>
                <w:color w:val="000000" w:themeColor="text1"/>
                <w:sz w:val="24"/>
                <w:szCs w:val="24"/>
                <w:lang w:eastAsia="zh-CN"/>
                <w14:textFill>
                  <w14:solidFill>
                    <w14:schemeClr w14:val="tx1"/>
                  </w14:solidFill>
                </w14:textFill>
              </w:rPr>
              <w:t>脱水站原油处理系统处理。</w:t>
            </w:r>
          </w:p>
          <w:p w14:paraId="37B8D752">
            <w:pPr>
              <w:widowControl w:val="0"/>
              <w:numPr>
                <w:ilvl w:val="0"/>
                <w:numId w:val="11"/>
              </w:numPr>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封井期环境影响分析及其治理措施</w:t>
            </w:r>
          </w:p>
          <w:p w14:paraId="505D5F70">
            <w:pPr>
              <w:pStyle w:val="22"/>
              <w:widowControl w:val="0"/>
              <w:kinsoku/>
              <w:spacing w:line="360" w:lineRule="auto"/>
              <w:ind w:left="113" w:right="108" w:firstLine="482"/>
              <w:jc w:val="both"/>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本项目单井钻井期90天；试油期为300天，测试完井后及时封井。</w:t>
            </w:r>
          </w:p>
          <w:p w14:paraId="58E4D3A8">
            <w:pPr>
              <w:pStyle w:val="22"/>
              <w:widowControl w:val="0"/>
              <w:kinsoku/>
              <w:spacing w:line="360" w:lineRule="auto"/>
              <w:ind w:left="113" w:right="108" w:firstLine="482"/>
              <w:jc w:val="both"/>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）临时封井措施 对具有开采价值的井口采取临时封井，保留采油树，相关法兰管口全部密封。井口区域下挖约长1m×宽1m×高1.2m的采油树池，四壁及底部进行砖混加固，树池四周地表建设围挡并张贴相关标识；封井后除井口相关设施占地区域外，其余临时占地全部进行覆土回填及植被恢复。封井后移交公司统一管理，并安排专职人员对勘探井进行定期巡视。</w:t>
            </w:r>
          </w:p>
          <w:p w14:paraId="449A698F">
            <w:pPr>
              <w:pStyle w:val="22"/>
              <w:widowControl w:val="0"/>
              <w:kinsoku/>
              <w:spacing w:line="360" w:lineRule="auto"/>
              <w:ind w:left="113" w:right="108" w:firstLine="482"/>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）永久封井措施 对不具备开采价值的井口进行永久封井，严格按照《吐哈油田报废井封井实施细则（试行）》执行。鉴于项目周边涉及农田，须按照敏感级报废油水井标准进行封井处理，具体措施如下： ① 挤封已射孔井段：对射孔井段进行挤封，挤封后余留水泥塞面不得低于射孔井段顶界50m； ② 打水泥塞（表套管脚）：在表层套管管脚位置注水泥塞进行封堵，水泥塞厚度为100m； ③ 打水泥塞（井口段）：在井口段附近（井深6m-15m）以下，注不小于50m厚的水泥塞进行封堵； ④ 封堵套管环空：卸去套管法兰处放压堵头，注入水泥浆封堵套管环空； ⑤ 封堵井口及地面建设：用水泥封堵井口，并在地面打混凝土墩，尺寸宜为长1m×宽1m×高0.8m；混凝土墩上表面标注井号（字体深度大于15mm，长宽60mm×40mm）。 永久封井作业完成后，对井场进行覆土及植被恢复。</w:t>
            </w:r>
          </w:p>
          <w:p w14:paraId="4C26D140">
            <w:pPr>
              <w:pStyle w:val="22"/>
              <w:widowControl w:val="0"/>
              <w:kinsoku/>
              <w:spacing w:line="360" w:lineRule="auto"/>
              <w:ind w:left="113" w:right="108" w:firstLine="482"/>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封井后，其余设施将拆除、搬迁。钻井液材料将全部进行回</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收。当气井</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勘探接近尾声时，各种机械设备将停止使用，进驻其中的工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作人员将陆续撤</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离井场区域，由此带来的大气污染物、生产废水、生活污水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、噪声及固体废</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物等对环境的影响将会消失。</w:t>
            </w:r>
          </w:p>
          <w:p w14:paraId="08365780">
            <w:pPr>
              <w:pStyle w:val="22"/>
              <w:widowControl w:val="0"/>
              <w:kinsoku/>
              <w:spacing w:line="360" w:lineRule="auto"/>
              <w:ind w:left="108" w:right="45" w:firstLine="482"/>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封井期井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场进行一</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系列清理工作，包括地面设施拆除、水泥灌注封</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井、井场清理等。在这期间，</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将会产生少量扬尘和固体废物，本项目办公用房、材料房区、录井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房主要为</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集装箱房，各类罐区、泥浆岩屑不落地处理区均为成套设施，根据建设单位提供的资料，本项目建筑垃圾产生量最大为200m</w:t>
            </w:r>
            <w:r>
              <w:rPr>
                <w:rFonts w:hint="default" w:ascii="Times New Roman" w:hAnsi="Times New Roman" w:eastAsia="宋体" w:cs="Times New Roman"/>
                <w:color w:val="000000" w:themeColor="text1"/>
                <w:spacing w:val="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w:t>
            </w:r>
          </w:p>
          <w:p w14:paraId="27C77569">
            <w:pPr>
              <w:widowControl w:val="0"/>
              <w:kinsoku/>
              <w:spacing w:line="360" w:lineRule="auto"/>
              <w:ind w:firstLine="484" w:firstLineChars="20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在这期间，将会产生少量扬尘和固体废物。在封井施工操作</w:t>
            </w:r>
            <w:r>
              <w:rPr>
                <w:rFonts w:hint="default" w:ascii="Times New Roman" w:hAnsi="Times New Roman" w:eastAsia="宋体" w:cs="Times New Roman"/>
                <w:color w:val="000000" w:themeColor="text1"/>
                <w:sz w:val="24"/>
                <w:szCs w:val="24"/>
                <w:lang w:eastAsia="zh-CN"/>
                <w14:textFill>
                  <w14:solidFill>
                    <w14:schemeClr w14:val="tx1"/>
                  </w14:solidFill>
                </w14:textFill>
              </w:rPr>
              <w:t>中应注意采</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取降尘措施，文明施工，防止散装物料的洒落与飘散，同时</w:t>
            </w:r>
            <w:r>
              <w:rPr>
                <w:rFonts w:hint="default" w:ascii="Times New Roman" w:hAnsi="Times New Roman" w:eastAsia="宋体" w:cs="Times New Roman"/>
                <w:color w:val="000000" w:themeColor="text1"/>
                <w:sz w:val="24"/>
                <w:szCs w:val="24"/>
                <w:lang w:eastAsia="zh-CN"/>
                <w14:textFill>
                  <w14:solidFill>
                    <w14:schemeClr w14:val="tx1"/>
                  </w14:solidFill>
                </w14:textFill>
              </w:rPr>
              <w:t>在清理井场时控</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制扬尘的产生，尽可能降低对周边大气环境的影响。另外，</w:t>
            </w:r>
            <w:r>
              <w:rPr>
                <w:rFonts w:hint="default" w:ascii="Times New Roman" w:hAnsi="Times New Roman" w:eastAsia="宋体" w:cs="Times New Roman"/>
                <w:color w:val="000000" w:themeColor="text1"/>
                <w:sz w:val="24"/>
                <w:szCs w:val="24"/>
                <w:lang w:eastAsia="zh-CN"/>
                <w14:textFill>
                  <w14:solidFill>
                    <w14:schemeClr w14:val="tx1"/>
                  </w14:solidFill>
                </w14:textFill>
              </w:rPr>
              <w:t>井场清理等工作</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还会产生部分废弃管线、废弃建筑残渣等固体废物，对这些</w:t>
            </w:r>
            <w:r>
              <w:rPr>
                <w:rFonts w:hint="default" w:ascii="Times New Roman" w:hAnsi="Times New Roman" w:eastAsia="宋体" w:cs="Times New Roman"/>
                <w:color w:val="000000" w:themeColor="text1"/>
                <w:sz w:val="24"/>
                <w:szCs w:val="24"/>
                <w:lang w:eastAsia="zh-CN"/>
                <w14:textFill>
                  <w14:solidFill>
                    <w14:schemeClr w14:val="tx1"/>
                  </w14:solidFill>
                </w14:textFill>
              </w:rPr>
              <w:t>废弃管线、残渣</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等进行集中清理收集，管线外运经清洗后可回收再利用，废</w:t>
            </w:r>
            <w:r>
              <w:rPr>
                <w:rFonts w:hint="default" w:ascii="Times New Roman" w:hAnsi="Times New Roman" w:eastAsia="宋体" w:cs="Times New Roman"/>
                <w:color w:val="000000" w:themeColor="text1"/>
                <w:sz w:val="24"/>
                <w:szCs w:val="24"/>
                <w:lang w:eastAsia="zh-CN"/>
                <w14:textFill>
                  <w14:solidFill>
                    <w14:schemeClr w14:val="tx1"/>
                  </w14:solidFill>
                </w14:textFill>
              </w:rPr>
              <w:t>弃建筑残渣外运</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至指定处理场填埋处理。固体废物的妥善处理，可以有效控</w:t>
            </w:r>
            <w:r>
              <w:rPr>
                <w:rFonts w:hint="default" w:ascii="Times New Roman" w:hAnsi="Times New Roman" w:eastAsia="宋体" w:cs="Times New Roman"/>
                <w:color w:val="000000" w:themeColor="text1"/>
                <w:sz w:val="24"/>
                <w:szCs w:val="24"/>
                <w:lang w:eastAsia="zh-CN"/>
                <w14:textFill>
                  <w14:solidFill>
                    <w14:schemeClr w14:val="tx1"/>
                  </w14:solidFill>
                </w14:textFill>
              </w:rPr>
              <w:t>制对区域环境的</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影响。</w:t>
            </w:r>
          </w:p>
        </w:tc>
      </w:tr>
      <w:tr w14:paraId="0C68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77787834">
            <w:pPr>
              <w:pStyle w:val="22"/>
              <w:widowControl w:val="0"/>
              <w:kinsoku/>
              <w:spacing w:before="65" w:line="228"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3"/>
                <w:sz w:val="24"/>
                <w:szCs w:val="24"/>
                <w:lang w:eastAsia="zh-CN"/>
                <w14:textFill>
                  <w14:solidFill>
                    <w14:schemeClr w14:val="tx1"/>
                  </w14:solidFill>
                </w14:textFill>
              </w:rPr>
              <w:t>运营期</w:t>
            </w:r>
          </w:p>
          <w:p w14:paraId="63A85800">
            <w:pPr>
              <w:pStyle w:val="22"/>
              <w:widowControl w:val="0"/>
              <w:kinsoku/>
              <w:spacing w:before="23" w:line="230"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2"/>
                <w:sz w:val="24"/>
                <w:szCs w:val="24"/>
                <w:lang w:eastAsia="zh-CN"/>
                <w14:textFill>
                  <w14:solidFill>
                    <w14:schemeClr w14:val="tx1"/>
                  </w14:solidFill>
                </w14:textFill>
              </w:rPr>
              <w:t>生态环</w:t>
            </w:r>
            <w:r>
              <w:rPr>
                <w:rFonts w:hint="default" w:ascii="Times New Roman" w:hAnsi="Times New Roman" w:eastAsia="宋体" w:cs="Times New Roman"/>
                <w:color w:val="000000" w:themeColor="text1"/>
                <w:spacing w:val="13"/>
                <w:sz w:val="24"/>
                <w:szCs w:val="24"/>
                <w:lang w:eastAsia="zh-CN"/>
                <w14:textFill>
                  <w14:solidFill>
                    <w14:schemeClr w14:val="tx1"/>
                  </w14:solidFill>
                </w14:textFill>
              </w:rPr>
              <w:t>境影响</w:t>
            </w:r>
            <w:r>
              <w:rPr>
                <w:rFonts w:hint="default" w:ascii="Times New Roman" w:hAnsi="Times New Roman" w:eastAsia="宋体" w:cs="Times New Roman"/>
                <w:color w:val="000000" w:themeColor="text1"/>
                <w:spacing w:val="9"/>
                <w:sz w:val="24"/>
                <w:szCs w:val="24"/>
                <w:lang w:eastAsia="zh-CN"/>
                <w14:textFill>
                  <w14:solidFill>
                    <w14:schemeClr w14:val="tx1"/>
                  </w14:solidFill>
                </w14:textFill>
              </w:rPr>
              <w:t>分析</w:t>
            </w:r>
          </w:p>
        </w:tc>
        <w:tc>
          <w:tcPr>
            <w:tcW w:w="8290" w:type="dxa"/>
            <w:vAlign w:val="center"/>
          </w:tcPr>
          <w:p w14:paraId="4C44F49B">
            <w:pPr>
              <w:pStyle w:val="22"/>
              <w:widowControl w:val="0"/>
              <w:kinsoku/>
              <w:spacing w:before="78" w:line="360" w:lineRule="auto"/>
              <w:ind w:firstLine="476"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本项目无营运期，试油结束后视试油结果决定是否转为生产井，若可转为生产井，则应当在产能开发建设前开展其环境影响评价工作。如发现该井不具开发价值或目的层不含油，则进行封井，拆除井口装置，截去地下1m内管头，最后清理场地，清除各种固体废弃物，恢复至相对自然的地貌。封井后，人员撤离，区域内没有了人为的扰动，井场范围内的自然植被会逐渐得以恢复，有助于区域生态环境的改善。</w:t>
            </w:r>
          </w:p>
        </w:tc>
      </w:tr>
      <w:tr w14:paraId="7759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28D1F6F4">
            <w:pPr>
              <w:pStyle w:val="22"/>
              <w:widowControl w:val="0"/>
              <w:kinsoku/>
              <w:spacing w:before="65" w:line="228"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3"/>
                <w:sz w:val="24"/>
                <w:szCs w:val="24"/>
                <w:lang w:eastAsia="zh-CN"/>
                <w14:textFill>
                  <w14:solidFill>
                    <w14:schemeClr w14:val="tx1"/>
                  </w14:solidFill>
                </w14:textFill>
              </w:rPr>
              <w:t>选址选线环境合理性分析</w:t>
            </w:r>
          </w:p>
        </w:tc>
        <w:tc>
          <w:tcPr>
            <w:tcW w:w="8290" w:type="dxa"/>
          </w:tcPr>
          <w:p w14:paraId="19FBAAE3">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现场踏勘及井场平面布置，本项目2口探井钻试工程项目井场选址位于准噶尔盆地吉南油田萨探1块，井口距离75m范围内无高压线及其它永久性设施，100m范围内无民宅，200m范围内无铁路、高速公路，500m范围内无学校、医院和大型油库等人口密集型、高危性场所。项目选址符合《钻前工程及井场布置技术要求》（SY/T5466-2013）中的相关规定。</w:t>
            </w:r>
          </w:p>
          <w:p w14:paraId="66D77B70">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各井井场周边未发现永久性建（构）筑物，周边无地表水体、集中饮用水源、文物保护单位等环境敏感目标。各井场东、西、南三侧均设有简易公路通达，交通便利。井场选址均与最近道路保持合理安全距离，并位于空旷区域，有利于事故状态下的应急疏散与扩散。</w:t>
            </w:r>
          </w:p>
          <w:p w14:paraId="73A761A2">
            <w:pPr>
              <w:pStyle w:val="22"/>
              <w:widowControl w:val="0"/>
              <w:kinsoku/>
              <w:spacing w:line="353"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周边无其他自然保护区、风景名胜区、饮用水水源保护区、基本草原、沙化土地封禁保护区等，且无以居住、医疗卫生、文化教育、科研、行政办公等为主要功能的区域及文物保护单位，不存在环境制约因素。项目占地已尽量减少占用植被地带，且所在区域人类活动频繁，区域内野生动物数量较少，环境影响程度低，钻试工程结束后，临时占地均可得到释放和恢复，建设期间产生的废气、废水和噪声消失。</w:t>
            </w:r>
            <w:r>
              <w:rPr>
                <w:rFonts w:hint="default" w:ascii="Times New Roman" w:hAnsi="Times New Roman" w:eastAsia="宋体" w:cs="Times New Roman"/>
                <w:color w:val="000000" w:themeColor="text1"/>
                <w:sz w:val="24"/>
                <w:szCs w:val="24"/>
                <w14:textFill>
                  <w14:solidFill>
                    <w14:schemeClr w14:val="tx1"/>
                  </w14:solidFill>
                </w14:textFill>
              </w:rPr>
              <w:t>综上所述，项目选址合理。</w:t>
            </w:r>
          </w:p>
        </w:tc>
      </w:tr>
    </w:tbl>
    <w:p w14:paraId="3F402970">
      <w:pPr>
        <w:kinsoku/>
        <w:spacing w:line="219" w:lineRule="auto"/>
        <w:rPr>
          <w:rFonts w:ascii="Times New Roman" w:hAnsi="Times New Roman" w:eastAsia="宋体" w:cs="Times New Roman"/>
          <w:color w:val="000000" w:themeColor="text1"/>
          <w:sz w:val="24"/>
          <w:szCs w:val="24"/>
          <w14:textFill>
            <w14:solidFill>
              <w14:schemeClr w14:val="tx1"/>
            </w14:solidFill>
          </w14:textFill>
        </w:rPr>
        <w:sectPr>
          <w:footerReference r:id="rId5" w:type="default"/>
          <w:pgSz w:w="11906" w:h="16840"/>
          <w:pgMar w:top="1440" w:right="1803" w:bottom="1440" w:left="1803" w:header="850" w:footer="992" w:gutter="0"/>
          <w:pgNumType w:start="1"/>
          <w:cols w:space="720" w:num="1"/>
        </w:sectPr>
      </w:pPr>
    </w:p>
    <w:p w14:paraId="1B8286C8">
      <w:pPr>
        <w:pStyle w:val="4"/>
        <w:kinsoku/>
        <w:rPr>
          <w:rFonts w:ascii="Times New Roman" w:hAnsi="Times New Roman" w:cs="Times New Roman" w:eastAsiaTheme="minorEastAsia"/>
          <w:color w:val="000000" w:themeColor="text1"/>
          <w:sz w:val="30"/>
          <w:szCs w:val="30"/>
          <w:lang w:eastAsia="zh-CN"/>
          <w14:textFill>
            <w14:solidFill>
              <w14:schemeClr w14:val="tx1"/>
            </w14:solidFill>
          </w14:textFill>
        </w:rPr>
      </w:pPr>
      <w:bookmarkStart w:id="21" w:name="_Hlk136794953"/>
      <w:r>
        <w:rPr>
          <w:rFonts w:ascii="Times New Roman" w:hAnsi="Times New Roman" w:cs="Times New Roman" w:eastAsiaTheme="minorEastAsia"/>
          <w:color w:val="000000" w:themeColor="text1"/>
          <w:sz w:val="30"/>
          <w:szCs w:val="30"/>
          <w:lang w:eastAsia="zh-CN"/>
          <w14:textFill>
            <w14:solidFill>
              <w14:schemeClr w14:val="tx1"/>
            </w14:solidFill>
          </w14:textFill>
        </w:rPr>
        <w:t>五、主要生态环境保护措施</w:t>
      </w:r>
    </w:p>
    <w:bookmarkEnd w:id="21"/>
    <w:tbl>
      <w:tblPr>
        <w:tblStyle w:val="17"/>
        <w:tblW w:w="52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402"/>
      </w:tblGrid>
      <w:tr w14:paraId="65A4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79795901">
            <w:pPr>
              <w:widowControl w:val="0"/>
              <w:kinsoku/>
              <w:spacing w:line="360"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施工期生态环境保护措施</w:t>
            </w:r>
          </w:p>
        </w:tc>
        <w:tc>
          <w:tcPr>
            <w:tcW w:w="4728" w:type="pct"/>
          </w:tcPr>
          <w:p w14:paraId="3F587DF7">
            <w:pPr>
              <w:pStyle w:val="26"/>
              <w:widowControl w:val="0"/>
              <w:numPr>
                <w:ilvl w:val="0"/>
                <w:numId w:val="12"/>
              </w:numPr>
              <w:kinsoku/>
              <w:ind w:firstLine="0" w:firstLineChars="0"/>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生态环境保护措施</w:t>
            </w:r>
          </w:p>
          <w:p w14:paraId="40E53749">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22" w:name="_Hlk189400813"/>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及施工单位应严格执行本次评价提出的生态环境保护措施，并确保各项保护措施与钻试工程同时设计、同时施工、同时使用。项目占地合理规划，尽量避让植被较多的区域；严格控制施工作业带宽度，减少临时占地面积；在工程施工过程中和施工结束后，及时对施工场地进行平整，以便后期自然恢复；工程结束后，做好施工场地的恢复工作。</w:t>
            </w:r>
          </w:p>
          <w:p w14:paraId="3486BB18">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bookmarkStart w:id="23" w:name="_Hlk140837423"/>
            <w:r>
              <w:rPr>
                <w:rFonts w:hint="default" w:ascii="Times New Roman" w:hAnsi="Times New Roman" w:eastAsia="宋体" w:cs="Times New Roman"/>
                <w:b/>
                <w:bCs/>
                <w:color w:val="000000" w:themeColor="text1"/>
                <w:sz w:val="24"/>
                <w:szCs w:val="24"/>
                <w:lang w:eastAsia="zh-CN"/>
                <w14:textFill>
                  <w14:solidFill>
                    <w14:schemeClr w14:val="tx1"/>
                  </w14:solidFill>
                </w14:textFill>
              </w:rPr>
              <w:t>1.1林地植被保护措施</w:t>
            </w:r>
          </w:p>
          <w:p w14:paraId="2FC45DD0">
            <w:pPr>
              <w:widowControl/>
              <w:kinsoku/>
              <w:topLinePunct/>
              <w:spacing w:line="360" w:lineRule="auto"/>
              <w:ind w:firstLine="480" w:firstLineChars="200"/>
              <w:jc w:val="both"/>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①项目生活营地等临时占地</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尽量</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避开植被较丰富的区域，避免破坏</w:t>
            </w:r>
            <w:r>
              <w:rPr>
                <w:rFonts w:hint="default" w:ascii="Times New Roman" w:hAnsi="Times New Roman" w:eastAsia="宋体" w:cs="Times New Roman"/>
                <w:color w:val="000000" w:themeColor="text1"/>
                <w:sz w:val="24"/>
                <w:szCs w:val="24"/>
                <w:lang w:eastAsia="zh-CN"/>
                <w14:textFill>
                  <w14:solidFill>
                    <w14:schemeClr w14:val="tx1"/>
                  </w14:solidFill>
                </w14:textFill>
              </w:rPr>
              <w:t>林地</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植物。</w:t>
            </w:r>
          </w:p>
          <w:p w14:paraId="1B4FC317">
            <w:pPr>
              <w:widowControl/>
              <w:kinsoku/>
              <w:topLinePunct/>
              <w:spacing w:line="360" w:lineRule="auto"/>
              <w:ind w:firstLine="480" w:firstLineChars="200"/>
              <w:jc w:val="both"/>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②施工过程中严格规定各类工作人员的活动范围，使之限于在各工区和生活区范围内活动，最大限度减少对荒漠植物生存环境的践踏破坏。</w:t>
            </w:r>
          </w:p>
          <w:p w14:paraId="5DFC0A9E">
            <w:pPr>
              <w:widowControl/>
              <w:kinsoku/>
              <w:topLinePunct/>
              <w:spacing w:line="360" w:lineRule="auto"/>
              <w:ind w:firstLine="480" w:firstLineChars="200"/>
              <w:jc w:val="both"/>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w:t>
            </w:r>
            <w:r>
              <w:rPr>
                <w:rFonts w:hint="default" w:ascii="Times New Roman" w:hAnsi="Times New Roman" w:eastAsia="宋体" w:cs="Times New Roman"/>
                <w:color w:val="000000" w:themeColor="text1"/>
                <w:sz w:val="24"/>
                <w:szCs w:val="24"/>
                <w:lang w:val="zh-CN"/>
                <w14:textFill>
                  <w14:solidFill>
                    <w14:schemeClr w14:val="tx1"/>
                  </w14:solidFill>
                </w14:textFill>
              </w:rPr>
              <w:t>确保各环保设施正常运行，避免各种污染物对土壤环境的影响从而进一步影响其上部生长的</w:t>
            </w:r>
            <w:r>
              <w:rPr>
                <w:rFonts w:hint="default" w:ascii="Times New Roman" w:hAnsi="Times New Roman" w:eastAsia="宋体" w:cs="Times New Roman"/>
                <w:color w:val="000000" w:themeColor="text1"/>
                <w:sz w:val="24"/>
                <w:szCs w:val="24"/>
                <w:lang w:eastAsia="zh-CN"/>
                <w14:textFill>
                  <w14:solidFill>
                    <w14:schemeClr w14:val="tx1"/>
                  </w14:solidFill>
                </w14:textFill>
              </w:rPr>
              <w:t>林地</w:t>
            </w:r>
            <w:r>
              <w:rPr>
                <w:rFonts w:hint="default" w:ascii="Times New Roman" w:hAnsi="Times New Roman" w:eastAsia="宋体" w:cs="Times New Roman"/>
                <w:color w:val="000000" w:themeColor="text1"/>
                <w:sz w:val="24"/>
                <w:szCs w:val="24"/>
                <w:lang w:val="zh-CN"/>
                <w14:textFill>
                  <w14:solidFill>
                    <w14:schemeClr w14:val="tx1"/>
                  </w14:solidFill>
                </w14:textFill>
              </w:rPr>
              <w:t>植被。</w:t>
            </w:r>
          </w:p>
          <w:p w14:paraId="29303142">
            <w:pPr>
              <w:widowControl/>
              <w:kinsoku/>
              <w:topLinePunct/>
              <w:spacing w:line="360" w:lineRule="auto"/>
              <w:ind w:firstLine="480" w:firstLineChars="200"/>
              <w:jc w:val="both"/>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w:t>
            </w:r>
            <w:r>
              <w:rPr>
                <w:rFonts w:hint="default" w:ascii="Times New Roman" w:hAnsi="Times New Roman" w:eastAsia="宋体" w:cs="Times New Roman"/>
                <w:color w:val="000000" w:themeColor="text1"/>
                <w:sz w:val="24"/>
                <w:szCs w:val="24"/>
                <w:lang w:val="zh-CN"/>
                <w14:textFill>
                  <w14:solidFill>
                    <w14:schemeClr w14:val="tx1"/>
                  </w14:solidFill>
                </w14:textFill>
              </w:rPr>
              <w:t>井场施工在开挖地表、平整土地时，临时堆土必须进行拦挡，施工完毕，应尽快整理施工现场。</w:t>
            </w:r>
          </w:p>
          <w:p w14:paraId="38DE6CFF">
            <w:pPr>
              <w:widowControl/>
              <w:kinsoku/>
              <w:topLinePunct/>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强化风险意识，将本项目纳入《中国石油天然气股份有限公司吐哈油田分公司准东采油管理区突发环境事件应急预案》管理体系，落实切实可行的风险防范措施，最大限度降低风险概率，避免可能发生的油品泄漏事故对荒漠野生植物生存环境造成威胁。</w:t>
            </w:r>
          </w:p>
          <w:p w14:paraId="48083912">
            <w:pPr>
              <w:widowControl/>
              <w:kinsoku/>
              <w:topLinePunct/>
              <w:spacing w:line="360" w:lineRule="auto"/>
              <w:ind w:firstLine="480" w:firstLineChars="20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加强对施工人员和职工的教育，强化保护野生植物的观念，不得随意踩踏野生植物。</w:t>
            </w:r>
          </w:p>
          <w:bookmarkEnd w:id="22"/>
          <w:bookmarkEnd w:id="23"/>
          <w:p w14:paraId="7E82377C">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1.2对野生动物的生态环保措施要求</w:t>
            </w:r>
          </w:p>
          <w:p w14:paraId="649788FB">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位于准噶尔盆地区域，地貌以沙丘为主，地表植被以稀疏乔木、灌木和草本植物为主，野生动物资源有限，种类主要为适应干旱气候的小型鸟类（如麻雀）、啮齿类（如鼠类）、爬行动物（如荒漠沙蜥、快步麻蜥）和其他小型兽类。各井场周边人类活动较少，区域生态原貌保存较好，具备一定的野生动物栖息条件。因此，在项目施工过程中应特别注意对野生动物活动环境的保护，最大限度减缓人为施工干扰，落实以下生态保护措施：</w:t>
            </w:r>
          </w:p>
          <w:p w14:paraId="246EE59E">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①施工期避让原则</w:t>
            </w:r>
          </w:p>
          <w:p w14:paraId="4D6BAF78">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结合本区域主要野生动物（如小型鸟类、爬行类等）的活动特点及迁徙规律，施工单位在组织</w:t>
            </w:r>
            <w:r>
              <w:rPr>
                <w:rFonts w:hint="default" w:ascii="Times New Roman" w:hAnsi="Times New Roman" w:eastAsia="宋体" w:cs="Times New Roman"/>
                <w:color w:val="000000" w:themeColor="text1"/>
                <w:sz w:val="24"/>
                <w:szCs w:val="24"/>
                <w14:textFill>
                  <w14:solidFill>
                    <w14:schemeClr w14:val="tx1"/>
                  </w14:solidFill>
                </w14:textFill>
              </w:rPr>
              <w:t>钻前准备、设备进场和试油放喷等高强度、高噪声施工作业时，必须严格执行时间避让措施。明确要求施工须避开每年的3-5月以及9-10月（该时段为区域野生动物的主要繁殖期和部分物种的迁徙期）。严禁在上述生态敏感时段开展大范围土方剥</w:t>
            </w:r>
            <w:r>
              <w:rPr>
                <w:rFonts w:ascii="宋体" w:hAnsi="宋体" w:eastAsia="宋体" w:cs="宋体"/>
                <w:color w:val="000000" w:themeColor="text1"/>
                <w:sz w:val="24"/>
                <w:szCs w:val="24"/>
                <w14:textFill>
                  <w14:solidFill>
                    <w14:schemeClr w14:val="tx1"/>
                  </w14:solidFill>
                </w14:textFill>
              </w:rPr>
              <w:t>离、打桩及产生突发性强噪声的施工作业，以避免因施工噪声、照明、车辆进出等人为活动严重干扰野生动物的正常繁衍、营巢与迁徙节律</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7377CF7">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②噪声与光照控制</w:t>
            </w:r>
          </w:p>
          <w:p w14:paraId="66C1D88F">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施工期应优先采用低噪声设备，钻井设备夜间作业时应采用定向照明，避免强光直射周边自然区域，防止对野生动物视觉和作息造成干扰。</w:t>
            </w:r>
          </w:p>
          <w:p w14:paraId="451BBD6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③禁止捕猎及使用毒性化学物品</w:t>
            </w:r>
          </w:p>
          <w:p w14:paraId="543EC422">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严禁施工人员猎捕、驱赶野生动物，严禁私自携带犬类及其他宠物进场，严禁使用鼠药、杀虫剂等对野生动物构成直接毒害风险的药物。</w:t>
            </w:r>
          </w:p>
          <w:p w14:paraId="06F72C6A">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④运输及道路管理</w:t>
            </w:r>
          </w:p>
          <w:p w14:paraId="536F8CBD">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施工车辆运输应限速通行，夜间行车使用近光灯，防止惊扰动物或发生撞击事件。施工便道布设应避开动物活动通道，必要时设置临时警示标识。</w:t>
            </w:r>
          </w:p>
          <w:p w14:paraId="79770B45">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⑤加强环保教育与日常巡查</w:t>
            </w:r>
          </w:p>
          <w:p w14:paraId="66F84362">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施工单位应开展野生动物保护专题培训，提高施工人员生态保护意识。项目管理单位应设立生态保护巡查岗，定期检查是否存在破坏野生动物生境行为，并建立违规问责机制。</w:t>
            </w:r>
          </w:p>
          <w:p w14:paraId="5D3E0767">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⑥生态恢复同步考虑</w:t>
            </w:r>
          </w:p>
          <w:p w14:paraId="2FAEDD79">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工程完工后，在实施土地恢复与植被恢复时，应优先恢复本地优势灌草植物种类，为小型野生动物提供可利用的觅食与隐蔽环境，促进区域生态功能的恢复。</w:t>
            </w:r>
          </w:p>
          <w:p w14:paraId="627349BD">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7BE0CF3E">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1.3临时占地保护措施要求</w:t>
            </w:r>
          </w:p>
          <w:p w14:paraId="7A7B79D4">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①无道路区域作业车辆“一”字形行驶。</w:t>
            </w:r>
          </w:p>
          <w:p w14:paraId="6DFDA10A">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②加强对临时占地地表土的保护，临时性占地进行合理规划，严格控制占地面积，尽量选择在植被稀少的区域。</w:t>
            </w:r>
          </w:p>
          <w:p w14:paraId="3617F38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③本项目临时占地期满后，占地单位需对临时占地进行清理，拆除临时建筑物，清除废弃材料，结合地形恢复场地并平整土地，做到工完料净场地清。</w:t>
            </w:r>
          </w:p>
          <w:p w14:paraId="4FE6FF8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施工过程中严格规定车辆和各类工作人员的活动范围，所有车辆采用“一”字形作业法，严格控制和管理车辆及重型机械的运行范围，使之限于在施工区范围内活动，最大限度减少对植物生存环境的踩踏破坏，避免破坏植物。</w:t>
            </w:r>
          </w:p>
          <w:p w14:paraId="6BE5A453">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⑤做好施工场地的恢复工作，并按相关规定对植被损失进行生态经济补偿。</w:t>
            </w:r>
          </w:p>
          <w:p w14:paraId="63DDEC87">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w:t>
            </w:r>
            <w:r>
              <w:rPr>
                <w:rFonts w:hint="eastAsia" w:ascii="Times New Roman" w:hAnsi="Times New Roman" w:eastAsia="宋体" w:cs="Times New Roman"/>
                <w:color w:val="000000" w:themeColor="text1"/>
                <w:sz w:val="24"/>
                <w:szCs w:val="24"/>
                <w:lang w:eastAsia="zh-CN"/>
                <w14:textFill>
                  <w14:solidFill>
                    <w14:schemeClr w14:val="tx1"/>
                  </w14:solidFill>
                </w14:textFill>
              </w:rPr>
              <w:t>井场平整剥离的表土需单独集中堆放于临时堆土区。为防止风蚀起沙和水土流失，堆土场周边必须人工夯筑高度 ≥0.3m 的挡土围堰；同时，堆土表面必须采用密目防尘网进行100% 严密苫盖。该防护措施须严格维持至完井清场、表土回覆时方可拆除。</w:t>
            </w:r>
          </w:p>
          <w:p w14:paraId="2EB9712D">
            <w:pPr>
              <w:pStyle w:val="26"/>
              <w:widowControl w:val="0"/>
              <w:kinsoku/>
              <w:jc w:val="both"/>
              <w:rPr>
                <w:rFonts w:hint="eastAsia" w:ascii="宋体" w:hAnsi="宋体"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⑦</w:t>
            </w:r>
            <w:r>
              <w:rPr>
                <w:rFonts w:hint="default" w:ascii="Times New Roman" w:hAnsi="Times New Roman" w:eastAsia="宋体" w:cs="Times New Roman"/>
                <w:color w:val="000000" w:themeColor="text1"/>
                <w:sz w:val="24"/>
                <w:szCs w:val="24"/>
                <w:lang w:eastAsia="zh-CN"/>
                <w14:textFill>
                  <w14:solidFill>
                    <w14:schemeClr w14:val="tx1"/>
                  </w14:solidFill>
                </w14:textFill>
              </w:rPr>
              <w:t>井场选址及井场布置严格按照《钻前工程及井场布置技术要求》（SY/T5466-2013）中要求执行。</w:t>
            </w:r>
          </w:p>
          <w:p w14:paraId="53C7D1EE">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1.4施工作业范围管控要求</w:t>
            </w:r>
          </w:p>
          <w:p w14:paraId="33CD7DF7">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①对油田内的道路合理规划，巡检道路严格控制施工作业带（开挖）面积，并尽量沿道路纵向平行布设，以减少地表破坏，减少土方的暴露面积。</w:t>
            </w:r>
          </w:p>
          <w:p w14:paraId="6D6632C9">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②尽量利用原有公路，沿已有车辙行驶，严格执行先修路，后开钻的原则进行勘探。杜绝车辆乱碾乱轧的情况发生。不随意开设便道。</w:t>
            </w:r>
          </w:p>
          <w:p w14:paraId="04B742DB">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③施工机械不得在道路以外行驶和作业，保持地表不被扰动。</w:t>
            </w:r>
          </w:p>
          <w:p w14:paraId="058C8C8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④施工结束后，临时用地一律平整土地，清除用地范围内的一切固体废弃物。</w:t>
            </w:r>
          </w:p>
          <w:p w14:paraId="7BF7B6A9">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⑤道路施工的临时用地禁止设置在农田内。</w:t>
            </w:r>
          </w:p>
          <w:p w14:paraId="69276442">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施工期间应划定施工活动范围，在施工作业带边界拉彩条旗以示明车辆行驶边界，严格控制和管理运输车辆及重型机械的运行线路和范围，不得离开运输道路及随意行驶，由专人负责，以防破坏土壤和植被，加剧土地荒漠化。</w:t>
            </w:r>
          </w:p>
          <w:p w14:paraId="273E235A">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⑦井场施工在开挖地表、平整土地时，临时堆土必须进行拦挡，施工完毕，应尽快整理施工现场。</w:t>
            </w:r>
          </w:p>
          <w:p w14:paraId="15DEF257">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1.5农田生态保护措施</w:t>
            </w:r>
          </w:p>
          <w:p w14:paraId="2503A163">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①控制作业范围，施工机械（主要为挖掘机）需在控制范围内作业，严禁 自行扩大施工用地范围</w:t>
            </w:r>
          </w:p>
          <w:p w14:paraId="17532C22">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②耕地区施工应避开农作物生长和收获期，减少农业生产的损失。要保护 农田林网，使农田生态系统的功能相对稳定。</w:t>
            </w:r>
          </w:p>
          <w:p w14:paraId="6CD0CDAB">
            <w:pPr>
              <w:pStyle w:val="26"/>
              <w:widowControl w:val="0"/>
              <w:kinsoku/>
              <w:spacing w:line="360" w:lineRule="auto"/>
              <w:jc w:val="both"/>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在耕地中施工时，可将表层25cm的土壤集中堆放，施工结束后地表土壤作为生态恢复用土，分层开挖、分层堆放，以保持耕地肥力和作物正常生长。</w:t>
            </w:r>
          </w:p>
          <w:p w14:paraId="216F179A">
            <w:pPr>
              <w:pStyle w:val="26"/>
              <w:widowControl w:val="0"/>
              <w:kinsoku/>
              <w:spacing w:line="360" w:lineRule="auto"/>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④施工结束后做好耕地的恢复工作。清理施工作业区域内产生的废弃物。 应按国务院颁发的《土地复垦条例》、国土资源部颁发的《土地复垦条例实施办 法》的规定进行复垦。凡受到施工车辆、机械破坏的地方，都要及时修整，恢复原貌，植被（自然的、人工的）破坏应在施工结束后的当年或来年予以恢复。</w:t>
            </w:r>
          </w:p>
          <w:p w14:paraId="3DE939CD">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严禁施工车辆在耕地区到处乱碾乱压，应严格限制在已有的道路和作业区行驶，防止对周围土壤和作物产生破坏。</w:t>
            </w:r>
          </w:p>
          <w:p w14:paraId="375B328F">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废弃的施工原料均运至规定的地点进行存放，禁止向施工区域附近的耕地内倾倒。</w:t>
            </w:r>
          </w:p>
          <w:p w14:paraId="1C3F9BCD">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立与周边村庄（如红山子村）的风险联防联控机制，定期告知钻前进度。一旦发生井喷事故，除采取技术堵漏外，需立即通知周边农户采取覆盖、避让等临时防护措施，降低事故对当季作物及后续耕种的潜在影响。</w:t>
            </w:r>
          </w:p>
          <w:p w14:paraId="40AF5D8F">
            <w:pPr>
              <w:pStyle w:val="26"/>
              <w:widowControl w:val="0"/>
              <w:kinsoku/>
              <w:spacing w:line="360"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⑧</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加强对施工人员的教育、监督和管理，积极倡导文明施工。</w:t>
            </w:r>
          </w:p>
          <w:p w14:paraId="22A506FA">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1.6生态恢复方案</w:t>
            </w:r>
          </w:p>
          <w:p w14:paraId="300957FF">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根据《关于加强沙区建设项目环境影响评价工作的通知》、《陆上石油天然气开采业绿色矿山建设规范》（DZ/T 0317-2018）的有关要求进行生态恢复。施工前需对占地范围内表土进行剥离，剥离后用砂石料对井场和探临道路进行铺垫，剥离表土单独堆放，用于完井后临时占地的恢复。施工结束后，施工单位应负责及时清理现场，做到井场整洁、无杂物，完井后施工机械、设备及时撤离，对生活营地和探临道路等占地进行清理平整，废水和固体废物全部妥善处置，禁止现场遗留；尽量利用井场及探临道路施工时产生的表层土对临时占地进行覆盖，植被主要靠自然恢复。施工为分段施工，建议“边施工、边修复”。具体措施如下：</w:t>
            </w:r>
          </w:p>
          <w:p w14:paraId="7181ADC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①井场生态恢复措施</w:t>
            </w:r>
          </w:p>
          <w:p w14:paraId="16F554F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根据《陆上石油天然气开采业绿色矿山建设规范》（DZ/T0317-2018）所有施工范围需进行生态环境保护与恢复治理。</w:t>
            </w:r>
            <w:r>
              <w:rPr>
                <w:rFonts w:ascii="宋体" w:hAnsi="宋体" w:eastAsia="宋体" w:cs="宋体"/>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完井后，建设单位应严格按照“工完、料尽、场地清”的要求，彻底清除各类生产设施、防渗膜及建筑垃圾 。随后进行生态恢复，具体步骤如下：首先清除铺垫的砂石料，对被机械压实的场地进行深翻松土（深度约20-30cm），以消除土壤板结。随后，将前期集中保护的剥离表土（0.2m厚度）均匀回铺于井场和临时道路表面 。鉴于干旱区自然恢复极慢，严禁单纯依赖自然恢复。表土回铺后，应采用人工辅助撒播的方式恢复植被。草种必须选择适应当地耐旱、耐盐碱的乡土物种，建议采用本区域原生的白皮锦鸡儿（Reaumuria songarica）、骆驼蓬（Peganum harmala）种子，或搭配冰草、沙蒿等耐旱草籽进行混播。撒播后应进行轻度覆土耙平。播种结束后的 1~2 年内是植被定植的关键期，建设单位或其委托的管护方必须落实人工管护及定期浇水措施（每年至少集中浇水 2 次，建议安排在春旱萌芽期及秋季），以切实提高幼苗的成活率及抗逆性。在易发生风蚀的裸露起沙地段，播种后表面应铺设草方格或采用碎石、砾石进行覆盖，以重建地表砾幕层，达到防风固沙、保墒蓄水的作用 。</w:t>
            </w:r>
          </w:p>
          <w:p w14:paraId="4F2FE1A1">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②水土流失防治措施</w:t>
            </w:r>
          </w:p>
          <w:p w14:paraId="7AEFB740">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14:paraId="59560351">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③闭井期生态修复措施</w:t>
            </w:r>
          </w:p>
          <w:p w14:paraId="53CA1803">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矿山生态环境保护与恢复治理技术规范（试行）》(HJ651-2013)、《陆上石油天然气开采业绿色矿山建设规范》（DZ/T0317-2018）和《废弃井封井回填技术指南（试行）》中的相关要求，勘探活动结束后，应根据景观相似原则，对勘探活动造成的土壤、植被和地表景观破坏进行恢复。</w:t>
            </w:r>
          </w:p>
          <w:p w14:paraId="0B07FFEA">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1）对水文地质条件及道路安全有影响或重要建筑物附近的钻孔或坑井应予回填封闭，并恢复其原有生态功能。</w:t>
            </w:r>
          </w:p>
          <w:p w14:paraId="4CF158C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2）井场道路用地应严格控制占地面积和范围。</w:t>
            </w:r>
          </w:p>
          <w:p w14:paraId="2C6046AA">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3）对项目区域不再使用的各项临时建（构）筑物和基础设施应全部拆除，并进行景观和植被恢复。转为其他用途的，应开展污染场地调查、风险评估与修复治理。</w:t>
            </w:r>
          </w:p>
          <w:p w14:paraId="0483B949">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4）试油期伴生气燃烧放空应远离耕地、植被等。</w:t>
            </w:r>
          </w:p>
          <w:p w14:paraId="4C67CA9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）勘探后的封闭井应将井口封堵完整，采取遮挡和防护措施，并设立警示牌。</w:t>
            </w:r>
          </w:p>
          <w:p w14:paraId="44D49924">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废弃井封井回填技术指南（试行）》中的相关要求，封井回填：回填前，资料不全的井，应根据现场情况，开展调查工作，摸清废弃井（筒）管现状。回填时，应根据不同环境风险等级对应的要求开展回填工作，或采用更严格的回填要求进行回填；回填材料应无污染，不得使用可能对地下水造成污染的材料。回填后，应开展井盖封堵或密闭填充，确保地表污染物不进入井内，各层位地下水不连通。建设单位将作为生态修复实施的主体。</w:t>
            </w:r>
          </w:p>
          <w:p w14:paraId="31E1439A">
            <w:pPr>
              <w:pStyle w:val="26"/>
              <w:widowControl w:val="0"/>
              <w:kinsoku/>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植被恢复</w:t>
            </w:r>
          </w:p>
          <w:p w14:paraId="36189A07">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项目区土壤及生态背景</w:t>
            </w:r>
          </w:p>
          <w:p w14:paraId="37872C9B">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土壤类型与性状：本项目建设区占地类型主要为其他草地，土壤存在不同程度的盐渍化现象 。</w:t>
            </w:r>
          </w:p>
          <w:p w14:paraId="021F516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植被现状：区域植被属于典型荒漠灌草植被带，覆盖度约为10%，主要物种为白皮锦鸡儿、骆驼蓬等耐旱植物。</w:t>
            </w:r>
          </w:p>
          <w:p w14:paraId="024C4C4B">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撒播草籽措施的可行性论证</w:t>
            </w:r>
          </w:p>
          <w:p w14:paraId="61D9CEA1">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人工辅助加速恢复：由于该区域气候干燥、自然恢复能力有限，单纯依靠自然恢复周期较长。通过在回铺表土后人工撒播当地优势物种（如骆驼蓬、白皮锦鸡儿等）的种子，可以有效提高地表植被的盖度。</w:t>
            </w:r>
          </w:p>
          <w:p w14:paraId="5812187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技术实施可行性：选择在春秋季降水相对较多的时段进行撒播，并利用回铺表土的松散结构进行覆土，能够显著提高种子的成活率。这种“自然恢复为主、人工辅助为辅”的策略，能够将生态恢复周期由原来的5-8 年缩短至3-5 年，技术上成熟可靠，经济上合理可行。</w:t>
            </w:r>
          </w:p>
          <w:p w14:paraId="2B03C515">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PingFang SC" w:hAnsi="PingFang SC" w:eastAsia="PingFang SC" w:cs="PingFang SC"/>
                <w:color w:val="000000" w:themeColor="text1"/>
                <w:sz w:val="24"/>
                <w:szCs w:val="24"/>
                <w:lang w:eastAsia="zh-CN"/>
                <w14:textFill>
                  <w14:solidFill>
                    <w14:schemeClr w14:val="tx1"/>
                  </w14:solidFill>
                </w14:textFill>
              </w:rPr>
              <w:t>⑤</w:t>
            </w:r>
            <w:r>
              <w:rPr>
                <w:rFonts w:hint="default" w:ascii="Times New Roman" w:hAnsi="Times New Roman" w:eastAsia="宋体" w:cs="Times New Roman"/>
                <w:color w:val="000000" w:themeColor="text1"/>
                <w:sz w:val="24"/>
                <w:szCs w:val="24"/>
                <w:lang w:eastAsia="zh-CN"/>
                <w14:textFill>
                  <w14:solidFill>
                    <w14:schemeClr w14:val="tx1"/>
                  </w14:solidFill>
                </w14:textFill>
              </w:rPr>
              <w:t>补偿措施</w:t>
            </w:r>
          </w:p>
          <w:p w14:paraId="4AAC89A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依法依规办理用地审批手续，并对因项目实施造成的生态损失予以经济补偿，足额缴纳生态经济补偿费。</w:t>
            </w:r>
          </w:p>
          <w:p w14:paraId="58298908">
            <w:pPr>
              <w:widowControl/>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4C7AEF0B">
            <w:pPr>
              <w:widowControl/>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2.井场防沙治沙防治措施</w:t>
            </w:r>
          </w:p>
          <w:p w14:paraId="23314B7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次评价要求建设单位严格按照《中华人民共和国防沙治沙法》（2018）、《关于加强沙区建设项目环境影响评价工作的通知》（新环环评发〔2020〕138号）和《新疆维吾尔自治区实施〈中华人民共和国防沙治沙法〉办法》中有关规定，执行以下防沙治沙措施：</w:t>
            </w:r>
          </w:p>
          <w:p w14:paraId="3529FA17">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①加强宣传《中华人民共和国防沙治沙法》和《新疆维吾尔自治区实施〈中华人民共和国防沙治沙法〉办法》，使施工人员知法、懂法、守法，自觉保护林草植被，自觉履行防治义务；</w:t>
            </w:r>
          </w:p>
          <w:p w14:paraId="266C0B9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②优化施工组织，缩短施工时间，避免在大风天气作业，避免造成土壤风蚀影响；</w:t>
            </w:r>
          </w:p>
          <w:p w14:paraId="1A0655E9">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③严格控制井场、道路等工程的临时占地，按施工方案严格控制扰动范围；</w:t>
            </w:r>
          </w:p>
          <w:p w14:paraId="001A9740">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④道路施工时，划定施工活动范围，严格控制和管理车辆及重型机械的运行范围，所有车辆采用“一”字型作业法，临探道路应选取最短路径与油田现有公路相连接，不开辟新路，以减少风蚀沙化活动的范围；</w:t>
            </w:r>
          </w:p>
          <w:p w14:paraId="6A8BDED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为减少因施工破坏植被造成局部区域的沙化，本环评要求建设单位和施工人员须征得当地林业管理部门的批准后方可开展施工作业。建议尽可能完整保存拟建选址区域的原生植株，在施工期结束后恢复原有植被或栽种同类沙地植物，最大限度减少沙化的可能性；</w:t>
            </w:r>
          </w:p>
          <w:p w14:paraId="12F1A40C">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⑥对于无植被生长的纯沙地区域，在施工结束时建议对遭受扰动的临时占地区域设置草方格进行固沙，阻止沙化进一步发展；</w:t>
            </w:r>
          </w:p>
          <w:p w14:paraId="5B2F1914">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⑦施工过程中及施工期结束土壤环境恢复过程中发现临时占用土地出现沙化或者沙化程度加重的，应当及时报告当地生态环境部门和人民政府，并根据专业意见开展防沙治沙措施；</w:t>
            </w:r>
          </w:p>
          <w:p w14:paraId="38E2015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通过采取上述措施，可将项目建设对所在区域土壤环境造成的水土流失和沙化影响降至可接受水平。</w:t>
            </w:r>
          </w:p>
          <w:p w14:paraId="0AA358D9">
            <w:pPr>
              <w:widowControl/>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bookmarkStart w:id="24" w:name="OLE_LINK48"/>
            <w:r>
              <w:rPr>
                <w:rFonts w:hint="default" w:ascii="Times New Roman" w:hAnsi="Times New Roman" w:eastAsia="宋体" w:cs="Times New Roman"/>
                <w:b/>
                <w:bCs/>
                <w:color w:val="000000" w:themeColor="text1"/>
                <w:sz w:val="24"/>
                <w:szCs w:val="24"/>
                <w:lang w:eastAsia="zh-CN"/>
                <w14:textFill>
                  <w14:solidFill>
                    <w14:schemeClr w14:val="tx1"/>
                  </w14:solidFill>
                </w14:textFill>
              </w:rPr>
              <w:t>3.</w:t>
            </w:r>
            <w:bookmarkEnd w:id="24"/>
            <w:bookmarkStart w:id="25" w:name="_Hlk176185340"/>
            <w:r>
              <w:rPr>
                <w:rFonts w:hint="default" w:ascii="Times New Roman" w:hAnsi="Times New Roman" w:eastAsia="宋体" w:cs="Times New Roman"/>
                <w:b/>
                <w:bCs/>
                <w:color w:val="000000" w:themeColor="text1"/>
                <w:sz w:val="24"/>
                <w:szCs w:val="24"/>
                <w:lang w:eastAsia="zh-CN"/>
                <w14:textFill>
                  <w14:solidFill>
                    <w14:schemeClr w14:val="tx1"/>
                  </w14:solidFill>
                </w14:textFill>
              </w:rPr>
              <w:t>大气污染防治措施及有效性分析</w:t>
            </w:r>
          </w:p>
          <w:p w14:paraId="52D1C016">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锅炉废气治理措施及有效性分析</w:t>
            </w:r>
          </w:p>
          <w:p w14:paraId="79D066D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采取措施：①源头控制：严格采购和使用低硫优质生物质成型颗粒燃料（根据检测报告，含硫量S控制在0.022%以内）；②燃烧控制： 采用低氮燃烧技术（优化风配、分级燃烧）；③末端治理：采用“水幕预除尘（湿法除尘）+耐高温布袋除尘器”组合处理工艺，尾气经30m高排气筒排放。</w:t>
            </w:r>
          </w:p>
          <w:p w14:paraId="77056833">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本项目二氧化硫达标的核心在于源头低硫燃料控制。末端配备的水幕预除尘设施主要功能为颗粒物的预处理，同时参考生态环境部《排放源统计调查产排污核算方法和系数手册》中4430工业锅炉行业系数，该湿法除尘过程对二氧化硫具有客观的协同脱除作用（核算效率取15%）。在“极低含硫量+协同脱除”的双重保障下，核算二氧化硫排放浓度可稳定满足《锅炉大气污染物排放标准》（GB13271-2014）中表3燃气锅炉特别排放限值要求（SO₂≤50mg/m³）。此外，低氮燃烧技术可有效削减热力型NOx产生；布袋除尘器对颗粒物的拦截效率高达99%以上，有效保障了各项污染物的全面达标排放。该组合工艺技术成熟、依据充分，治理措施切实有效。</w:t>
            </w:r>
          </w:p>
          <w:p w14:paraId="7998CC65">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施工扬尘治理措施及有效性分析</w:t>
            </w:r>
          </w:p>
          <w:p w14:paraId="2FE535B8">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采取措施：施工场地及进场道路定时洒水抑尘；易起尘物料（如土方堆场）采用防尘网或防尘布进行100%覆盖；施工车辆限制车速、按既定路线行驶；遇四级以上大风天气停止土方作业。</w:t>
            </w:r>
          </w:p>
          <w:p w14:paraId="1B67E93E">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上述措施为《防治城市扬尘污染技术规范》中推荐的标准防尘手段。洒水与物理遮盖相结合，可有效增加粉尘含水率及沉降速率，使起尘量削减70%以上。措施落实后，可确保厂界颗粒物无组织排放浓度满足《大气污染物综合排放标准》（GB16297-1996）限值要求，对周围环境空气影响较小，措施可行有效。</w:t>
            </w:r>
          </w:p>
          <w:p w14:paraId="74E8DCC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生物质燃料及灰渣储运环节颗粒物防治措施及有效性分析</w:t>
            </w:r>
          </w:p>
          <w:p w14:paraId="292859E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采取措施：①燃料储运控制：生物质成型燃料统一储存在封闭的燃料棚内，严禁露天堆放；装卸过程中尽量降低落差以减少粉尘逸散，运输车辆采用密闭车厢或覆盖严密的篷布。②灰渣及除尘灰密闭处理：布袋除尘器配套清灰连锁装置，确保粉尘在密封状态下进入集灰桶；灰渣在装卸与清运前必须进行洒水抑尘，使其含水率保持在15%-20%左右的润湿状态。③场区综合保洁：锅炉房及燃料储存区周边建立定期清扫与洒水制度，及时清理散落的燃料碎屑和灰渣；清灰作业时操作人员按规范佩戴防尘口罩。 </w:t>
            </w:r>
          </w:p>
          <w:p w14:paraId="7761D041">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上述措施涵盖了从燃料进场、储存到灰渣产出、清运的全过程扬尘管控。通过“封闭储存+密闭运输+降低落差”从物理空间上切断了风流起尘的途径；在灰渣处理环节采取的“密闭收集+洒水增湿（15%-20%含水率）”是防范二次扬尘的成熟工艺，能有效增加粉尘颗粒的粘附力与沉降率；配合厂区定期的清扫保洁，从源头极大削减了无组织颗粒物的产生量。各项防尘降尘措施协同发力，可确保厂界颗粒物无组织排放浓度稳定满足《大气污染物综合排放标准》（GB16297-1996）无组织排放监控限值要求，整体防治方案经济、技术可行且切实有效。</w:t>
            </w:r>
          </w:p>
          <w:p w14:paraId="43DDC1C3">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非甲烷总烃（NMHC）及伴生气治理措施及有效性分析</w:t>
            </w:r>
          </w:p>
          <w:p w14:paraId="0AEA2AEB">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采取措施：①试油阶段产生的伴生气通过专用排气管线引至放喷点，经充分点火燃烧后放空；②油基岩屑暂存管理：二开阶段产生的油基岩屑采用全密闭防渗的专用岩屑方罐暂存，严禁露天散堆，并做到及时清运；③原油临时储罐实行严格密闭管理，减少呼吸阀开启频次。</w:t>
            </w:r>
          </w:p>
          <w:p w14:paraId="6984439A">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试油伴生气点火燃烧是油气勘探行业标准的安全与环保处理工艺，可将98%以上的可燃烃类转化为无毒的二氧化碳和水；针对暂存期油基岩屑和原油储罐挥发的非甲烷总烃，采用全密闭专用容器从物理空间上彻底切断了VOCs的大面积逸散路径。在项目区开阔的大气扩散条件下，周界外非甲烷总烃浓度能够稳定满足《陆上石油天然气开采工业大气污染物排放标准》（GB39728-2020）无组织排放限值，防范措施严密有效。</w:t>
            </w:r>
          </w:p>
          <w:p w14:paraId="77C94AC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柴油发电机废气治理措施及有效性分析</w:t>
            </w:r>
          </w:p>
          <w:p w14:paraId="43B862E0">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采取措施：柴油发电机仅作为应急备用电源（非连续作业）；强制要求使用符合国家标准的低硫清洁柴油；定期对发电机进行维修保养，保证燃烧效率。</w:t>
            </w:r>
          </w:p>
          <w:p w14:paraId="3A71FA0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发电机污染源强极小且属于偶发性、间歇性排放。通过源头提升油品质量，结合设备维护保持高燃烧效率，可大幅减少NOx、颗粒物等尾气产生。该措施从源头到运行管理落实了环保要求，能确保场界污染物满足《大气污染物综合排放标准》（GB16297-1996）无组织排放监控限值，治理措施简便有效。</w:t>
            </w:r>
          </w:p>
          <w:bookmarkEnd w:id="25"/>
          <w:p w14:paraId="3489A6BB">
            <w:pPr>
              <w:widowControl/>
              <w:numPr>
                <w:ilvl w:val="0"/>
                <w:numId w:val="13"/>
              </w:numPr>
              <w:kinsoku/>
              <w:spacing w:line="500" w:lineRule="exact"/>
              <w:jc w:val="both"/>
              <w:rPr>
                <w:rFonts w:hint="default" w:ascii="Times New Roman" w:hAnsi="Times New Roman" w:eastAsia="宋体" w:cs="Times New Roman"/>
                <w:b/>
                <w:bCs/>
                <w:color w:val="000000" w:themeColor="text1"/>
                <w:sz w:val="24"/>
                <w:szCs w:val="24"/>
                <w14:textFill>
                  <w14:solidFill>
                    <w14:schemeClr w14:val="tx1"/>
                  </w14:solidFill>
                </w14:textFill>
              </w:rPr>
            </w:pPr>
            <w:bookmarkStart w:id="26" w:name="_Hlk136795800"/>
            <w:r>
              <w:rPr>
                <w:rFonts w:hint="default" w:ascii="Times New Roman" w:hAnsi="Times New Roman" w:eastAsia="宋体" w:cs="Times New Roman"/>
                <w:b/>
                <w:bCs/>
                <w:color w:val="000000" w:themeColor="text1"/>
                <w:sz w:val="24"/>
                <w:szCs w:val="24"/>
                <w14:textFill>
                  <w14:solidFill>
                    <w14:schemeClr w14:val="tx1"/>
                  </w14:solidFill>
                </w14:textFill>
              </w:rPr>
              <w:t>水污染防治措施</w:t>
            </w:r>
          </w:p>
          <w:p w14:paraId="1FCE1D97">
            <w:pPr>
              <w:widowControl/>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4.1生活污水</w:t>
            </w:r>
          </w:p>
          <w:p w14:paraId="4151F289">
            <w:pPr>
              <w:widowControl/>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4.1.1生活污水基本情况及其去向</w:t>
            </w:r>
          </w:p>
          <w:p w14:paraId="7FD252F3">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施工期生活污水产生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量约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576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排入</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防渗收集池</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暂存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，定期由施工队采用密闭式吸污罐车抽出后运至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市政污水处理厂处理。</w:t>
            </w:r>
          </w:p>
          <w:p w14:paraId="05254986">
            <w:pPr>
              <w:widowControl/>
              <w:kinsoku/>
              <w:spacing w:line="500" w:lineRule="exact"/>
              <w:jc w:val="both"/>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市政污水处理厂的依托可行性分析</w:t>
            </w:r>
          </w:p>
          <w:p w14:paraId="176309B4">
            <w:pPr>
              <w:widowControl w:val="0"/>
              <w:snapToGrid w:val="0"/>
              <w:spacing w:line="500" w:lineRule="exact"/>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本项目生活污水经收集后由拉运至吉木萨尔县污水处理厂。吉木萨尔县污水处理厂工程位于吉木萨尔县城东北15km处（张家庄子村北500m）。设计规模为处理污水量3万m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/d处理设施，实际建设规模为处理污水量1万m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/d。污水处理工艺采用“强化脱氮改良A</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/O+絮凝沉淀滤布滤池工艺”，污泥处理工艺采用带式压榨脱水一体机浓缩脱水，消毒工艺采用紫外线消毒。项目处理能力1万m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/d，目前试运行中实际处理量在0.6～0.7万m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尾水输入北部荒漠地带做生态林用水。吉木萨尔县污水处理厂由新疆绿格洁瑞环境检测技术有限公司进行验收，验收监测期间，尾水排放浓度符合《城镇污水处理厂污染物排放标准》（GB18918-2002）中的一级A标准的要求。本项目施工期生活污水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总共为576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，吉木萨尔县污水处理厂剩余处理能力0.3～0.4万m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/d，可以满足本工程施工期生活污水处理需求。</w:t>
            </w:r>
          </w:p>
          <w:p w14:paraId="59C02142">
            <w:pPr>
              <w:widowControl w:val="0"/>
              <w:kinsoku/>
              <w:spacing w:line="500" w:lineRule="exact"/>
              <w:jc w:val="both"/>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4.2试油废水</w:t>
            </w:r>
          </w:p>
          <w:p w14:paraId="3AC8B99F">
            <w:pPr>
              <w:widowControl w:val="0"/>
              <w:kinsoku/>
              <w:spacing w:line="500" w:lineRule="exact"/>
              <w:jc w:val="both"/>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4.2.1试油废水基本情况及其去向</w:t>
            </w:r>
          </w:p>
          <w:p w14:paraId="4185CEAC">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试油期产生的洗井废水和压裂返排液产生量3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150m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，为由专用</w:t>
            </w:r>
            <w:r>
              <w:rPr>
                <w:rFonts w:hint="default" w:ascii="Times New Roman" w:hAnsi="Times New Roman" w:eastAsia="宋体" w:cs="Times New Roman"/>
                <w:color w:val="000000" w:themeColor="text1"/>
                <w:sz w:val="24"/>
                <w:szCs w:val="24"/>
                <w:lang w:eastAsia="zh-CN"/>
                <w14:textFill>
                  <w14:solidFill>
                    <w14:schemeClr w14:val="tx1"/>
                  </w14:solidFill>
                </w14:textFill>
              </w:rPr>
              <w:t>方罐收集后，拉运至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吉康</w:t>
            </w:r>
            <w:r>
              <w:rPr>
                <w:rFonts w:hint="default" w:ascii="Times New Roman" w:hAnsi="Times New Roman" w:eastAsia="宋体" w:cs="Times New Roman"/>
                <w:color w:val="000000" w:themeColor="text1"/>
                <w:sz w:val="24"/>
                <w:szCs w:val="24"/>
                <w:lang w:eastAsia="zh-CN"/>
                <w14:textFill>
                  <w14:solidFill>
                    <w14:schemeClr w14:val="tx1"/>
                  </w14:solidFill>
                </w14:textFill>
              </w:rPr>
              <w:t>脱水站进行处理，处理达标后全部回注，不外排。</w:t>
            </w:r>
          </w:p>
          <w:p w14:paraId="45566205">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4.2.2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吉康</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脱水站的依托可行性分析</w:t>
            </w:r>
          </w:p>
          <w:p w14:paraId="6AF57A98">
            <w:pPr>
              <w:widowControl w:val="0"/>
              <w:numPr>
                <w:ilvl w:val="0"/>
                <w:numId w:val="14"/>
              </w:numPr>
              <w:snapToGrid w:val="0"/>
              <w:spacing w:line="500" w:lineRule="exact"/>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废水衔接方案</w:t>
            </w:r>
          </w:p>
          <w:p w14:paraId="33815F8B">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为油气勘探评价井，具有作业周期短、废水产生呈间歇性且试油结果存在不确定性的特点。因此，现阶段修建固定的废水输送管网不具备技术和经济可行性。本项目与吉康脱水站的废水衔接方案为“密闭防渗专用罐车拉运”：试油期产生的洗井废水和压裂返排液（总量约35150m³）首先由专用密闭防渗方罐在井场进行收集暂存，随后委托具有相应资质的专业运输车队，采用防渗防漏的专用罐车，每日高频次拉运至约9km外的吉康脱水站。运输全过程密闭，坚决杜绝跑冒滴漏现象，确保废水安全、无缝衔接入脱水站处理系统。</w:t>
            </w:r>
          </w:p>
          <w:p w14:paraId="1B68BBA1">
            <w:pPr>
              <w:widowControl w:val="0"/>
              <w:numPr>
                <w:ilvl w:val="0"/>
                <w:numId w:val="14"/>
              </w:numPr>
              <w:snapToGrid w:val="0"/>
              <w:spacing w:line="500" w:lineRule="exact"/>
              <w:ind w:left="0" w:leftChars="0"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容量匹配性验证分析</w:t>
            </w:r>
          </w:p>
          <w:p w14:paraId="6449D11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 xml:space="preserve"> ①依托站现状处理能力：吉康脱水站现有的一体化污水处理撬装装置设计处理规模为2000m³/d。根据吉康脱水站近期的实际运行及监测数据（调试运营期实测负荷记录），目前该站日均接收处理萨探1块周边井组的废水总量约为600~800m³/d。这意味着吉康脱水站目前的实际剩余有效处理能力大于1000m³/d，且系统运行稳定，出水水质达标。 ②本项目负荷匹配：本项目两口井试油期废水（主要为压裂返排液）总产生量约为35150m³。由于压裂返排具有明显的阶段性特征（约300天试油期内），经核算，本项目试油阶段废水最大日返排峰值约为120m³/d。③匹配性结论：本项目废水最大日产生量（120m³/d）远小于吉康脱水站的实际剩余处理能力（&gt;1000m³/d）。项目废水的并入不会对吉康脱水站的污水处理系统造成水力或负荷冲击。脱水站完全有充足的裕量接收并处理本项目的试油废水，容量匹配性验证充分，依托方案合理可行。</w:t>
            </w:r>
          </w:p>
          <w:p w14:paraId="57749638">
            <w:pPr>
              <w:widowControl w:val="0"/>
              <w:numPr>
                <w:ilvl w:val="0"/>
                <w:numId w:val="14"/>
              </w:numPr>
              <w:snapToGrid w:val="0"/>
              <w:spacing w:line="500" w:lineRule="exact"/>
              <w:ind w:left="0" w:leftChars="0"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依托吉康脱水站废水处理工艺适配性及转运管控要求</w:t>
            </w:r>
          </w:p>
          <w:p w14:paraId="5885E33E">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 吉康脱水站废水处理工艺适配性分析：本项目试油期产生的废水主要为洗井废水及压裂返排液，其主要污染因子为COD、石油类及悬浮物等。吉康脱水站现有的废水处理系统专门针对油田采出水及试油作业废水设计，采用“自然沉降除油+混凝气浮+多级过滤”的成熟工艺，对石油类及悬浮杂质具有极高的去除效率。经水质比对，本项目产生的废水水质特征与吉康脱水站常规处理介质完全相符，不涉及重金属或其他难降解有毒有害物质；因此，本项目废水依托吉康脱水站集中处理，在水质处理工艺及处理规模上均完全适配，依托切实可行。</w:t>
            </w:r>
          </w:p>
          <w:p w14:paraId="713E81B8">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 废水拉运罐车防渗、防漏及应急装置要求：为坚决杜绝废水在拉运途中发生跑冒滴漏等二次污染风险，本项目废水转运必须使用专用的密闭吸污罐车。明确要求拉运罐车罐体内部必须内衬 HDPE膜，以有效防止高盐、高矿化度废水对罐体的腐蚀渗漏。同时，每辆转运车必须随车配备专用的应急封堵工具（如木楔、橡胶垫、堵漏带等）以及吸油毡、铁锹等应急物资。出场前须严格检查卸料阀门密闭性，严禁车辆“带病”上路。</w:t>
            </w:r>
          </w:p>
          <w:p w14:paraId="56062D35">
            <w:pPr>
              <w:widowControl w:val="0"/>
              <w:kinsoku/>
              <w:spacing w:line="500" w:lineRule="exact"/>
              <w:ind w:firstLine="480" w:firstLineChars="200"/>
              <w:jc w:val="both"/>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 落实严格的废水转运台账制度： 建设单位及运输单位必须建立严格的废水转运台账与联单管理制度，形成管理闭环。转运台账必须逐车、详细记录废水的运输时间、拉运数量（体积及吨位）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以及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最终的接收单位（吉康脱水站）。台账需由发运方、运输司机及接收方三方签字确认存档，备生态环境部门日常监督检查，确保项目废水去向100%可追溯。</w:t>
            </w:r>
          </w:p>
          <w:p w14:paraId="4675A2AC">
            <w:pPr>
              <w:widowControl w:val="0"/>
              <w:kinsoku/>
              <w:spacing w:line="500" w:lineRule="exact"/>
              <w:jc w:val="both"/>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4.3废水运输至</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吉康</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脱水站处理后回注的保障性措施</w:t>
            </w:r>
          </w:p>
          <w:p w14:paraId="29EE7C46">
            <w:pPr>
              <w:widowControl/>
              <w:kinsoku/>
              <w:spacing w:line="360" w:lineRule="auto"/>
              <w:ind w:left="39" w:right="33" w:firstLine="496"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据《关于进一步加强石油天然气行业环境影响评价管理的通知》（环办环评函</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〔2019〕910号）要求：“涉及废水回注的，应当论证回注的环境可行性，采取切实可</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行的地下水污染防治和监控措施，不得回注与油气开采无关的</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废水，严禁造成地下水</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污染。在相关行业污染控制标准发布前，回注的开采废水应当</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经处理并符合《碎屑岩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油藏注水水质推荐指标及分析方法》（SY/T</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5329</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-2022</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中</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标准要求后回注，同步采取切</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实可行措施防治污染。回注目的层应当为地质构造封闭地层，</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一般应当回注到现役油</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气藏或枯竭废弃油气藏”。</w:t>
            </w:r>
          </w:p>
          <w:p w14:paraId="3D225076">
            <w:pPr>
              <w:widowControl/>
              <w:kinsoku/>
              <w:spacing w:line="360" w:lineRule="auto"/>
              <w:ind w:left="37" w:right="26" w:firstLine="500"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本项目回注的采出水经</w:t>
            </w:r>
            <w:r>
              <w:rPr>
                <w:rFonts w:hint="default" w:ascii="Times New Roman" w:hAnsi="Times New Roman" w:eastAsia="宋体" w:cs="Times New Roman"/>
                <w:color w:val="000000" w:themeColor="text1"/>
                <w:spacing w:val="5"/>
                <w:sz w:val="24"/>
                <w:szCs w:val="24"/>
                <w:lang w:val="en-US" w:eastAsia="zh-CN"/>
                <w14:textFill>
                  <w14:solidFill>
                    <w14:schemeClr w14:val="tx1"/>
                  </w14:solidFill>
                </w14:textFill>
              </w:rPr>
              <w:t>吉康</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脱水站一体化污水撬装装置处理达到《碎屑岩油藏注</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水水质指标技术要求及分析方法》（</w:t>
            </w:r>
            <w:r>
              <w:rPr>
                <w:rFonts w:hint="default" w:ascii="Times New Roman" w:hAnsi="Times New Roman" w:eastAsia="宋体" w:cs="Times New Roman"/>
                <w:color w:val="000000" w:themeColor="text1"/>
                <w:sz w:val="24"/>
                <w:szCs w:val="24"/>
                <w:lang w:eastAsia="zh-CN"/>
                <w14:textFill>
                  <w14:solidFill>
                    <w14:schemeClr w14:val="tx1"/>
                  </w14:solidFill>
                </w14:textFill>
              </w:rPr>
              <w:t>SY</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/T5329</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-2022）</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中</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标准要求，根据建设单位提供的</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开发利用方案，回注层系与本次拟开发含油层位于同一层系，属于</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现役油藏，地质构</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造封闭，回注深度可达到 3500m~3800m，回注油层与地下水处于不同层系，远远超出</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含水层的深度。本项目采取了切实可行的地下水污染防治措施，</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在钻井过程中对潜水</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所在的地层进行了水泥浆固井，固井深度远远超过了承压水埋深</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，可以确保井壁不会</w:t>
            </w:r>
            <w:r>
              <w:rPr>
                <w:rFonts w:hint="default" w:ascii="Times New Roman" w:hAnsi="Times New Roman" w:eastAsia="宋体" w:cs="Times New Roman"/>
                <w:color w:val="000000" w:themeColor="text1"/>
                <w:spacing w:val="5"/>
                <w:sz w:val="24"/>
                <w:szCs w:val="24"/>
                <w:lang w:eastAsia="zh-CN"/>
                <w14:textFill>
                  <w14:solidFill>
                    <w14:schemeClr w14:val="tx1"/>
                  </w14:solidFill>
                </w14:textFill>
              </w:rPr>
              <w:t>发生侧漏，有效隔离含水层与井内回注水的交换，有效保护地下</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水层。</w:t>
            </w:r>
          </w:p>
          <w:bookmarkEnd w:id="26"/>
          <w:p w14:paraId="6875A032">
            <w:pPr>
              <w:widowControl/>
              <w:tabs>
                <w:tab w:val="left" w:pos="4584"/>
              </w:tabs>
              <w:kinsoku/>
              <w:spacing w:line="500" w:lineRule="exact"/>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5.地下水和土壤环境保护措施</w:t>
            </w:r>
          </w:p>
          <w:p w14:paraId="038F9C7F">
            <w:pPr>
              <w:widowControl/>
              <w:tabs>
                <w:tab w:val="left" w:pos="4584"/>
              </w:tabs>
              <w:kinsoku/>
              <w:spacing w:line="500" w:lineRule="exact"/>
              <w:ind w:firstLine="464" w:firstLineChars="200"/>
              <w:jc w:val="both"/>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根据《环境影响评价技术导则 地下水环境》（HJ610-2016）和《石油化工工程防渗技术规范》（GB/T50934-2013）的相关规定，本工程拟对厂区进行分区地下水污染防治。</w:t>
            </w:r>
          </w:p>
          <w:p w14:paraId="3773710E">
            <w:pPr>
              <w:widowControl/>
              <w:tabs>
                <w:tab w:val="left" w:pos="4584"/>
              </w:tabs>
              <w:kinsoku/>
              <w:spacing w:line="500" w:lineRule="exact"/>
              <w:ind w:firstLine="464" w:firstLineChars="200"/>
              <w:jc w:val="both"/>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（1）施工期间钻井井场分为重点防渗区、一般防渗区和简单防渗区。其中柴油储罐、发电</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机</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房、不落地系统、泥浆储罐区、岩屑储罐区、危险废物</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暂</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存区等区域为重点防渗区</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，采用防渗膜进行防渗，满足等效黏土防渗层Mb≥6.0m，K＜1×10</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-7</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cm/s的防渗性能；</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防渗收集池</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为一般防渗区，铺设HDPE防渗膜（等效黏土防渗层Mb≥1.5m，K≤1×10</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-7</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cm/s）；水罐</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区、库房和值班房等其他区域为简单防渗区。</w:t>
            </w:r>
          </w:p>
          <w:p w14:paraId="62C4F369">
            <w:pPr>
              <w:widowControl/>
              <w:tabs>
                <w:tab w:val="left" w:pos="4584"/>
              </w:tabs>
              <w:kinsoku/>
              <w:spacing w:line="500" w:lineRule="exact"/>
              <w:ind w:firstLine="464" w:firstLineChars="200"/>
              <w:jc w:val="both"/>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试油井场分为重点防渗区和简单防渗区。其中发电</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机</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房、采出液储罐、试油废水罐为重点防渗区，铺设HDPE防渗膜，值班房为简单防渗区。分区防渗情况详见表5-1。</w:t>
            </w:r>
          </w:p>
          <w:p w14:paraId="38BAEE5E">
            <w:pPr>
              <w:pStyle w:val="7"/>
              <w:widowControl w:val="0"/>
              <w:kinsoku/>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表5-1 项目分区防渗表</w:t>
            </w:r>
          </w:p>
          <w:tbl>
            <w:tblPr>
              <w:tblStyle w:val="29"/>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0"/>
              <w:gridCol w:w="1264"/>
              <w:gridCol w:w="2837"/>
              <w:gridCol w:w="3177"/>
            </w:tblGrid>
            <w:tr w14:paraId="56DEA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tcBorders>
                    <w:top w:val="single" w:color="auto" w:sz="4" w:space="0"/>
                    <w:left w:val="single" w:color="auto" w:sz="0" w:space="0"/>
                  </w:tcBorders>
                  <w:vAlign w:val="center"/>
                </w:tcPr>
                <w:p w14:paraId="76576336">
                  <w:pPr>
                    <w:pStyle w:val="27"/>
                    <w:kinsoku/>
                    <w:contextualSpacing/>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时期</w:t>
                  </w:r>
                </w:p>
              </w:tc>
              <w:tc>
                <w:tcPr>
                  <w:tcW w:w="1264" w:type="dxa"/>
                  <w:tcBorders>
                    <w:top w:val="single" w:color="auto" w:sz="4" w:space="0"/>
                  </w:tcBorders>
                  <w:vAlign w:val="center"/>
                </w:tcPr>
                <w:p w14:paraId="1186115F">
                  <w:pPr>
                    <w:pStyle w:val="27"/>
                    <w:kinsoku/>
                    <w:contextualSpacing/>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防渗分区</w:t>
                  </w:r>
                </w:p>
              </w:tc>
              <w:tc>
                <w:tcPr>
                  <w:tcW w:w="2837" w:type="dxa"/>
                  <w:tcBorders>
                    <w:top w:val="single" w:color="auto" w:sz="4" w:space="0"/>
                  </w:tcBorders>
                  <w:vAlign w:val="center"/>
                </w:tcPr>
                <w:p w14:paraId="5F551BA3">
                  <w:pPr>
                    <w:pStyle w:val="27"/>
                    <w:kinsoku/>
                    <w:contextualSpacing/>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生产单元</w:t>
                  </w:r>
                </w:p>
              </w:tc>
              <w:tc>
                <w:tcPr>
                  <w:tcW w:w="3177" w:type="dxa"/>
                  <w:tcBorders>
                    <w:top w:val="single" w:color="auto" w:sz="4" w:space="0"/>
                    <w:right w:val="single" w:color="auto" w:sz="4" w:space="0"/>
                  </w:tcBorders>
                  <w:vAlign w:val="center"/>
                </w:tcPr>
                <w:p w14:paraId="5F1229E9">
                  <w:pPr>
                    <w:pStyle w:val="27"/>
                    <w:kinsoku/>
                    <w:contextualSpacing/>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防渗性能要求</w:t>
                  </w:r>
                </w:p>
              </w:tc>
            </w:tr>
            <w:tr w14:paraId="46D7D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restart"/>
                  <w:tcBorders>
                    <w:left w:val="single" w:color="auto" w:sz="4" w:space="0"/>
                  </w:tcBorders>
                  <w:vAlign w:val="center"/>
                </w:tcPr>
                <w:p w14:paraId="33772F0C">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钻井井场</w:t>
                  </w:r>
                </w:p>
              </w:tc>
              <w:tc>
                <w:tcPr>
                  <w:tcW w:w="1264" w:type="dxa"/>
                  <w:vAlign w:val="center"/>
                </w:tcPr>
                <w:p w14:paraId="7E54BD8A">
                  <w:pPr>
                    <w:pStyle w:val="27"/>
                    <w:kinsoku/>
                    <w:contextualSpacing/>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重点防渗区</w:t>
                  </w:r>
                </w:p>
              </w:tc>
              <w:tc>
                <w:tcPr>
                  <w:tcW w:w="2837" w:type="dxa"/>
                  <w:vAlign w:val="center"/>
                </w:tcPr>
                <w:p w14:paraId="13F863B4">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柴油罐区、发电机房、不落地系统、泥浆</w:t>
                  </w:r>
                  <w:r>
                    <w:rPr>
                      <w:rFonts w:hint="default" w:ascii="Times New Roman" w:hAnsi="Times New Roman" w:eastAsia="宋体" w:cs="Times New Roman"/>
                      <w:color w:val="000000" w:themeColor="text1"/>
                      <w:lang w:val="en-US" w:eastAsia="zh-CN"/>
                      <w14:textFill>
                        <w14:solidFill>
                          <w14:schemeClr w14:val="tx1"/>
                        </w14:solidFill>
                      </w14:textFill>
                    </w:rPr>
                    <w:t>储</w:t>
                  </w:r>
                  <w:r>
                    <w:rPr>
                      <w:rFonts w:hint="default" w:ascii="Times New Roman" w:hAnsi="Times New Roman" w:eastAsia="宋体" w:cs="Times New Roman"/>
                      <w:color w:val="000000" w:themeColor="text1"/>
                      <w:lang w:eastAsia="zh-CN"/>
                      <w14:textFill>
                        <w14:solidFill>
                          <w14:schemeClr w14:val="tx1"/>
                        </w14:solidFill>
                      </w14:textFill>
                    </w:rPr>
                    <w:t>罐区、岩屑罐区、危险废物</w:t>
                  </w:r>
                  <w:r>
                    <w:rPr>
                      <w:rFonts w:hint="default" w:ascii="Times New Roman" w:hAnsi="Times New Roman" w:eastAsia="宋体" w:cs="Times New Roman"/>
                      <w:color w:val="000000" w:themeColor="text1"/>
                      <w:lang w:val="en-US" w:eastAsia="zh-CN"/>
                      <w14:textFill>
                        <w14:solidFill>
                          <w14:schemeClr w14:val="tx1"/>
                        </w14:solidFill>
                      </w14:textFill>
                    </w:rPr>
                    <w:t>暂</w:t>
                  </w:r>
                  <w:r>
                    <w:rPr>
                      <w:rFonts w:hint="default" w:ascii="Times New Roman" w:hAnsi="Times New Roman" w:eastAsia="宋体" w:cs="Times New Roman"/>
                      <w:color w:val="000000" w:themeColor="text1"/>
                      <w:lang w:eastAsia="zh-CN"/>
                      <w14:textFill>
                        <w14:solidFill>
                          <w14:schemeClr w14:val="tx1"/>
                        </w14:solidFill>
                      </w14:textFill>
                    </w:rPr>
                    <w:t>存区</w:t>
                  </w:r>
                </w:p>
              </w:tc>
              <w:tc>
                <w:tcPr>
                  <w:tcW w:w="3177" w:type="dxa"/>
                  <w:tcBorders>
                    <w:right w:val="single" w:color="auto" w:sz="4" w:space="0"/>
                  </w:tcBorders>
                  <w:vAlign w:val="center"/>
                </w:tcPr>
                <w:p w14:paraId="3B159A93">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Cs w:val="18"/>
                      <w:lang w:val="zh-CN" w:eastAsia="zh-CN"/>
                      <w14:textFill>
                        <w14:solidFill>
                          <w14:schemeClr w14:val="tx1"/>
                        </w14:solidFill>
                      </w14:textFill>
                    </w:rPr>
                    <w:t>等效黏土防渗层Mb≥</w:t>
                  </w:r>
                  <w:r>
                    <w:rPr>
                      <w:rFonts w:hint="default" w:ascii="Times New Roman" w:hAnsi="Times New Roman" w:eastAsia="宋体" w:cs="Times New Roman"/>
                      <w:color w:val="000000" w:themeColor="text1"/>
                      <w:szCs w:val="18"/>
                      <w:lang w:eastAsia="zh-CN"/>
                      <w14:textFill>
                        <w14:solidFill>
                          <w14:schemeClr w14:val="tx1"/>
                        </w14:solidFill>
                      </w14:textFill>
                    </w:rPr>
                    <w:t>6.0</w:t>
                  </w:r>
                  <w:r>
                    <w:rPr>
                      <w:rFonts w:hint="default" w:ascii="Times New Roman" w:hAnsi="Times New Roman" w:eastAsia="宋体" w:cs="Times New Roman"/>
                      <w:color w:val="000000" w:themeColor="text1"/>
                      <w:szCs w:val="18"/>
                      <w:lang w:val="zh-CN" w:eastAsia="zh-CN"/>
                      <w14:textFill>
                        <w14:solidFill>
                          <w14:schemeClr w14:val="tx1"/>
                        </w14:solidFill>
                      </w14:textFill>
                    </w:rPr>
                    <w:t>m，K＜1×10</w:t>
                  </w:r>
                  <w:r>
                    <w:rPr>
                      <w:rFonts w:hint="default" w:ascii="Times New Roman" w:hAnsi="Times New Roman" w:eastAsia="宋体" w:cs="Times New Roman"/>
                      <w:color w:val="000000" w:themeColor="text1"/>
                      <w:szCs w:val="18"/>
                      <w:vertAlign w:val="superscript"/>
                      <w:lang w:val="zh-CN" w:eastAsia="zh-CN"/>
                      <w14:textFill>
                        <w14:solidFill>
                          <w14:schemeClr w14:val="tx1"/>
                        </w14:solidFill>
                      </w14:textFill>
                    </w:rPr>
                    <w:t>-7</w:t>
                  </w:r>
                  <w:r>
                    <w:rPr>
                      <w:rFonts w:hint="default" w:ascii="Times New Roman" w:hAnsi="Times New Roman" w:eastAsia="宋体" w:cs="Times New Roman"/>
                      <w:color w:val="000000" w:themeColor="text1"/>
                      <w:szCs w:val="18"/>
                      <w:lang w:val="zh-CN" w:eastAsia="zh-CN"/>
                      <w14:textFill>
                        <w14:solidFill>
                          <w14:schemeClr w14:val="tx1"/>
                        </w14:solidFill>
                      </w14:textFill>
                    </w:rPr>
                    <w:t>cm/s，或参照GB</w:t>
                  </w:r>
                  <w:r>
                    <w:rPr>
                      <w:rFonts w:hint="default" w:ascii="Times New Roman" w:hAnsi="Times New Roman" w:eastAsia="宋体" w:cs="Times New Roman"/>
                      <w:color w:val="000000" w:themeColor="text1"/>
                      <w:szCs w:val="18"/>
                      <w:lang w:eastAsia="zh-CN"/>
                      <w14:textFill>
                        <w14:solidFill>
                          <w14:schemeClr w14:val="tx1"/>
                        </w14:solidFill>
                      </w14:textFill>
                    </w:rPr>
                    <w:t>18598</w:t>
                  </w:r>
                  <w:r>
                    <w:rPr>
                      <w:rFonts w:hint="default" w:ascii="Times New Roman" w:hAnsi="Times New Roman" w:eastAsia="宋体" w:cs="Times New Roman"/>
                      <w:color w:val="000000" w:themeColor="text1"/>
                      <w:szCs w:val="18"/>
                      <w:lang w:val="zh-CN" w:eastAsia="zh-CN"/>
                      <w14:textFill>
                        <w14:solidFill>
                          <w14:schemeClr w14:val="tx1"/>
                        </w14:solidFill>
                      </w14:textFill>
                    </w:rPr>
                    <w:t>执行</w:t>
                  </w:r>
                </w:p>
              </w:tc>
            </w:tr>
            <w:tr w14:paraId="725D5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continue"/>
                  <w:tcBorders>
                    <w:left w:val="single" w:color="auto" w:sz="4" w:space="0"/>
                  </w:tcBorders>
                  <w:vAlign w:val="center"/>
                </w:tcPr>
                <w:p w14:paraId="6253D1BC">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p>
              </w:tc>
              <w:tc>
                <w:tcPr>
                  <w:tcW w:w="1264" w:type="dxa"/>
                  <w:vAlign w:val="center"/>
                </w:tcPr>
                <w:p w14:paraId="44A205CB">
                  <w:pPr>
                    <w:pStyle w:val="27"/>
                    <w:kinsoku/>
                    <w:contextualSpacing/>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4"/>
                      <w14:textFill>
                        <w14:solidFill>
                          <w14:schemeClr w14:val="tx1"/>
                        </w14:solidFill>
                      </w14:textFill>
                    </w:rPr>
                    <w:t>简单防渗区</w:t>
                  </w:r>
                </w:p>
              </w:tc>
              <w:tc>
                <w:tcPr>
                  <w:tcW w:w="2837" w:type="dxa"/>
                  <w:vAlign w:val="center"/>
                </w:tcPr>
                <w:p w14:paraId="16C51730">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水罐区、值班房、库房、材料储存区、钻井区</w:t>
                  </w:r>
                </w:p>
              </w:tc>
              <w:tc>
                <w:tcPr>
                  <w:tcW w:w="3177" w:type="dxa"/>
                  <w:tcBorders>
                    <w:right w:val="single" w:color="auto" w:sz="4" w:space="0"/>
                  </w:tcBorders>
                  <w:vAlign w:val="center"/>
                </w:tcPr>
                <w:p w14:paraId="22174922">
                  <w:pPr>
                    <w:pStyle w:val="27"/>
                    <w:kinsoku/>
                    <w:contextualSpacing/>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铺垫戈壁料</w:t>
                  </w:r>
                </w:p>
              </w:tc>
            </w:tr>
            <w:tr w14:paraId="37033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tcBorders>
                    <w:left w:val="single" w:color="auto" w:sz="4" w:space="0"/>
                  </w:tcBorders>
                  <w:vAlign w:val="center"/>
                </w:tcPr>
                <w:p w14:paraId="01B05E28">
                  <w:pPr>
                    <w:pStyle w:val="27"/>
                    <w:kinsoku/>
                    <w:contextualSpacing/>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生活营地</w:t>
                  </w:r>
                </w:p>
              </w:tc>
              <w:tc>
                <w:tcPr>
                  <w:tcW w:w="1264" w:type="dxa"/>
                  <w:vAlign w:val="center"/>
                </w:tcPr>
                <w:p w14:paraId="6618D41C">
                  <w:pPr>
                    <w:pStyle w:val="27"/>
                    <w:kinsoku/>
                    <w:contextualSpacing/>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一般防渗区</w:t>
                  </w:r>
                </w:p>
              </w:tc>
              <w:tc>
                <w:tcPr>
                  <w:tcW w:w="2837" w:type="dxa"/>
                  <w:vAlign w:val="center"/>
                </w:tcPr>
                <w:p w14:paraId="618E1D20">
                  <w:pPr>
                    <w:pStyle w:val="27"/>
                    <w:kinsoku/>
                    <w:contextualSpacing/>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防渗收集池</w:t>
                  </w:r>
                </w:p>
              </w:tc>
              <w:tc>
                <w:tcPr>
                  <w:tcW w:w="3177" w:type="dxa"/>
                  <w:tcBorders>
                    <w:right w:val="single" w:color="auto" w:sz="4" w:space="0"/>
                  </w:tcBorders>
                  <w:vAlign w:val="center"/>
                </w:tcPr>
                <w:p w14:paraId="24003522">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等效黏土防渗层MB≥1.5m，K≤1.0×10</w:t>
                  </w:r>
                  <w:r>
                    <w:rPr>
                      <w:rFonts w:hint="default" w:ascii="Times New Roman" w:hAnsi="Times New Roman" w:eastAsia="宋体" w:cs="Times New Roman"/>
                      <w:color w:val="000000" w:themeColor="text1"/>
                      <w:vertAlign w:val="superscript"/>
                      <w:lang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cm/s</w:t>
                  </w:r>
                  <w:r>
                    <w:rPr>
                      <w:rFonts w:hint="default" w:ascii="Times New Roman" w:hAnsi="Times New Roman" w:eastAsia="宋体" w:cs="Times New Roman"/>
                      <w:color w:val="000000" w:themeColor="text1"/>
                      <w:szCs w:val="18"/>
                      <w:lang w:val="zh-CN" w:eastAsia="zh-CN"/>
                      <w14:textFill>
                        <w14:solidFill>
                          <w14:schemeClr w14:val="tx1"/>
                        </w14:solidFill>
                      </w14:textFill>
                    </w:rPr>
                    <w:t>，或参照GB16889执行</w:t>
                  </w:r>
                </w:p>
              </w:tc>
            </w:tr>
            <w:tr w14:paraId="17A2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restart"/>
                  <w:tcBorders>
                    <w:left w:val="single" w:color="auto" w:sz="4" w:space="0"/>
                  </w:tcBorders>
                  <w:vAlign w:val="center"/>
                </w:tcPr>
                <w:p w14:paraId="108AB394">
                  <w:pPr>
                    <w:pStyle w:val="27"/>
                    <w:kinsoku/>
                    <w:contextualSpacing/>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试油井场</w:t>
                  </w:r>
                </w:p>
              </w:tc>
              <w:tc>
                <w:tcPr>
                  <w:tcW w:w="1264" w:type="dxa"/>
                  <w:vAlign w:val="center"/>
                </w:tcPr>
                <w:p w14:paraId="3417FDF9">
                  <w:pPr>
                    <w:pStyle w:val="27"/>
                    <w:kinsoku/>
                    <w:contextualSpacing/>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重点防渗区</w:t>
                  </w:r>
                </w:p>
              </w:tc>
              <w:tc>
                <w:tcPr>
                  <w:tcW w:w="2837" w:type="dxa"/>
                  <w:vAlign w:val="center"/>
                </w:tcPr>
                <w:p w14:paraId="1776FEB2">
                  <w:pPr>
                    <w:pStyle w:val="27"/>
                    <w:kinsoku/>
                    <w:contextualSpacing/>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发电</w:t>
                  </w:r>
                  <w:r>
                    <w:rPr>
                      <w:rFonts w:hint="default" w:ascii="Times New Roman" w:hAnsi="Times New Roman" w:eastAsia="宋体" w:cs="Times New Roman"/>
                      <w:color w:val="000000" w:themeColor="text1"/>
                      <w:lang w:val="en-US" w:eastAsia="zh-CN"/>
                      <w14:textFill>
                        <w14:solidFill>
                          <w14:schemeClr w14:val="tx1"/>
                        </w14:solidFill>
                      </w14:textFill>
                    </w:rPr>
                    <w:t>机</w:t>
                  </w:r>
                  <w:r>
                    <w:rPr>
                      <w:rFonts w:hint="default" w:ascii="Times New Roman" w:hAnsi="Times New Roman" w:eastAsia="宋体" w:cs="Times New Roman"/>
                      <w:color w:val="000000" w:themeColor="text1"/>
                      <w:lang w:eastAsia="zh-CN"/>
                      <w14:textFill>
                        <w14:solidFill>
                          <w14:schemeClr w14:val="tx1"/>
                        </w14:solidFill>
                      </w14:textFill>
                    </w:rPr>
                    <w:t>房、采出液储罐区、试油废水罐</w:t>
                  </w:r>
                </w:p>
              </w:tc>
              <w:tc>
                <w:tcPr>
                  <w:tcW w:w="3177" w:type="dxa"/>
                  <w:tcBorders>
                    <w:right w:val="single" w:color="auto" w:sz="4" w:space="0"/>
                  </w:tcBorders>
                  <w:vAlign w:val="center"/>
                </w:tcPr>
                <w:p w14:paraId="4B159FD8">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Cs w:val="18"/>
                      <w:lang w:val="zh-CN" w:eastAsia="zh-CN"/>
                      <w14:textFill>
                        <w14:solidFill>
                          <w14:schemeClr w14:val="tx1"/>
                        </w14:solidFill>
                      </w14:textFill>
                    </w:rPr>
                    <w:t>等效黏土防渗层Mb≥</w:t>
                  </w:r>
                  <w:r>
                    <w:rPr>
                      <w:rFonts w:hint="default" w:ascii="Times New Roman" w:hAnsi="Times New Roman" w:eastAsia="宋体" w:cs="Times New Roman"/>
                      <w:color w:val="000000" w:themeColor="text1"/>
                      <w:szCs w:val="18"/>
                      <w:lang w:eastAsia="zh-CN"/>
                      <w14:textFill>
                        <w14:solidFill>
                          <w14:schemeClr w14:val="tx1"/>
                        </w14:solidFill>
                      </w14:textFill>
                    </w:rPr>
                    <w:t>6.0</w:t>
                  </w:r>
                  <w:r>
                    <w:rPr>
                      <w:rFonts w:hint="default" w:ascii="Times New Roman" w:hAnsi="Times New Roman" w:eastAsia="宋体" w:cs="Times New Roman"/>
                      <w:color w:val="000000" w:themeColor="text1"/>
                      <w:szCs w:val="18"/>
                      <w:lang w:val="zh-CN" w:eastAsia="zh-CN"/>
                      <w14:textFill>
                        <w14:solidFill>
                          <w14:schemeClr w14:val="tx1"/>
                        </w14:solidFill>
                      </w14:textFill>
                    </w:rPr>
                    <w:t>m，K＜1×10</w:t>
                  </w:r>
                  <w:r>
                    <w:rPr>
                      <w:rFonts w:hint="default" w:ascii="Times New Roman" w:hAnsi="Times New Roman" w:eastAsia="宋体" w:cs="Times New Roman"/>
                      <w:color w:val="000000" w:themeColor="text1"/>
                      <w:szCs w:val="18"/>
                      <w:vertAlign w:val="superscript"/>
                      <w:lang w:val="zh-CN" w:eastAsia="zh-CN"/>
                      <w14:textFill>
                        <w14:solidFill>
                          <w14:schemeClr w14:val="tx1"/>
                        </w14:solidFill>
                      </w14:textFill>
                    </w:rPr>
                    <w:t>-7</w:t>
                  </w:r>
                  <w:r>
                    <w:rPr>
                      <w:rFonts w:hint="default" w:ascii="Times New Roman" w:hAnsi="Times New Roman" w:eastAsia="宋体" w:cs="Times New Roman"/>
                      <w:color w:val="000000" w:themeColor="text1"/>
                      <w:szCs w:val="18"/>
                      <w:lang w:val="zh-CN" w:eastAsia="zh-CN"/>
                      <w14:textFill>
                        <w14:solidFill>
                          <w14:schemeClr w14:val="tx1"/>
                        </w14:solidFill>
                      </w14:textFill>
                    </w:rPr>
                    <w:t>cm/s，或参照GB</w:t>
                  </w:r>
                  <w:r>
                    <w:rPr>
                      <w:rFonts w:hint="default" w:ascii="Times New Roman" w:hAnsi="Times New Roman" w:eastAsia="宋体" w:cs="Times New Roman"/>
                      <w:color w:val="000000" w:themeColor="text1"/>
                      <w:szCs w:val="18"/>
                      <w:lang w:eastAsia="zh-CN"/>
                      <w14:textFill>
                        <w14:solidFill>
                          <w14:schemeClr w14:val="tx1"/>
                        </w14:solidFill>
                      </w14:textFill>
                    </w:rPr>
                    <w:t>18598</w:t>
                  </w:r>
                  <w:r>
                    <w:rPr>
                      <w:rFonts w:hint="default" w:ascii="Times New Roman" w:hAnsi="Times New Roman" w:eastAsia="宋体" w:cs="Times New Roman"/>
                      <w:color w:val="000000" w:themeColor="text1"/>
                      <w:szCs w:val="18"/>
                      <w:lang w:val="zh-CN" w:eastAsia="zh-CN"/>
                      <w14:textFill>
                        <w14:solidFill>
                          <w14:schemeClr w14:val="tx1"/>
                        </w14:solidFill>
                      </w14:textFill>
                    </w:rPr>
                    <w:t>执行</w:t>
                  </w:r>
                </w:p>
              </w:tc>
            </w:tr>
            <w:tr w14:paraId="35D27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0" w:hRule="atLeast"/>
                <w:jc w:val="center"/>
              </w:trPr>
              <w:tc>
                <w:tcPr>
                  <w:tcW w:w="1100" w:type="dxa"/>
                  <w:vMerge w:val="continue"/>
                  <w:tcBorders>
                    <w:left w:val="single" w:color="auto" w:sz="4" w:space="0"/>
                    <w:bottom w:val="single" w:color="auto" w:sz="4" w:space="0"/>
                  </w:tcBorders>
                  <w:vAlign w:val="center"/>
                </w:tcPr>
                <w:p w14:paraId="3F3DD453">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p>
              </w:tc>
              <w:tc>
                <w:tcPr>
                  <w:tcW w:w="1264" w:type="dxa"/>
                  <w:tcBorders>
                    <w:bottom w:val="single" w:color="auto" w:sz="4" w:space="0"/>
                  </w:tcBorders>
                  <w:vAlign w:val="center"/>
                </w:tcPr>
                <w:p w14:paraId="42074945">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4"/>
                      <w:lang w:eastAsia="zh-CN"/>
                      <w14:textFill>
                        <w14:solidFill>
                          <w14:schemeClr w14:val="tx1"/>
                        </w14:solidFill>
                      </w14:textFill>
                    </w:rPr>
                    <w:t>简单防渗区</w:t>
                  </w:r>
                </w:p>
              </w:tc>
              <w:tc>
                <w:tcPr>
                  <w:tcW w:w="2837" w:type="dxa"/>
                  <w:tcBorders>
                    <w:bottom w:val="single" w:color="auto" w:sz="4" w:space="0"/>
                  </w:tcBorders>
                  <w:vAlign w:val="center"/>
                </w:tcPr>
                <w:p w14:paraId="2C92C318">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库房、值班房</w:t>
                  </w:r>
                </w:p>
              </w:tc>
              <w:tc>
                <w:tcPr>
                  <w:tcW w:w="3177" w:type="dxa"/>
                  <w:tcBorders>
                    <w:bottom w:val="single" w:color="auto" w:sz="4" w:space="0"/>
                    <w:right w:val="single" w:color="auto" w:sz="4" w:space="0"/>
                  </w:tcBorders>
                  <w:vAlign w:val="center"/>
                </w:tcPr>
                <w:p w14:paraId="15534032">
                  <w:pPr>
                    <w:pStyle w:val="27"/>
                    <w:kinsoku/>
                    <w:contextualSpacing/>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铺垫戈壁料</w:t>
                  </w:r>
                </w:p>
              </w:tc>
            </w:tr>
          </w:tbl>
          <w:p w14:paraId="40F58B0E">
            <w:pPr>
              <w:widowControl/>
              <w:tabs>
                <w:tab w:val="left" w:pos="4584"/>
              </w:tabs>
              <w:kinsoku/>
              <w:spacing w:line="500" w:lineRule="exact"/>
              <w:ind w:firstLine="464" w:firstLineChars="200"/>
              <w:jc w:val="both"/>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分区防渗验收标准与施工质量控制要求：为切实阻断污染物下渗途径，保护区域地下水及土壤环境，本项目严格落实分区防渗，并明确以下验收及施工质控标准：</w:t>
            </w:r>
          </w:p>
          <w:p w14:paraId="1B334102">
            <w:pPr>
              <w:widowControl/>
              <w:tabs>
                <w:tab w:val="left" w:pos="4584"/>
              </w:tabs>
              <w:kinsoku/>
              <w:spacing w:line="500" w:lineRule="exact"/>
              <w:ind w:firstLine="464" w:firstLineChars="200"/>
              <w:jc w:val="both"/>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①明确分区防渗验收标准： 泥浆不落地系统设备区、危废暂存间、油罐区及废水罐区等高风险涉油、涉水区域划定为重点防渗区，其防渗层结构必须等效于厚度≥6.0m的黏土防渗层，严格规定重点防渗区渗透系数验收标准为 ≤10⁻¹⁰ cm/s；井场其他一般施工作业区域、材料堆放区等划分为一般防渗区，其防渗层需等效于厚度≥1.5m的黏土防渗层，规定一般防渗区渗透系数验收标准为 ≤10⁻⁷ cm/s。</w:t>
            </w:r>
          </w:p>
          <w:p w14:paraId="3FC8F69B">
            <w:pPr>
              <w:widowControl/>
              <w:tabs>
                <w:tab w:val="left" w:pos="4584"/>
              </w:tabs>
              <w:kinsoku/>
              <w:spacing w:line="500" w:lineRule="exact"/>
              <w:ind w:firstLine="464" w:firstLineChars="200"/>
              <w:jc w:val="both"/>
              <w:rPr>
                <w:rFonts w:hint="default" w:ascii="Times New Roman" w:hAnsi="Times New Roman" w:eastAsia="宋体" w:cs="Times New Roman"/>
                <w:color w:val="000000" w:themeColor="text1"/>
                <w:spacing w:val="-4"/>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②规定防渗施工质量控制要求： 防渗工程施工期间必须实施质量监控。在铺设HDPE防渗膜前，基层必须平整压实并清除所有尖锐石块及根茬。铺设过程中，必须保证防渗膜铺设无破损、无折皱、贴合紧密；对于膜与膜之间的拼接缝，必须采用专业的双缝热熔焊接工艺，严格规定其搭接宽度必须 ≥10cm。施工完毕后，所有焊缝必须100%通过气密性（如真空充气法）检测验收，确保防渗体系的绝对密封与工程质量。</w:t>
            </w:r>
          </w:p>
          <w:p w14:paraId="0ADF3A0D">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（2）钻井时采用套管与地层隔离开、并在套管与地层之间注入水泥进行固井，水泥浆返至地面，封隔疏松地层和水层。</w:t>
            </w:r>
          </w:p>
          <w:p w14:paraId="30C2BC52">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本项目钻井过程中采用下套管注水泥固井的完井方式进行水泥固井，将含水层与井筒分隔开，一开环空水泥浆均返至地面，对含水层进行了固封处理，同时严格要求套管下入深度、确保固井质量等措施，可有效控制钻井液在含水层中的漏失。钻井时严格落实套管下入深度合格和固井质量合格，同时定期检查固井质量，发现固井质量不合格应及时采取措施，保证固井质量合格，可有效防止地下水污染。</w:t>
            </w:r>
          </w:p>
          <w:p w14:paraId="39BF671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（4）对产生的洗井废水、压裂返排液、生活污水、钻井岩屑、沾油废防渗材料、废润滑油、废润滑油桶及生活垃圾严格管理，禁止乱排。</w:t>
            </w:r>
          </w:p>
          <w:p w14:paraId="7EE293E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废水均得以妥善处置，最终实现达标排放或回用，固体废物均得到妥善处置。地下水、土壤环境保护措施均为技术可行、经济合理、稳定可靠、便于实施的成熟措施，在钻井过程中得到广泛应用。采取上述措施后，钻试工程不会对地下水环境和土壤环境造成不利影响。</w:t>
            </w:r>
          </w:p>
          <w:p w14:paraId="5550E7BF">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5.1废（污）水拉运处理管控措施和要求</w:t>
            </w:r>
          </w:p>
          <w:p w14:paraId="1BD77AB5">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（1）台账管理：必须建立废（污）水处理台账，详细记录废水来源、处理时间、处理方法、处理效果等信息。台账应由专人负责管理，并保证其真实性和完整性。</w:t>
            </w:r>
          </w:p>
          <w:p w14:paraId="348B2FF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全过程控制：应严格控制废（污）水处理的全过程，确保不出现二次污染，对于每一环节，应有明确的处理标准和操作规程，并设立专门的监测点进行质量抽查，一旦发现异常，立即进行处理，防止问题扩大。</w:t>
            </w:r>
          </w:p>
          <w:p w14:paraId="5ABB279C">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（3）防止肆意排放：所有废（污）水在拉运和处理过程中，必须按照国家或地方的相关法规和标准进行，确保废水不直接排入环境。</w:t>
            </w:r>
          </w:p>
          <w:p w14:paraId="58EB7D90">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（4）人员培训：对从事废（污）水处理的人员进行专业培训确保他们了解处理流程和处理设备的使用方法，能够独立处理常见问题，</w:t>
            </w:r>
          </w:p>
          <w:p w14:paraId="5D3CDAB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（5）安全防护：处理废（污）水时，应做好安全防护工作，如佩戴专门的面具、手套等防护用具，避免直接接触废水。另外，应定期检查处理设备的运行状况，确保其正常运行。</w:t>
            </w:r>
          </w:p>
          <w:p w14:paraId="02A0BEA3">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6）应急预案：将本项目废（污）水收集、贮存及拉运过程纳入《中国石油天然气股份有限公司吐哈油田分公司准东采油管理区突发环境事件应急预案》统一管理。针对废（污）水泄漏等突发情况，落实相应的应急响应及现场处置措施，并定期开展应急演练，确保应急措施的有效性。</w:t>
            </w:r>
          </w:p>
          <w:p w14:paraId="6BBE203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（7）记录保存：对废水处理的各个阶段都应有相应的记录并加以保存，以便日后查看和跟踪。</w:t>
            </w:r>
          </w:p>
          <w:p w14:paraId="77E7F118">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综上所述，项目废水在采取上述措施后不会对水环境产生不利影响。</w:t>
            </w:r>
          </w:p>
          <w:p w14:paraId="18191F55">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6.噪声污染防治措施</w:t>
            </w:r>
          </w:p>
          <w:p w14:paraId="16D3ABDD">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机械采用低噪声设备；加强设备维护及保养，对噪声较大的设备采取基础减震措施；加强施工场地管理，合理疏导进入施工区的车辆，禁止运输车辆随意高声鸣笛。在采取上述措施后，施工场界噪声可满足《建筑施工噪声排放标准》（GB12523-2025）中表1的噪声排放限值要求〔昼间70dB（A），夜间55dB（A）〕，不会对区域声环境产生明显影响。</w:t>
            </w:r>
          </w:p>
          <w:p w14:paraId="517508AA">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bookmarkStart w:id="27" w:name="_Hlk183349956"/>
            <w:bookmarkStart w:id="28" w:name="_Hlk143015311"/>
            <w:bookmarkStart w:id="29" w:name="_Hlk136795812"/>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7.固体废物处置措施</w:t>
            </w:r>
          </w:p>
          <w:bookmarkEnd w:id="27"/>
          <w:bookmarkEnd w:id="28"/>
          <w:p w14:paraId="11DA3143">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本项目产生的固体废物主要为生活垃圾、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废弃</w:t>
            </w:r>
            <w:r>
              <w:rPr>
                <w:rFonts w:hint="default" w:ascii="Times New Roman" w:hAnsi="Times New Roman" w:eastAsia="宋体" w:cs="Times New Roman"/>
                <w:color w:val="000000" w:themeColor="text1"/>
                <w:sz w:val="24"/>
                <w:szCs w:val="24"/>
                <w:lang w:eastAsia="zh-CN"/>
                <w14:textFill>
                  <w14:solidFill>
                    <w14:schemeClr w14:val="tx1"/>
                  </w14:solidFill>
                </w14:textFill>
              </w:rPr>
              <w:t>钻井泥浆、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钻井</w:t>
            </w:r>
            <w:r>
              <w:rPr>
                <w:rFonts w:hint="default" w:ascii="Times New Roman" w:hAnsi="Times New Roman" w:eastAsia="宋体" w:cs="Times New Roman"/>
                <w:color w:val="000000" w:themeColor="text1"/>
                <w:sz w:val="24"/>
                <w:szCs w:val="24"/>
                <w:lang w:eastAsia="zh-CN"/>
                <w14:textFill>
                  <w14:solidFill>
                    <w14:schemeClr w14:val="tx1"/>
                  </w14:solidFill>
                </w14:textFill>
              </w:rPr>
              <w:t>岩屑、落地油、废防渗材料、废润滑油、废润滑油桶、机械设备废油等。</w:t>
            </w:r>
          </w:p>
          <w:p w14:paraId="7AA08019">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7.1固体废物产生及其处置情况</w:t>
            </w:r>
          </w:p>
          <w:p w14:paraId="7A5F3817">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7.1.1生活垃圾</w:t>
            </w:r>
          </w:p>
          <w:p w14:paraId="35BDDAFE">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井场和生活营地设置生活垃圾集中收集后委托第三方拉运至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吉木萨尔县</w:t>
            </w:r>
            <w:r>
              <w:rPr>
                <w:rFonts w:hint="default" w:ascii="Times New Roman" w:hAnsi="Times New Roman" w:eastAsia="宋体" w:cs="Times New Roman"/>
                <w:color w:val="000000" w:themeColor="text1"/>
                <w:sz w:val="24"/>
                <w:szCs w:val="24"/>
                <w:lang w:eastAsia="zh-CN"/>
                <w14:textFill>
                  <w14:solidFill>
                    <w14:schemeClr w14:val="tx1"/>
                  </w14:solidFill>
                </w14:textFill>
              </w:rPr>
              <w:t>垃圾场处理。吉木萨尔县生活垃圾填埋场位于吉木萨尔县城西北约9.5km处，距离本项目仅约12km，运输距离较近，清运十分便捷。该填埋场已于2010年8月取得自治区环保厅环评批复（新环函评价[2010]452号），2014年11月建成投用，并于2015年9月顺利通过昌吉州环保局的竣工环保验收（昌州环函〔2015〕358号），属于合法合规、环保手续完全齐备的正规市政生活垃圾处置场所。该填埋场采用成熟规范的“卫生填埋”处理工艺，设计生活垃圾清运处理量高达 100t/d，总有效库容达 63万m³。本项目不设永久性生活营地，仅产生极少量的常规生活垃圾。相较于该填埋场每日100吨的处理规模与庞大库容，本项目微量的生活垃圾并入其环卫受纳系统，不会对其日常运行负荷与剩余服务年限造成任何实质性冲击。</w:t>
            </w:r>
          </w:p>
          <w:p w14:paraId="31F7B1AF">
            <w:pPr>
              <w:pStyle w:val="22"/>
              <w:widowControl w:val="0"/>
              <w:kinsoku/>
              <w:spacing w:before="38" w:line="359" w:lineRule="auto"/>
              <w:ind w:left="3" w:right="4" w:firstLine="48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本项目施工期生活垃圾共产生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7.20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t，占填埋场填埋量比例极小，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垃圾场可以满足本工程施工期生活垃圾填埋需求。</w:t>
            </w:r>
          </w:p>
          <w:p w14:paraId="06684CA3">
            <w:pPr>
              <w:widowControl w:val="0"/>
              <w:kinsoku/>
              <w:spacing w:line="500" w:lineRule="exact"/>
              <w:jc w:val="both"/>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7.1.2钻井泥浆、钻井岩屑</w:t>
            </w:r>
          </w:p>
          <w:p w14:paraId="5403849A">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钻井过程中井筒返出的钻井液（含钻井泥浆）及岩屑全部进入“钻井液不落地”系统，实现固液分离与分级处理。该不落地系统处理工艺采用多级物理机械分离模块，通过逐级筛分和离心沉降实现钻井液中泥砂与有效液相的深度剥离。经多级固控设备连续处理后，系统的综合固液分离效率须达到 85%以上，有效降低固相含水率及液相含固率。 分离出的液相（主要是水和部分化学处理剂）打回泥浆罐，优先回用于钻井液配制与循环使用，液相回用率考核目标为≥95%。</w:t>
            </w:r>
          </w:p>
          <w:p w14:paraId="6A50B65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分离出的液相优先回用于钻井液配制及循环使用；确需更换或无法回用的废液按钻井液体系分类收集，委托有相应处置能力的单位规范转运处置。分离出的固相岩屑按钻井阶段及钻井液类型分类管理：一开水基岩屑委托具有相应环保处理能力的第三方单位进行集中处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经检测满足《油气田钻井固体废物综合利用污染控制要求》（DB65/T3997-2017）相关限值后方可综合利用</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其资源化利用率目标考核为100% ；二开油基岩屑作为危险废物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规范</w:t>
            </w:r>
            <w:r>
              <w:rPr>
                <w:rFonts w:hint="default" w:ascii="Times New Roman" w:hAnsi="Times New Roman" w:eastAsia="宋体" w:cs="Times New Roman"/>
                <w:color w:val="000000" w:themeColor="text1"/>
                <w:sz w:val="24"/>
                <w:szCs w:val="24"/>
                <w14:textFill>
                  <w14:solidFill>
                    <w14:schemeClr w14:val="tx1"/>
                  </w14:solidFill>
                </w14:textFill>
              </w:rPr>
              <w:t>收集、防渗暂存，委托具有危废处置资质单位规范处置；三开阶段虽使用水基钻井液，但考虑到存在沾染二开阶段油类物质的风险，在对含油量进行检测之前，其产生的泥浆及岩屑须暂按危险废物进行严格管理和处置；待检测结果出具后，若含油量检测结果显示属于危险废物，则继续按照危险废物进行合规处置；若含油量检测结果满足相关标准（不属于危险废物），则按照一般工业固体废物进行处置。钻井泥浆及岩屑处理工艺流程如下图所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56F4EF7">
            <w:pPr>
              <w:widowControl w:val="0"/>
              <w:kinsoku/>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189220" cy="1358265"/>
                  <wp:effectExtent l="0" t="0" r="11430" b="13335"/>
                  <wp:docPr id="14" name="图片 1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nnamed"/>
                          <pic:cNvPicPr>
                            <a:picLocks noChangeAspect="1"/>
                          </pic:cNvPicPr>
                        </pic:nvPicPr>
                        <pic:blipFill>
                          <a:blip r:embed="rId21"/>
                          <a:stretch>
                            <a:fillRect/>
                          </a:stretch>
                        </pic:blipFill>
                        <pic:spPr>
                          <a:xfrm>
                            <a:off x="0" y="0"/>
                            <a:ext cx="5189220" cy="1358265"/>
                          </a:xfrm>
                          <a:prstGeom prst="rect">
                            <a:avLst/>
                          </a:prstGeom>
                        </pic:spPr>
                      </pic:pic>
                    </a:graphicData>
                  </a:graphic>
                </wp:inline>
              </w:drawing>
            </w:r>
          </w:p>
          <w:p w14:paraId="0A353825">
            <w:pPr>
              <w:pStyle w:val="7"/>
              <w:widowControl w:val="0"/>
              <w:kinsoku/>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图5-1钻井泥浆及岩屑处理工艺流程图</w:t>
            </w:r>
          </w:p>
          <w:p w14:paraId="36B791D3">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7.1.3沾油废防渗材料</w:t>
            </w:r>
          </w:p>
          <w:p w14:paraId="3B620FD6">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施工结束后清理场地时产生的未沾油防渗材料由施工单位集中回收利用，</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沾油的</w:t>
            </w:r>
            <w:r>
              <w:rPr>
                <w:rFonts w:hint="default" w:ascii="Times New Roman" w:hAnsi="Times New Roman" w:eastAsia="宋体" w:cs="Times New Roman"/>
                <w:color w:val="000000" w:themeColor="text1"/>
                <w:sz w:val="24"/>
                <w:szCs w:val="24"/>
                <w:lang w:eastAsia="zh-CN"/>
                <w14:textFill>
                  <w14:solidFill>
                    <w14:schemeClr w14:val="tx1"/>
                  </w14:solidFill>
                </w14:textFill>
              </w:rPr>
              <w:t>废防渗材料属于《国家危险废物名录》（2025年版）中的</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HW08废矿物油与含矿物油类危险废物（废物代码为900-249-08，危险特</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性为毒性和易燃性</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收集后委托具有相应危险废物处置资质的单位进行接收、转运和处置。</w:t>
            </w:r>
          </w:p>
          <w:p w14:paraId="7649E92E">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机械设备废油</w:t>
            </w:r>
          </w:p>
          <w:p w14:paraId="1A2BA431">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期间使用的机械设备运行过程中需进行维护、保养、维修等工作，以使其能正常运转，此过程中将产生少量的废油，如废液压油、废润滑油、废机油等。钻井期间产生的废油由建设单位委托有危险废物处理资质单位进行处置。</w:t>
            </w:r>
          </w:p>
          <w:p w14:paraId="3C0669D2">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废润滑油、废润滑油桶</w:t>
            </w:r>
          </w:p>
          <w:p w14:paraId="5D167867">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期间使用的机械设备运行过程中需进行维护、保养、维修等工作，以使其能正常运转，此过程中将产生少量的废油，如废润滑油等。施工过程中机械、设备检修和维护过程中产生的废润滑油、废润滑油桶分区暂存在危废贮存点，委托有资质单位定期进行处置。</w:t>
            </w:r>
          </w:p>
          <w:p w14:paraId="4215DC76">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落地油</w:t>
            </w:r>
          </w:p>
          <w:p w14:paraId="5BB77AE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本工程钻井期和试油期间事故状态下可能产生少量落地原油和含油污泥，落地油要求100%回收，按照《国家危险废物名录》（2025年版）、《危险废物环境管理指南 陆上石油天然气开采》（生态环境部公告2021年第74号），落地油泥属于《国家危险废物名录》（2025年）中的HW08废矿物油与含矿物油类危险废物，废物代码为071-001-08，落地油100%回收。</w:t>
            </w:r>
          </w:p>
          <w:p w14:paraId="0EA856D9">
            <w:pPr>
              <w:widowControl w:val="0"/>
              <w:kinsoku/>
              <w:spacing w:line="500" w:lineRule="exact"/>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7.1.7 锅炉灰渣及除尘灰暂存与处置</w:t>
            </w:r>
          </w:p>
          <w:p w14:paraId="44310499">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暂存方式：</w:t>
            </w:r>
          </w:p>
          <w:p w14:paraId="2A11FB2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锅炉灰渣</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在锅炉房外设置专门的灰渣堆放点，四周设置围挡，上方加盖防雨棚。灰渣在清理前应进行适量喷水增湿，防止二次扬尘。</w:t>
            </w:r>
          </w:p>
          <w:p w14:paraId="462E2E99">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除尘灰：布袋除尘器收集的干粉尘应直接通过密封管道排入集灰袋或密闭集灰桶中，严禁露天散堆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清理后直接委托处置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不在现场暂存</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B4A574F">
            <w:pPr>
              <w:widowControl w:val="0"/>
              <w:kinsoku/>
              <w:spacing w:line="500" w:lineRule="exact"/>
              <w:ind w:firstLine="480" w:firstLineChars="200"/>
              <w:jc w:val="both"/>
              <w:rPr>
                <w:rFonts w:hint="default"/>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处置去向：锅炉灰渣及除尘灰富含钾、磷等元素，优先委托当地农户拉运用于耕地肥田；无法利用的部分委托</w:t>
            </w:r>
            <w:r>
              <w:rPr>
                <w:rFonts w:hint="default" w:ascii="Times New Roman" w:hAnsi="Times New Roman" w:eastAsia="宋体" w:cs="Times New Roman"/>
                <w:color w:val="000000" w:themeColor="text1"/>
                <w:sz w:val="24"/>
                <w:szCs w:val="24"/>
                <w14:textFill>
                  <w14:solidFill>
                    <w14:schemeClr w14:val="tx1"/>
                  </w14:solidFill>
                </w14:textFill>
              </w:rPr>
              <w:t>具有相应环保处理能力的第三方单位进行集中处置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2DCEBF7">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7.2危险废物处置措施</w:t>
            </w:r>
          </w:p>
          <w:p w14:paraId="60553D18">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在井场内设置危险废物贮存点，其选址符合《危险废物贮存污染控制标准》（GB18597-2023）中的相关要求，具体要求如下：</w:t>
            </w:r>
            <w:bookmarkEnd w:id="29"/>
            <w:bookmarkStart w:id="30" w:name="_Hlk183361156"/>
            <w:bookmarkStart w:id="31" w:name="_Hlk136792721"/>
          </w:p>
          <w:p w14:paraId="41159DCE">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①贮存点应具有固定的区域边界，并应采取与其他区域进行隔离的措施。</w:t>
            </w:r>
          </w:p>
          <w:p w14:paraId="7553CABD">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②贮存点应采取防风、防雨、防晒和防止危险废物流失、扬散等措施。</w:t>
            </w:r>
          </w:p>
          <w:p w14:paraId="2A95ABDF">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③贮存点贮存的危险废物应置于容器或包装物中，不应直接散堆。</w:t>
            </w:r>
          </w:p>
          <w:p w14:paraId="4AEF638D">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④贮存点应根据危险废物的形态、物理化学性质、包装形式等，采取防渗、防漏等污染防治措施。</w:t>
            </w:r>
          </w:p>
          <w:p w14:paraId="5CCAF462">
            <w:pPr>
              <w:widowControl w:val="0"/>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⑤贮存点应及时清运贮存的危险废物，实时贮存量不应超过3吨。</w:t>
            </w:r>
          </w:p>
          <w:p w14:paraId="710E3D79">
            <w:pPr>
              <w:widowControl w:val="0"/>
              <w:kinsoku/>
              <w:spacing w:line="50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7.4一般工业固体废物环境管理要求</w:t>
            </w:r>
          </w:p>
          <w:p w14:paraId="4A593E0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应落实污染环境防治责任制度，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20E27234">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bookmarkStart w:id="32" w:name="_Hlk183363774"/>
            <w:r>
              <w:rPr>
                <w:rFonts w:hint="default" w:ascii="Times New Roman" w:hAnsi="Times New Roman" w:eastAsia="宋体" w:cs="Times New Roman"/>
                <w:b/>
                <w:bCs/>
                <w:color w:val="000000" w:themeColor="text1"/>
                <w:sz w:val="24"/>
                <w:szCs w:val="24"/>
                <w:lang w:eastAsia="zh-CN"/>
                <w14:textFill>
                  <w14:solidFill>
                    <w14:schemeClr w14:val="tx1"/>
                  </w14:solidFill>
                </w14:textFill>
              </w:rPr>
              <w:t>7.5危险废物环境管理要求</w:t>
            </w:r>
            <w:bookmarkEnd w:id="32"/>
          </w:p>
          <w:p w14:paraId="2A43E7EB">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建设单位应对废润滑油、废润滑油桶和沾油的废防渗材料按照《危险废物环境管理指南 陆上石油天然气开采》中的危险废物环境管理要求进行管理，</w:t>
            </w:r>
            <w:bookmarkEnd w:id="30"/>
            <w:r>
              <w:rPr>
                <w:rFonts w:hint="default" w:ascii="Times New Roman" w:hAnsi="Times New Roman" w:eastAsia="宋体" w:cs="Times New Roman"/>
                <w:color w:val="000000" w:themeColor="text1"/>
                <w:sz w:val="24"/>
                <w:szCs w:val="24"/>
                <w:lang w:eastAsia="zh-CN"/>
                <w14:textFill>
                  <w14:solidFill>
                    <w14:schemeClr w14:val="tx1"/>
                  </w14:solidFill>
                </w14:textFill>
              </w:rPr>
              <w:t>具体如下：</w:t>
            </w:r>
          </w:p>
          <w:p w14:paraId="0A24F09A">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①落实污染环境防治责任制度，建立健全工业危险废物产生、收集、贮存、运输、利用、处置全过程的污染环境防治责任制度。</w:t>
            </w:r>
          </w:p>
          <w:p w14:paraId="462EE95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落实危险废物识别标志制度，按照《环境保护图形标志固体废物贮存（处置）场》（GB15562.2）修改单、《危险废物识别标志设置技术规范》（HJ1276-2022）等有关规定，对危险废物的容器和收集、贮存、危险废物的场所设置危险废物识别标志。</w:t>
            </w:r>
          </w:p>
          <w:p w14:paraId="10BA5439">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③落实危险废物管理计划制度，按照《</w:t>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"https://www.mee.gov.cn/gkml/hbb/bgg/201601/W020160128385366835993.pdf"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危险废物管理计划和</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管理台账制定技术导则》（HJ1259-2022）等有关要求制定危险废物管理计划，并报所在地生态环境主管部门备案。</w:t>
            </w:r>
          </w:p>
          <w:p w14:paraId="573DC93A">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④落实危险废物管理台账及申报制度，建立危险废物管理台账，如实记录有关信息，并通过国家危险废物信息管理系统向所在地生态环境主管部门申报危险废物的种类、产生量、流向、贮存、处置等有关资料。</w:t>
            </w:r>
          </w:p>
          <w:p w14:paraId="785D8A9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⑤落实危险废物转移联单制度，转移危险废物的，应当按照《危险废物转移管理办法》的有关规定填写、运行危险废物转移联单。</w:t>
            </w:r>
          </w:p>
          <w:p w14:paraId="379A9880">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各类危险废物分区暂存在井场设置的危险废物贮存点，贮存点建设须满足《危险废物贮存污染控制标准》（GB18597-2023）中的相关要求，具体如下：井场危废贮存库应采取防风、防雨、防晒和防止危险废物流失、扬散等措施；贮存库贮存的危险废物应置于容器或包装物中，不应直接散堆；应根据危险废物的形态、物理化学性质、包装形式等，采取防渗、防漏等污染防治措施；贮存库应及时清运贮存的危险废物，实时贮存量不应超过3t。各类危险废物定期由依法签订书面合同具有相应危险废物处置资质的单位（受托方）进行接收、转运和处置。</w:t>
            </w:r>
          </w:p>
          <w:bookmarkEnd w:id="31"/>
          <w:p w14:paraId="40D931A7">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上述固体废物处置措施均为技术可行和稳定可靠的成熟措施，钻试工程产生的固体废物均得到妥善处置，不会对环境造成不利影响。</w:t>
            </w:r>
          </w:p>
          <w:p w14:paraId="6752B4A0">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bookmarkStart w:id="33" w:name="OLE_LINK66"/>
            <w:r>
              <w:rPr>
                <w:rFonts w:hint="default" w:ascii="Times New Roman" w:hAnsi="Times New Roman" w:eastAsia="宋体" w:cs="Times New Roman"/>
                <w:b/>
                <w:bCs/>
                <w:color w:val="000000" w:themeColor="text1"/>
                <w:sz w:val="24"/>
                <w:szCs w:val="24"/>
                <w:lang w:eastAsia="zh-CN"/>
                <w14:textFill>
                  <w14:solidFill>
                    <w14:schemeClr w14:val="tx1"/>
                  </w14:solidFill>
                </w14:textFill>
              </w:rPr>
              <w:t>8.环境风险应急措施及应急要求</w:t>
            </w:r>
          </w:p>
          <w:bookmarkEnd w:id="33"/>
          <w:p w14:paraId="6AE8399C">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8.1管理要求</w:t>
            </w:r>
          </w:p>
          <w:p w14:paraId="69F70D8E">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建设单位以及施工钻井队结合行业作业规范，设置有专职安全环保管理人员，把安全、环境管理纳入生产管理的各个环节，对防止事故的发生能起到非常积极的作用。现场作业严格按照《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健康安全环境管理体系 第1部分：规范</w:t>
            </w:r>
            <w:r>
              <w:rPr>
                <w:rFonts w:hint="default" w:ascii="Times New Roman" w:hAnsi="Times New Roman" w:eastAsia="宋体" w:cs="Times New Roman"/>
                <w:color w:val="000000" w:themeColor="text1"/>
                <w:sz w:val="24"/>
                <w:szCs w:val="24"/>
                <w:lang w:eastAsia="zh-CN"/>
                <w14:textFill>
                  <w14:solidFill>
                    <w14:schemeClr w14:val="tx1"/>
                  </w14:solidFill>
                </w14:textFill>
              </w:rPr>
              <w:t>》（Q</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_</w:t>
            </w:r>
            <w:r>
              <w:rPr>
                <w:rFonts w:hint="default" w:ascii="Times New Roman" w:hAnsi="Times New Roman" w:eastAsia="宋体" w:cs="Times New Roman"/>
                <w:color w:val="000000" w:themeColor="text1"/>
                <w:sz w:val="24"/>
                <w:szCs w:val="24"/>
                <w:lang w:eastAsia="zh-CN"/>
                <w14:textFill>
                  <w14:solidFill>
                    <w14:schemeClr w14:val="tx1"/>
                  </w14:solidFill>
                </w14:textFill>
              </w:rPr>
              <w:t>SY</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08002.1</w:t>
            </w:r>
            <w:r>
              <w:rPr>
                <w:rFonts w:hint="default" w:ascii="Times New Roman" w:hAnsi="Times New Roman" w:eastAsia="宋体" w:cs="Times New Roman"/>
                <w:color w:val="000000" w:themeColor="text1"/>
                <w:sz w:val="24"/>
                <w:szCs w:val="24"/>
                <w:lang w:eastAsia="zh-CN"/>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lang w:eastAsia="zh-CN"/>
                <w14:textFill>
                  <w14:solidFill>
                    <w14:schemeClr w14:val="tx1"/>
                  </w14:solidFill>
                </w14:textFill>
              </w:rPr>
              <w:t>）的要求执行。</w:t>
            </w:r>
          </w:p>
          <w:p w14:paraId="45CFF267">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8.2井喷环境风险防范措施</w:t>
            </w:r>
          </w:p>
          <w:p w14:paraId="55932FE2">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①设有井控装置，钻井工程中各岗位必须严格分工，定期对井控装置进行维护、保养、检查，保证井控装置及工具灵活可用、始终处于待命状态；落实溢流监测岗位、关井操作岗位和钻井队干部值班制度。</w:t>
            </w:r>
          </w:p>
          <w:p w14:paraId="0AA0E279">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钻开油层后：落实专人坐岗，观察井口和循环池液面变化，发现溢流、井漏及油气显示等异常情况应立即报告司钻；钻开油层后，每次起下钻（离上次活动时间超过5d）对闸板防喷器及手动锁紧装置开关活动一次，定期对井控装置进行试压；起钻杆时每3～5柱向环空灌满泥浆，起钻铤要连续灌浆，作好记录、校核，若灌入泥浆量大于或小于应灌入量，均应停止起钻作业并进行观察。如有溢流，应立即关井求压。如有井漏，应及时采取相应措施。安排专人观察出口管钻井液返出情况，严禁在空井情况下检修设备；钻开油层后，所有车辆应停放在距井口以外30m，必须进入距井口30m以内的车辆，应安装阻火器，车头朝外停放。</w:t>
            </w:r>
          </w:p>
          <w:p w14:paraId="591CE89D">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溢流处理和压井措施：最大允许关井压力应考虑井口装置额定工作压力、套管抗内压强度的80%和薄弱地层破裂压力所允许的关井压力。在允许关井套压内严禁放喷。天然气溢流不允许长时间关井而不作处理。在等候加重材料或在加重过程中，应采取井筒压力控制措施防止井口压力过高。空井溢流关井后，根据溢流的严重程度，可采用置换法和压回法等方法进行处理。</w:t>
            </w:r>
          </w:p>
          <w:p w14:paraId="4514B2C4">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测井、固井、完井等作业时，要严格执行安全操作规程和井控措施，避免发生井下复杂情况和井喷失控事故。电测前井内情况应正常、稳定；测井队到井后应向井队了解井况，确认油气上窜安全作业时间，若电测时间超过等值时间，应中途通井循环再电测。测井队专用剪切工具应放置在钻台上，随时处于待命状态。发生溢流征兆应立即停止电测，尽快起出井内电缆，当危及井控安全时，立即实施剪断电缆并关井。由钻井队队长决定何时切断电缆并进行关井作业，测井队队长负责实施剪断电缆工作。不允许用关闭环形防喷器的方法起电缆。</w:t>
            </w:r>
          </w:p>
          <w:p w14:paraId="461AD9FA">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bookmarkStart w:id="34" w:name="_Hlk183350582"/>
            <w:r>
              <w:rPr>
                <w:rFonts w:hint="default" w:ascii="Times New Roman" w:hAnsi="Times New Roman" w:eastAsia="宋体" w:cs="Times New Roman"/>
                <w:color w:val="000000" w:themeColor="text1"/>
                <w:sz w:val="24"/>
                <w:szCs w:val="24"/>
                <w:lang w:eastAsia="zh-CN" w:bidi="ar"/>
                <w14:textFill>
                  <w14:solidFill>
                    <w14:schemeClr w14:val="tx1"/>
                  </w14:solidFill>
                </w14:textFill>
              </w:rPr>
              <w:t>⑤一旦发生井喷突发事件，应立即启动相应的环境突发事件专项应急预案，立即关闭井口切断污染源，控制原油污染面积，对放喷液进行集中收集处理，同时及时通知可能受影响的人员进行疏散；切断一切可能扩大污染范围的环节，严防污染区域的扩大。采取围、堵等措施限制固体废弃物和溢油扩散范围；</w:t>
            </w:r>
            <w:bookmarkStart w:id="35" w:name="_Hlk183363993"/>
            <w:r>
              <w:rPr>
                <w:rFonts w:hint="default" w:ascii="Times New Roman" w:hAnsi="Times New Roman" w:eastAsia="宋体" w:cs="Times New Roman"/>
                <w:color w:val="000000" w:themeColor="text1"/>
                <w:sz w:val="24"/>
                <w:szCs w:val="24"/>
                <w:lang w:eastAsia="zh-CN" w:bidi="ar"/>
                <w14:textFill>
                  <w14:solidFill>
                    <w14:schemeClr w14:val="tx1"/>
                  </w14:solidFill>
                </w14:textFill>
              </w:rPr>
              <w:t>将溢油最大限度地回收，对少量确实无法回收的油以及受污染的土壤形成的落地油，采用铲除油泥层等有效方法，落地油泥用专用罐收集，最终交由有危险废物处置资质的单位处置，以降低残油对生态环境的污染程度；</w:t>
            </w:r>
            <w:bookmarkEnd w:id="35"/>
            <w:r>
              <w:rPr>
                <w:rFonts w:hint="default" w:ascii="Times New Roman" w:hAnsi="Times New Roman" w:eastAsia="宋体" w:cs="Times New Roman"/>
                <w:color w:val="000000" w:themeColor="text1"/>
                <w:sz w:val="24"/>
                <w:szCs w:val="24"/>
                <w:lang w:eastAsia="zh-CN" w:bidi="ar"/>
                <w14:textFill>
                  <w14:solidFill>
                    <w14:schemeClr w14:val="tx1"/>
                  </w14:solidFill>
                </w14:textFill>
              </w:rPr>
              <w:t>同时迅速布点监测，在第一时间确定污染物种类和浓度，出具监测数据，评估污染物转移、扩散速率；对污染状况进行跟踪调查，根据监测数据分析，预测污染迁移强度、速度和影响范围，及时调整对策。</w:t>
            </w:r>
            <w:bookmarkEnd w:id="34"/>
          </w:p>
          <w:p w14:paraId="0F291E52">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井喷后土壤污染修复措施主要包括物理修复、化学修复和生物修复三大类，具体措施需根据污染类型和严重程度选择。实施流程如下：</w:t>
            </w:r>
          </w:p>
          <w:p w14:paraId="377CE2BE">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污染评估：通过网格采样分析污染物类型及浓度分布，确定风险等级。‌</w:t>
            </w:r>
          </w:p>
          <w:p w14:paraId="4D135A48">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方案设计：比选3种以上技术路线，制定工程量及预算。</w:t>
            </w:r>
          </w:p>
          <w:p w14:paraId="7A7B4C07">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施工监测：实施过程中定期检测效果，确保达标后再利用。</w:t>
            </w:r>
          </w:p>
          <w:p w14:paraId="552CA901">
            <w:pPr>
              <w:widowControl w:val="0"/>
              <w:kinsoku/>
              <w:spacing w:line="480" w:lineRule="exact"/>
              <w:ind w:firstLine="480" w:firstLineChars="200"/>
              <w:jc w:val="both"/>
              <w:rPr>
                <w:rFonts w:hint="default"/>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针对性农田及草地风险防控措施：工程防御措施：在靠农田一侧的井场边界，提前修筑高度不低于0.5m的临时围堰或拦截沟，确保事故状态下的溢流原油被控制在井场范围内，严防油液流向农田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紧急拦截管理：试油期间，在井口配备充足的吸油毡、围油栏及沙土等应急物资。一旦发生井喷，立即启动应急响应，利用机械和人力在原油流向农田的路径上设置多道沙土屏障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土壤剥离与修复措施：若农田受到油污浸润，须在事故控制后24小时内对受污染区域进行剥离处理。将受污染的表层土（落地油泥）装入专用密闭罐中，委托有危废处置资质的单位处理 。随后，根据土壤受损情况，回填清洁表土并开展土壤生态修复监测，确保农田肥力和安全性恢复至原有水平。</w:t>
            </w:r>
          </w:p>
          <w:p w14:paraId="67209A82">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 7 \* GB3 \* MERGEFORMAT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⑦</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试油期产生的伴生气气量不稳定，不具备回收利用条件，经放喷管线充分燃烧后排放；建设单位应定期检查伴生气燃烧设备，加强燃烧设备的运营维护，确保伴生气充分燃烧，减少污染物的排放。</w:t>
            </w:r>
          </w:p>
          <w:p w14:paraId="68D451B4">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bookmarkStart w:id="36" w:name="OLE_LINK67"/>
            <w:bookmarkStart w:id="37" w:name="_Hlk187171839"/>
            <w:r>
              <w:rPr>
                <w:rFonts w:hint="default" w:ascii="Times New Roman" w:hAnsi="Times New Roman" w:eastAsia="宋体" w:cs="Times New Roman"/>
                <w:b/>
                <w:bCs/>
                <w:color w:val="000000" w:themeColor="text1"/>
                <w:sz w:val="24"/>
                <w:szCs w:val="24"/>
                <w:lang w:eastAsia="zh-CN"/>
                <w14:textFill>
                  <w14:solidFill>
                    <w14:schemeClr w14:val="tx1"/>
                  </w14:solidFill>
                </w14:textFill>
              </w:rPr>
              <w:t>8.3储罐泄漏防范措施</w:t>
            </w:r>
          </w:p>
          <w:p w14:paraId="344F567C">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①选用质量、防腐措施合格的储罐。安装过程中焊接要经过100%的探伤，安装时应选择刚性不燃的坚固基础作为罐体基础。储罐在投用前，必须严格按照《压力容器安全技术监察规程》进行强度和气密性试验。</w:t>
            </w:r>
          </w:p>
          <w:p w14:paraId="62B5A2B2">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②储罐区应严格用火管理，采用有效的避雷装置和接地装置等防止雷电的措施。</w:t>
            </w:r>
          </w:p>
          <w:p w14:paraId="6D2F63B9">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③加强储罐和管线接口的检查工作，防止腐蚀穿孔。定期进行壁厚检测，腐蚀余量低于规定的允许值时，要及时进行检修和更换。</w:t>
            </w:r>
          </w:p>
          <w:p w14:paraId="4E11A0F9">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38" w:name="_Hlk183350612"/>
            <w:r>
              <w:rPr>
                <w:rFonts w:hint="default" w:ascii="Times New Roman" w:hAnsi="Times New Roman" w:eastAsia="宋体" w:cs="Times New Roman"/>
                <w:color w:val="000000" w:themeColor="text1"/>
                <w:sz w:val="24"/>
                <w:szCs w:val="24"/>
                <w:lang w:eastAsia="zh-CN" w:bidi="ar"/>
                <w14:textFill>
                  <w14:solidFill>
                    <w14:schemeClr w14:val="tx1"/>
                  </w14:solidFill>
                </w14:textFill>
              </w:rPr>
              <w:t>④</w:t>
            </w:r>
            <w:bookmarkStart w:id="39" w:name="_Hlk183364061"/>
            <w:r>
              <w:rPr>
                <w:rFonts w:hint="default" w:ascii="Times New Roman" w:hAnsi="Times New Roman" w:eastAsia="宋体" w:cs="Times New Roman"/>
                <w:color w:val="000000" w:themeColor="text1"/>
                <w:sz w:val="24"/>
                <w:szCs w:val="24"/>
                <w:lang w:eastAsia="zh-CN" w:bidi="ar"/>
                <w14:textFill>
                  <w14:solidFill>
                    <w14:schemeClr w14:val="tx1"/>
                  </w14:solidFill>
                </w14:textFill>
              </w:rPr>
              <w:t>井场各类储罐、特别是油类物质及危险废物储罐底部均应铺设符合要求的防渗材料，一旦发生泄漏须及时发现并采取有效的堵漏措施，同时对产生的落地油泥用专用罐收集，最终交由有危险废物处置资质的单位处置；加强储罐运输环节的管理，避免出现储罐泄漏风险事故发生。</w:t>
            </w:r>
            <w:bookmarkEnd w:id="38"/>
            <w:bookmarkEnd w:id="39"/>
          </w:p>
          <w:p w14:paraId="15595889">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⑤加强消防安全管理</w:t>
            </w:r>
          </w:p>
          <w:p w14:paraId="1FA63EB6">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定期进行消防培训与实战演练，要求岗位工作人员具有较强的消防安全意识，加强巡检，确保无异常情况出现。</w:t>
            </w:r>
          </w:p>
          <w:bookmarkEnd w:id="36"/>
          <w:p w14:paraId="47C095C6">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8.4井漏防范措施</w:t>
            </w:r>
          </w:p>
          <w:p w14:paraId="423E959C">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①建立、健全各项安全管理制度以及配套的工艺、设备安全操作规程并严格执行，确保施工质量，防漏、防窜，做好防腐工作。</w:t>
            </w:r>
          </w:p>
          <w:p w14:paraId="75FE62DA">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②操作人员应密切注意设备运行状况，发现管件破裂刺漏等问题及时处理；作业现场应配备消防设备以备应急救援。</w:t>
            </w:r>
          </w:p>
          <w:p w14:paraId="3B233597">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③严格要求套管下入深度、确保固井质量。</w:t>
            </w:r>
          </w:p>
          <w:p w14:paraId="50CBA703">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④工程施工单位需具备相应资质，加强对施工现场的安全组织管理和监督。</w:t>
            </w:r>
          </w:p>
          <w:p w14:paraId="2FD31108">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8.5硫化氢防范措施</w:t>
            </w:r>
          </w:p>
          <w:p w14:paraId="4F412BCF">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①在钻井、试油作业过程中配备便携式硫化氢监测仪，做好硫化氢监测预警工作，</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根据《含硫油气井钻井作业规程（Q/SY0215-2019）》，</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当监测到硫化氢浓度大于75mg/m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时，按照含硫油气井作业规程执行。</w:t>
            </w:r>
          </w:p>
          <w:p w14:paraId="123A7E1E">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②钻井期在作业现场显</w:t>
            </w:r>
            <w:r>
              <w:rPr>
                <w:rFonts w:hint="default" w:ascii="Times New Roman" w:hAnsi="Times New Roman" w:eastAsia="宋体" w:cs="Times New Roman"/>
                <w:color w:val="000000" w:themeColor="text1"/>
                <w:sz w:val="24"/>
                <w:szCs w:val="24"/>
                <w:lang w:eastAsia="zh-CN"/>
                <w14:textFill>
                  <w14:solidFill>
                    <w14:schemeClr w14:val="tx1"/>
                  </w14:solidFill>
                </w14:textFill>
              </w:rPr>
              <w:t>著位置设置5处风向标；试油期设置2处风向标，并在不同方向上划定2个紧急集合点，并规划撤离路线，发生紧急情况时向上风向撤离。</w:t>
            </w:r>
          </w:p>
          <w:p w14:paraId="6904F72C">
            <w:pPr>
              <w:pStyle w:val="26"/>
              <w:widowControl w:val="0"/>
              <w:kinsoku/>
              <w:ind w:firstLine="0" w:firstLineChars="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bookmarkStart w:id="40" w:name="OLE_LINK68"/>
            <w:r>
              <w:rPr>
                <w:rFonts w:hint="default" w:ascii="Times New Roman" w:hAnsi="Times New Roman" w:eastAsia="宋体" w:cs="Times New Roman"/>
                <w:b/>
                <w:bCs/>
                <w:color w:val="000000" w:themeColor="text1"/>
                <w:sz w:val="24"/>
                <w:szCs w:val="24"/>
                <w:lang w:eastAsia="zh-CN"/>
                <w14:textFill>
                  <w14:solidFill>
                    <w14:schemeClr w14:val="tx1"/>
                  </w14:solidFill>
                </w14:textFill>
              </w:rPr>
              <w:t>8.6物料运输环境风险防范措施</w:t>
            </w:r>
          </w:p>
          <w:bookmarkEnd w:id="37"/>
          <w:bookmarkEnd w:id="40"/>
          <w:p w14:paraId="7E8B4E9D">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加强各类储罐运输环节的管理，避免出现储罐泄漏风险事故发生。各类罐车装卸作业过程中，必须严格遵守操作规程，轻装、轻卸、严禁摔碰撞击、重压、倒置，防止钻井废水、柴油等污染物撒漏；使用的工具不得损伤罐体,不能粘有与所装货物相抵触的污染物。操作过程中，有关人员不能擅自离岗，机动车辆排气管安装有效的隔热和熄灭火星装置，电路系统应有切断总电源和隔离电火花装置，配备相应的消防器材和工具，防止柴油罐发生火灾爆炸事故。</w:t>
            </w:r>
          </w:p>
          <w:p w14:paraId="4153D200">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运输途中，司机时刻要谨慎行驶，注意适当限速，保持安全车距。危险废物在储存、转移、处理过程中应严格执行《危险废物转移管理办法》（部令第23号）并制定内部转移、转运制度。确保危险废物的运输安全可靠，减少或避免运输过程中的二次污染和可能造成的环境风险。</w:t>
            </w:r>
          </w:p>
          <w:p w14:paraId="47AC124E">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8.7环境风险应急预案</w:t>
            </w:r>
          </w:p>
          <w:p w14:paraId="2F471F0A">
            <w:pPr>
              <w:widowControl w:val="0"/>
              <w:kinsoku/>
              <w:spacing w:line="480" w:lineRule="exact"/>
              <w:ind w:firstLine="480" w:firstLineChars="20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本项目归属中国石油天然气股份有限公司吐哈油田分公司准东采油管理区管辖，应将项目实施区域纳入《中国石油天然气股份有限公司吐哈油田分公司准东采油管理区突发环境事件应急预案》。</w:t>
            </w:r>
          </w:p>
          <w:p w14:paraId="567EA144">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9.结论</w:t>
            </w:r>
          </w:p>
          <w:p w14:paraId="52FD975A">
            <w:pPr>
              <w:widowControl w:val="0"/>
              <w:kinsoku/>
              <w:spacing w:line="480" w:lineRule="exact"/>
              <w:ind w:firstLine="480" w:firstLineChars="20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14:paraId="195D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67B3DEF0">
            <w:pPr>
              <w:widowControl w:val="0"/>
              <w:kinsoku/>
              <w:spacing w:line="360" w:lineRule="auto"/>
              <w:jc w:val="center"/>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lang w:eastAsia="zh-CN"/>
                <w14:textFill>
                  <w14:solidFill>
                    <w14:schemeClr w14:val="tx1"/>
                  </w14:solidFill>
                </w14:textFill>
              </w:rPr>
              <w:t>运营期生态环境保护措施</w:t>
            </w:r>
          </w:p>
        </w:tc>
        <w:tc>
          <w:tcPr>
            <w:tcW w:w="4728" w:type="pct"/>
            <w:vAlign w:val="center"/>
          </w:tcPr>
          <w:p w14:paraId="7A7C9418">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41" w:name="_Hlk189409650"/>
            <w:bookmarkStart w:id="42" w:name="OLE_LINK30"/>
            <w:r>
              <w:rPr>
                <w:rFonts w:hint="default" w:ascii="Times New Roman" w:hAnsi="Times New Roman" w:eastAsia="宋体" w:cs="Times New Roman"/>
                <w:color w:val="000000" w:themeColor="text1"/>
                <w:sz w:val="24"/>
                <w:szCs w:val="24"/>
                <w:lang w:eastAsia="zh-CN"/>
                <w14:textFill>
                  <w14:solidFill>
                    <w14:schemeClr w14:val="tx1"/>
                  </w14:solidFill>
                </w14:textFill>
              </w:rPr>
              <w:t>根据试采结果决定新钻井是否转为生产井，若可转为生产井，则应当在产能开发建设前对其开展环境影响评价工作，编制环境影响评价文件；若不具备转产条件，则应根据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弃井封井回填技术指南（试行）》《废弃井及长停井处置指南》（SY/T6646-2017）《吐哈油田报废井封井实施细则（试行）》《陆上石油天然气生产环境保护推荐作法》（SY/T6628-2005）《矿山生态环境保护与恢复治理技术规范（试行）》（HJ651-2013）和中国石油天然气股份有限公司吐哈油田分公司准东采油管理区的相关</w:t>
            </w:r>
            <w:r>
              <w:rPr>
                <w:rFonts w:hint="default" w:ascii="Times New Roman" w:hAnsi="Times New Roman" w:eastAsia="宋体" w:cs="Times New Roman"/>
                <w:color w:val="000000" w:themeColor="text1"/>
                <w:sz w:val="24"/>
                <w:szCs w:val="24"/>
                <w:lang w:eastAsia="zh-CN"/>
                <w14:textFill>
                  <w14:solidFill>
                    <w14:schemeClr w14:val="tx1"/>
                  </w14:solidFill>
                </w14:textFill>
              </w:rPr>
              <w:t>要求对新钻井进行封堵，并拆除相关设施，确保无土壤及地下水环境污染遗留问题、废弃物均得到妥善处置，制定生态恢复方案，并做好以下生态保护措施：</w:t>
            </w:r>
          </w:p>
          <w:bookmarkEnd w:id="41"/>
          <w:p w14:paraId="184A670A">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（1）封井材料应无污染，不得使用可能对地下水造成污染的材料。</w:t>
            </w:r>
          </w:p>
          <w:p w14:paraId="795FAA18">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（2）应开展井盖封堵或密闭填充，对废弃井进行封井回填并做好井口处置，确保地表污染物不进入井内，各层位地下水不连通。</w:t>
            </w:r>
          </w:p>
          <w:p w14:paraId="660D552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（3）确保封井质量合格。</w:t>
            </w:r>
          </w:p>
          <w:p w14:paraId="28888B84">
            <w:pPr>
              <w:pStyle w:val="26"/>
              <w:widowControl w:val="0"/>
              <w:kinsoku/>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封井作业结束后及时清理作业现场，各个建构筑物和基础设施应全部拆除，做到“工完、料尽、场地清”，确保采取的封井措施有效可行。施工区域采用临时占地剥离表土对其进行覆盖，以便植被自然恢复。各个建构筑物和基础设施拆除过程中会产生一定扬尘，应避开大风天气施工。</w:t>
            </w:r>
            <w:bookmarkEnd w:id="42"/>
          </w:p>
        </w:tc>
      </w:tr>
      <w:tr w14:paraId="2DE4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271" w:type="pct"/>
            <w:vAlign w:val="center"/>
          </w:tcPr>
          <w:p w14:paraId="22951661">
            <w:pPr>
              <w:widowControl w:val="0"/>
              <w:kinsoku/>
              <w:spacing w:line="360" w:lineRule="auto"/>
              <w:jc w:val="center"/>
              <w:rPr>
                <w:rFonts w:hint="default" w:ascii="Times New Roman" w:hAnsi="Times New Roman" w:eastAsia="宋体" w:cs="Times New Roman"/>
                <w:bCs/>
                <w:color w:val="000000" w:themeColor="text1"/>
                <w:spacing w:val="10"/>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其他</w:t>
            </w:r>
          </w:p>
        </w:tc>
        <w:tc>
          <w:tcPr>
            <w:tcW w:w="4728" w:type="pct"/>
            <w:vAlign w:val="center"/>
          </w:tcPr>
          <w:p w14:paraId="4C88565D">
            <w:pPr>
              <w:widowControl w:val="0"/>
              <w:kinsoku/>
              <w:spacing w:line="480" w:lineRule="exact"/>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1.环境管理</w:t>
            </w:r>
          </w:p>
          <w:p w14:paraId="2566006F">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项目实施过程中，在环境管理上建立的健康、安全与环境管理体系（HSE管理体系），落实各项环保和安全措施，减少项目开发对周围环境的影响。本报告提出的环境管理主要内容见下表5-2。</w:t>
            </w:r>
          </w:p>
          <w:p w14:paraId="552B6336">
            <w:pPr>
              <w:pStyle w:val="7"/>
              <w:widowControl w:val="0"/>
              <w:kinsoku/>
              <w:spacing w:line="240" w:lineRule="auto"/>
              <w:ind w:firstLine="422" w:firstLineChars="20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表5-2 施工期环境保护行动计划表</w:t>
            </w:r>
          </w:p>
          <w:tbl>
            <w:tblPr>
              <w:tblStyle w:val="16"/>
              <w:tblW w:w="497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076"/>
              <w:gridCol w:w="6456"/>
            </w:tblGrid>
            <w:tr w14:paraId="12D16D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tcBorders>
                    <w:top w:val="single" w:color="auto" w:sz="4" w:space="0"/>
                    <w:left w:val="single" w:color="auto" w:sz="0" w:space="0"/>
                  </w:tcBorders>
                  <w:tcMar>
                    <w:left w:w="0" w:type="dxa"/>
                    <w:right w:w="0" w:type="dxa"/>
                  </w:tcMar>
                  <w:vAlign w:val="center"/>
                </w:tcPr>
                <w:p w14:paraId="7C89F3FE">
                  <w:pPr>
                    <w:pStyle w:val="31"/>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661" w:type="pct"/>
                  <w:tcBorders>
                    <w:top w:val="single" w:color="auto" w:sz="4" w:space="0"/>
                  </w:tcBorders>
                  <w:tcMar>
                    <w:left w:w="0" w:type="dxa"/>
                    <w:right w:w="0" w:type="dxa"/>
                  </w:tcMar>
                  <w:vAlign w:val="center"/>
                </w:tcPr>
                <w:p w14:paraId="53624E42">
                  <w:pPr>
                    <w:pStyle w:val="31"/>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影响因素</w:t>
                  </w:r>
                </w:p>
              </w:tc>
              <w:tc>
                <w:tcPr>
                  <w:tcW w:w="3966" w:type="pct"/>
                  <w:tcBorders>
                    <w:top w:val="single" w:color="auto" w:sz="4" w:space="0"/>
                    <w:right w:val="single" w:color="auto" w:sz="4" w:space="0"/>
                  </w:tcBorders>
                  <w:tcMar>
                    <w:left w:w="0" w:type="dxa"/>
                    <w:right w:w="0" w:type="dxa"/>
                  </w:tcMar>
                  <w:vAlign w:val="center"/>
                </w:tcPr>
                <w:p w14:paraId="7D6124E5">
                  <w:pPr>
                    <w:pStyle w:val="31"/>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环保措施</w:t>
                  </w:r>
                </w:p>
              </w:tc>
            </w:tr>
            <w:tr w14:paraId="458300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tcBorders>
                    <w:left w:val="single" w:color="auto" w:sz="4" w:space="0"/>
                  </w:tcBorders>
                  <w:tcMar>
                    <w:left w:w="0" w:type="dxa"/>
                    <w:right w:w="0" w:type="dxa"/>
                  </w:tcMar>
                  <w:vAlign w:val="center"/>
                </w:tcPr>
                <w:p w14:paraId="0753B832">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661" w:type="pct"/>
                  <w:tcMar>
                    <w:left w:w="0" w:type="dxa"/>
                    <w:right w:w="0" w:type="dxa"/>
                  </w:tcMar>
                  <w:vAlign w:val="center"/>
                </w:tcPr>
                <w:p w14:paraId="31CE14A8">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大气环境</w:t>
                  </w:r>
                </w:p>
              </w:tc>
              <w:tc>
                <w:tcPr>
                  <w:tcW w:w="3966" w:type="pct"/>
                  <w:tcBorders>
                    <w:right w:val="single" w:color="auto" w:sz="4" w:space="0"/>
                  </w:tcBorders>
                  <w:tcMar>
                    <w:left w:w="0" w:type="dxa"/>
                    <w:right w:w="0" w:type="dxa"/>
                  </w:tcMar>
                  <w:vAlign w:val="center"/>
                </w:tcPr>
                <w:p w14:paraId="49FB373D">
                  <w:pPr>
                    <w:pStyle w:val="31"/>
                    <w:kinsoku/>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施工动力优先使用</w:t>
                  </w:r>
                  <w:r>
                    <w:rPr>
                      <w:rFonts w:hint="default" w:ascii="Times New Roman" w:hAnsi="Times New Roman" w:eastAsia="宋体" w:cs="Times New Roman"/>
                      <w:color w:val="000000" w:themeColor="text1"/>
                      <w:lang w:val="en-US" w:eastAsia="zh-CN"/>
                      <w14:textFill>
                        <w14:solidFill>
                          <w14:schemeClr w14:val="tx1"/>
                        </w14:solidFill>
                      </w14:textFill>
                    </w:rPr>
                    <w:t>工业用电</w:t>
                  </w:r>
                  <w:r>
                    <w:rPr>
                      <w:rFonts w:hint="default" w:ascii="Times New Roman" w:hAnsi="Times New Roman" w:eastAsia="宋体" w:cs="Times New Roman"/>
                      <w:color w:val="000000" w:themeColor="text1"/>
                      <w:lang w:eastAsia="zh-CN"/>
                      <w14:textFill>
                        <w14:solidFill>
                          <w14:schemeClr w14:val="tx1"/>
                        </w14:solidFill>
                      </w14:textFill>
                    </w:rPr>
                    <w:t>，减少柴油消耗；备用柴油发电机运行时应使用符合国家标准的油品，并定期对设备进行保养维护，采出液采用密闭装载方式，柴油储罐采用</w:t>
                  </w:r>
                  <w:r>
                    <w:rPr>
                      <w:rFonts w:hint="default" w:ascii="Times New Roman" w:hAnsi="Times New Roman" w:eastAsia="宋体" w:cs="Times New Roman"/>
                      <w:color w:val="000000" w:themeColor="text1"/>
                      <w:lang w:val="en-US" w:eastAsia="zh-CN"/>
                      <w14:textFill>
                        <w14:solidFill>
                          <w14:schemeClr w14:val="tx1"/>
                        </w14:solidFill>
                      </w14:textFill>
                    </w:rPr>
                    <w:t>卧式罐</w:t>
                  </w:r>
                  <w:r>
                    <w:rPr>
                      <w:rFonts w:hint="default" w:ascii="Times New Roman" w:hAnsi="Times New Roman" w:eastAsia="宋体" w:cs="Times New Roman"/>
                      <w:color w:val="000000" w:themeColor="text1"/>
                      <w:lang w:eastAsia="zh-CN"/>
                      <w14:textFill>
                        <w14:solidFill>
                          <w14:schemeClr w14:val="tx1"/>
                        </w14:solidFill>
                      </w14:textFill>
                    </w:rPr>
                    <w:t>。</w:t>
                  </w:r>
                </w:p>
              </w:tc>
            </w:tr>
            <w:tr w14:paraId="4FE58F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372" w:type="pct"/>
                  <w:tcBorders>
                    <w:left w:val="single" w:color="auto" w:sz="4" w:space="0"/>
                  </w:tcBorders>
                  <w:tcMar>
                    <w:left w:w="0" w:type="dxa"/>
                    <w:right w:w="0" w:type="dxa"/>
                  </w:tcMar>
                  <w:vAlign w:val="center"/>
                </w:tcPr>
                <w:p w14:paraId="4DB9999C">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661" w:type="pct"/>
                  <w:tcMar>
                    <w:left w:w="0" w:type="dxa"/>
                    <w:right w:w="0" w:type="dxa"/>
                  </w:tcMar>
                  <w:vAlign w:val="center"/>
                </w:tcPr>
                <w:p w14:paraId="6446D4D4">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声环境</w:t>
                  </w:r>
                </w:p>
              </w:tc>
              <w:tc>
                <w:tcPr>
                  <w:tcW w:w="3966" w:type="pct"/>
                  <w:tcBorders>
                    <w:right w:val="single" w:color="auto" w:sz="4" w:space="0"/>
                  </w:tcBorders>
                  <w:tcMar>
                    <w:left w:w="0" w:type="dxa"/>
                    <w:right w:w="0" w:type="dxa"/>
                  </w:tcMar>
                  <w:vAlign w:val="center"/>
                </w:tcPr>
                <w:p w14:paraId="0C5FBD15">
                  <w:pPr>
                    <w:pStyle w:val="31"/>
                    <w:kinsoku/>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施工单位应使用低噪声的施工设备、机械，并定期进行检修和维护，使其处于运行良好的状态。</w:t>
                  </w:r>
                </w:p>
              </w:tc>
            </w:tr>
            <w:tr w14:paraId="552807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0" w:hRule="atLeast"/>
                <w:jc w:val="center"/>
              </w:trPr>
              <w:tc>
                <w:tcPr>
                  <w:tcW w:w="372" w:type="pct"/>
                  <w:tcBorders>
                    <w:left w:val="single" w:color="auto" w:sz="4" w:space="0"/>
                  </w:tcBorders>
                  <w:tcMar>
                    <w:left w:w="0" w:type="dxa"/>
                    <w:right w:w="0" w:type="dxa"/>
                  </w:tcMar>
                  <w:vAlign w:val="center"/>
                </w:tcPr>
                <w:p w14:paraId="34D0DF8E">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661" w:type="pct"/>
                  <w:tcMar>
                    <w:left w:w="0" w:type="dxa"/>
                    <w:right w:w="0" w:type="dxa"/>
                  </w:tcMar>
                  <w:vAlign w:val="center"/>
                </w:tcPr>
                <w:p w14:paraId="4C1D28D8">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水环境和土壤环境</w:t>
                  </w:r>
                </w:p>
              </w:tc>
              <w:tc>
                <w:tcPr>
                  <w:tcW w:w="3966" w:type="pct"/>
                  <w:tcBorders>
                    <w:right w:val="single" w:color="auto" w:sz="4" w:space="0"/>
                  </w:tcBorders>
                  <w:tcMar>
                    <w:left w:w="0" w:type="dxa"/>
                    <w:right w:w="0" w:type="dxa"/>
                  </w:tcMar>
                  <w:vAlign w:val="center"/>
                </w:tcPr>
                <w:p w14:paraId="15B4D3A4">
                  <w:pPr>
                    <w:pStyle w:val="31"/>
                    <w:kinsoku/>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钻井液</w:t>
                  </w:r>
                  <w:r>
                    <w:rPr>
                      <w:rFonts w:hint="default" w:ascii="Times New Roman" w:hAnsi="Times New Roman" w:eastAsia="宋体" w:cs="Times New Roman"/>
                      <w:color w:val="000000" w:themeColor="text1"/>
                      <w:lang w:val="en-US" w:eastAsia="zh-CN"/>
                      <w14:textFill>
                        <w14:solidFill>
                          <w14:schemeClr w14:val="tx1"/>
                        </w14:solidFill>
                      </w14:textFill>
                    </w:rPr>
                    <w:t>外运处置</w:t>
                  </w:r>
                  <w:r>
                    <w:rPr>
                      <w:rFonts w:hint="default" w:ascii="Times New Roman" w:hAnsi="Times New Roman" w:eastAsia="宋体" w:cs="Times New Roman"/>
                      <w:color w:val="000000" w:themeColor="text1"/>
                      <w:lang w:eastAsia="zh-CN"/>
                      <w14:textFill>
                        <w14:solidFill>
                          <w14:schemeClr w14:val="tx1"/>
                        </w14:solidFill>
                      </w14:textFill>
                    </w:rPr>
                    <w:t>不外排；试油期产生的废水收集至地面储罐后由罐车拉运至</w:t>
                  </w:r>
                  <w:r>
                    <w:rPr>
                      <w:rFonts w:hint="default" w:ascii="Times New Roman" w:hAnsi="Times New Roman" w:eastAsia="宋体" w:cs="Times New Roman"/>
                      <w:color w:val="000000" w:themeColor="text1"/>
                      <w:lang w:val="en-US" w:eastAsia="zh-CN"/>
                      <w14:textFill>
                        <w14:solidFill>
                          <w14:schemeClr w14:val="tx1"/>
                        </w14:solidFill>
                      </w14:textFill>
                    </w:rPr>
                    <w:t>吉康</w:t>
                  </w:r>
                  <w:r>
                    <w:rPr>
                      <w:rFonts w:hint="default" w:ascii="Times New Roman" w:hAnsi="Times New Roman" w:eastAsia="宋体" w:cs="Times New Roman"/>
                      <w:color w:val="000000" w:themeColor="text1"/>
                      <w:lang w:eastAsia="zh-CN"/>
                      <w14:textFill>
                        <w14:solidFill>
                          <w14:schemeClr w14:val="tx1"/>
                        </w14:solidFill>
                      </w14:textFill>
                    </w:rPr>
                    <w:t>脱水站处理；生活污水汇入</w:t>
                  </w:r>
                  <w:r>
                    <w:rPr>
                      <w:rFonts w:hint="eastAsia" w:ascii="Times New Roman" w:hAnsi="Times New Roman" w:eastAsia="宋体" w:cs="Times New Roman"/>
                      <w:color w:val="000000" w:themeColor="text1"/>
                      <w:lang w:val="en-US" w:eastAsia="zh-CN"/>
                      <w14:textFill>
                        <w14:solidFill>
                          <w14:schemeClr w14:val="tx1"/>
                        </w14:solidFill>
                      </w14:textFill>
                    </w:rPr>
                    <w:t>防渗收集池</w:t>
                  </w:r>
                  <w:r>
                    <w:rPr>
                      <w:rFonts w:hint="default" w:ascii="Times New Roman" w:hAnsi="Times New Roman" w:eastAsia="宋体" w:cs="Times New Roman"/>
                      <w:color w:val="000000" w:themeColor="text1"/>
                      <w:lang w:eastAsia="zh-CN"/>
                      <w14:textFill>
                        <w14:solidFill>
                          <w14:schemeClr w14:val="tx1"/>
                        </w14:solidFill>
                      </w14:textFill>
                    </w:rPr>
                    <w:t>收集暂存，定期由吸污车抽出后委托拉运至</w:t>
                  </w:r>
                  <w:r>
                    <w:rPr>
                      <w:rFonts w:hint="eastAsia" w:ascii="Times New Roman" w:hAnsi="Times New Roman" w:eastAsia="宋体" w:cs="Times New Roman"/>
                      <w:color w:val="000000" w:themeColor="text1"/>
                      <w:lang w:val="en-US" w:eastAsia="zh-CN"/>
                      <w14:textFill>
                        <w14:solidFill>
                          <w14:schemeClr w14:val="tx1"/>
                        </w14:solidFill>
                      </w14:textFill>
                    </w:rPr>
                    <w:t>吉木萨尔县</w:t>
                  </w:r>
                  <w:r>
                    <w:rPr>
                      <w:rFonts w:hint="default" w:ascii="Times New Roman" w:hAnsi="Times New Roman" w:eastAsia="宋体" w:cs="Times New Roman"/>
                      <w:color w:val="000000" w:themeColor="text1"/>
                      <w:lang w:eastAsia="zh-CN"/>
                      <w14:textFill>
                        <w14:solidFill>
                          <w14:schemeClr w14:val="tx1"/>
                        </w14:solidFill>
                      </w14:textFill>
                    </w:rPr>
                    <w:t>市政污水处理厂处理。关键区域做好符合相关环保要求的防渗措施；提高施工效率，缩短施工时间；工程结束后，做好施工场地的恢复工作。</w:t>
                  </w:r>
                </w:p>
              </w:tc>
            </w:tr>
            <w:tr w14:paraId="6EB32F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4" w:hRule="atLeast"/>
                <w:jc w:val="center"/>
              </w:trPr>
              <w:tc>
                <w:tcPr>
                  <w:tcW w:w="372" w:type="pct"/>
                  <w:tcBorders>
                    <w:left w:val="single" w:color="auto" w:sz="4" w:space="0"/>
                  </w:tcBorders>
                  <w:tcMar>
                    <w:left w:w="0" w:type="dxa"/>
                    <w:right w:w="0" w:type="dxa"/>
                  </w:tcMar>
                  <w:vAlign w:val="center"/>
                </w:tcPr>
                <w:p w14:paraId="7BA195B0">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661" w:type="pct"/>
                  <w:tcMar>
                    <w:left w:w="0" w:type="dxa"/>
                    <w:right w:w="0" w:type="dxa"/>
                  </w:tcMar>
                  <w:vAlign w:val="center"/>
                </w:tcPr>
                <w:p w14:paraId="00F88976">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固体废物</w:t>
                  </w:r>
                </w:p>
              </w:tc>
              <w:tc>
                <w:tcPr>
                  <w:tcW w:w="3966" w:type="pct"/>
                  <w:tcBorders>
                    <w:right w:val="single" w:color="auto" w:sz="4" w:space="0"/>
                  </w:tcBorders>
                  <w:tcMar>
                    <w:left w:w="0" w:type="dxa"/>
                    <w:right w:w="0" w:type="dxa"/>
                  </w:tcMar>
                  <w:vAlign w:val="center"/>
                </w:tcPr>
                <w:p w14:paraId="59BE258B">
                  <w:pPr>
                    <w:pStyle w:val="31"/>
                    <w:kinsoku/>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生活垃圾集中收集后委托第三方拉运至</w:t>
                  </w:r>
                  <w:r>
                    <w:rPr>
                      <w:rFonts w:hint="eastAsia" w:ascii="Times New Roman" w:hAnsi="Times New Roman" w:eastAsia="宋体" w:cs="Times New Roman"/>
                      <w:color w:val="000000" w:themeColor="text1"/>
                      <w:lang w:val="en-US" w:eastAsia="zh-CN"/>
                      <w14:textFill>
                        <w14:solidFill>
                          <w14:schemeClr w14:val="tx1"/>
                        </w14:solidFill>
                      </w14:textFill>
                    </w:rPr>
                    <w:t>吉木萨尔县</w:t>
                  </w:r>
                  <w:r>
                    <w:rPr>
                      <w:rFonts w:hint="default" w:ascii="Times New Roman" w:hAnsi="Times New Roman" w:eastAsia="宋体" w:cs="Times New Roman"/>
                      <w:color w:val="000000" w:themeColor="text1"/>
                      <w:lang w:eastAsia="zh-CN"/>
                      <w14:textFill>
                        <w14:solidFill>
                          <w14:schemeClr w14:val="tx1"/>
                        </w14:solidFill>
                      </w14:textFill>
                    </w:rPr>
                    <w:t>垃圾场处理。钻井过程中产生的钻井液及岩屑在井口采用固控工艺进行固液分离，分离出的液相优先回用于钻井液配制与循环使用；分离出的固相岩屑实行分类暂存与分流处置：一开段水基岩屑暂存于专用岩屑方罐内，委托具备相应处置能力的单位及时转运，固相检测达到《油气田钻井固体废物综合利用污染控制要求》（DB65/T3997-2017）限值后方可综合利用，不满足的按要求处置；二开段油基岩屑属于危险废物，</w:t>
                  </w:r>
                  <w:r>
                    <w:rPr>
                      <w:rFonts w:hint="default" w:ascii="Times New Roman" w:hAnsi="Times New Roman" w:eastAsia="宋体" w:cs="Times New Roman"/>
                      <w:color w:val="000000" w:themeColor="text1"/>
                      <w:lang w:val="en-US" w:eastAsia="zh-CN"/>
                      <w14:textFill>
                        <w14:solidFill>
                          <w14:schemeClr w14:val="tx1"/>
                        </w14:solidFill>
                      </w14:textFill>
                    </w:rPr>
                    <w:t>规范</w:t>
                  </w:r>
                  <w:r>
                    <w:rPr>
                      <w:rFonts w:hint="default" w:ascii="Times New Roman" w:hAnsi="Times New Roman" w:eastAsia="宋体" w:cs="Times New Roman"/>
                      <w:color w:val="000000" w:themeColor="text1"/>
                      <w:lang w:eastAsia="zh-CN"/>
                      <w14:textFill>
                        <w14:solidFill>
                          <w14:schemeClr w14:val="tx1"/>
                        </w14:solidFill>
                      </w14:textFill>
                    </w:rPr>
                    <w:t>收集、防渗暂存，委托具有危险废物经营资质的单位</w:t>
                  </w:r>
                  <w:r>
                    <w:rPr>
                      <w:rFonts w:hint="default" w:ascii="Times New Roman" w:hAnsi="Times New Roman" w:eastAsia="宋体" w:cs="Times New Roman"/>
                      <w:color w:val="000000" w:themeColor="text1"/>
                      <w:lang w:val="en-US" w:eastAsia="zh-CN"/>
                      <w14:textFill>
                        <w14:solidFill>
                          <w14:schemeClr w14:val="tx1"/>
                        </w14:solidFill>
                      </w14:textFill>
                    </w:rPr>
                    <w:t>及时（基本日产日清）</w:t>
                  </w:r>
                  <w:r>
                    <w:rPr>
                      <w:rFonts w:hint="default" w:ascii="Times New Roman" w:hAnsi="Times New Roman" w:eastAsia="宋体" w:cs="Times New Roman"/>
                      <w:color w:val="000000" w:themeColor="text1"/>
                      <w:lang w:eastAsia="zh-CN"/>
                      <w14:textFill>
                        <w14:solidFill>
                          <w14:schemeClr w14:val="tx1"/>
                        </w14:solidFill>
                      </w14:textFill>
                    </w:rPr>
                    <w:t>规范转移处置；三开阶段虽使用水基钻井液，但考虑到存在沾染二开阶段油类物质的风险，在对含油量进行检测之前，其产生的泥浆及岩屑须暂按危险废物进行严格管理和处置；待检测结果出具后，若含油量检测结果显示属于危险废物，则继续按照危险废物进行合规处置；若含油量检测结果满足相关标准（不属于危险废物），则按照一般工业固体废物进行处置。粘油废防渗材料、落地油、机械设备废油与废润滑油桶委托有资质单位进行妥善处理。</w:t>
                  </w:r>
                </w:p>
              </w:tc>
            </w:tr>
            <w:tr w14:paraId="38B05E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372" w:type="pct"/>
                  <w:tcBorders>
                    <w:left w:val="single" w:color="auto" w:sz="4" w:space="0"/>
                  </w:tcBorders>
                  <w:tcMar>
                    <w:left w:w="0" w:type="dxa"/>
                    <w:right w:w="0" w:type="dxa"/>
                  </w:tcMar>
                  <w:vAlign w:val="center"/>
                </w:tcPr>
                <w:p w14:paraId="6B3B870E">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661" w:type="pct"/>
                  <w:tcMar>
                    <w:left w:w="0" w:type="dxa"/>
                    <w:right w:w="0" w:type="dxa"/>
                  </w:tcMar>
                  <w:vAlign w:val="center"/>
                </w:tcPr>
                <w:p w14:paraId="65B907D0">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生态环境</w:t>
                  </w:r>
                </w:p>
              </w:tc>
              <w:tc>
                <w:tcPr>
                  <w:tcW w:w="3966" w:type="pct"/>
                  <w:tcBorders>
                    <w:right w:val="single" w:color="auto" w:sz="4" w:space="0"/>
                  </w:tcBorders>
                  <w:tcMar>
                    <w:left w:w="0" w:type="dxa"/>
                    <w:right w:w="0" w:type="dxa"/>
                  </w:tcMar>
                  <w:vAlign w:val="center"/>
                </w:tcPr>
                <w:p w14:paraId="066DADC7">
                  <w:pPr>
                    <w:pStyle w:val="31"/>
                    <w:kinsoku/>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14:paraId="706EB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8" w:hRule="atLeast"/>
                <w:jc w:val="center"/>
              </w:trPr>
              <w:tc>
                <w:tcPr>
                  <w:tcW w:w="372" w:type="pct"/>
                  <w:tcBorders>
                    <w:left w:val="single" w:color="auto" w:sz="4" w:space="0"/>
                  </w:tcBorders>
                  <w:tcMar>
                    <w:left w:w="0" w:type="dxa"/>
                    <w:right w:w="0" w:type="dxa"/>
                  </w:tcMar>
                  <w:vAlign w:val="center"/>
                </w:tcPr>
                <w:p w14:paraId="61221DE2">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p>
              </w:tc>
              <w:tc>
                <w:tcPr>
                  <w:tcW w:w="661" w:type="pct"/>
                  <w:tcMar>
                    <w:left w:w="0" w:type="dxa"/>
                    <w:right w:w="0" w:type="dxa"/>
                  </w:tcMar>
                  <w:vAlign w:val="center"/>
                </w:tcPr>
                <w:p w14:paraId="74E15518">
                  <w:pPr>
                    <w:pStyle w:val="31"/>
                    <w:kinsoku/>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环境管理</w:t>
                  </w:r>
                </w:p>
              </w:tc>
              <w:tc>
                <w:tcPr>
                  <w:tcW w:w="3966" w:type="pct"/>
                  <w:tcBorders>
                    <w:right w:val="single" w:color="auto" w:sz="4" w:space="0"/>
                  </w:tcBorders>
                  <w:tcMar>
                    <w:left w:w="0" w:type="dxa"/>
                    <w:right w:w="0" w:type="dxa"/>
                  </w:tcMar>
                  <w:vAlign w:val="center"/>
                </w:tcPr>
                <w:p w14:paraId="038A6C70">
                  <w:pPr>
                    <w:pStyle w:val="31"/>
                    <w:kinsoku/>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14:paraId="6325EEB8">
            <w:pPr>
              <w:pStyle w:val="22"/>
              <w:widowControl w:val="0"/>
              <w:kinsoku/>
              <w:spacing w:before="5" w:line="358" w:lineRule="auto"/>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2.环境监测计划</w:t>
            </w:r>
          </w:p>
          <w:p w14:paraId="692A6DE4">
            <w:pPr>
              <w:pStyle w:val="22"/>
              <w:widowControl w:val="0"/>
              <w:kinsoku/>
              <w:spacing w:line="357" w:lineRule="auto"/>
              <w:ind w:left="6" w:firstLine="430"/>
              <w:jc w:val="both"/>
              <w:rPr>
                <w:rFonts w:hint="default" w:ascii="Times New Roman" w:hAnsi="Times New Roman" w:eastAsia="宋体" w:cs="Times New Roman"/>
                <w:color w:val="000000" w:themeColor="text1"/>
                <w:spacing w:val="-3"/>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根据项目特点，本项目为陆地油气勘探评价井钻试工程，施工周期较短，环境影响具有阶段性。项目环境管理以施工期环境监测与环境检查为主，参照相关环境管理技术指南要求制定环境监测与检查计划</w:t>
            </w:r>
            <w:r>
              <w:rPr>
                <w:rFonts w:hint="default" w:ascii="Times New Roman" w:hAnsi="Times New Roman" w:eastAsia="宋体" w:cs="Times New Roman"/>
                <w:color w:val="000000" w:themeColor="text1"/>
                <w:spacing w:val="-3"/>
                <w:sz w:val="24"/>
                <w:szCs w:val="24"/>
                <w:lang w:eastAsia="zh-CN"/>
                <w14:textFill>
                  <w14:solidFill>
                    <w14:schemeClr w14:val="tx1"/>
                  </w14:solidFill>
                </w14:textFill>
              </w:rPr>
              <w:t>。</w:t>
            </w:r>
          </w:p>
          <w:p w14:paraId="1BC6C47C">
            <w:pPr>
              <w:pStyle w:val="22"/>
              <w:widowControl w:val="0"/>
              <w:kinsoku/>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5"/>
                <w:sz w:val="21"/>
                <w:szCs w:val="21"/>
                <w14:textFill>
                  <w14:solidFill>
                    <w14:schemeClr w14:val="tx1"/>
                  </w14:solidFill>
                </w14:textFill>
              </w:rPr>
              <w:t>表</w:t>
            </w:r>
            <w:r>
              <w:rPr>
                <w:rFonts w:hint="default" w:ascii="Times New Roman" w:hAnsi="Times New Roman" w:eastAsia="宋体" w:cs="Times New Roman"/>
                <w:b/>
                <w:bCs/>
                <w:color w:val="000000" w:themeColor="text1"/>
                <w:spacing w:val="5"/>
                <w:sz w:val="21"/>
                <w:szCs w:val="21"/>
                <w:lang w:eastAsia="zh-CN"/>
                <w14:textFill>
                  <w14:solidFill>
                    <w14:schemeClr w14:val="tx1"/>
                  </w14:solidFill>
                </w14:textFill>
              </w:rPr>
              <w:t>5-3</w:t>
            </w:r>
            <w:r>
              <w:rPr>
                <w:rFonts w:hint="default" w:ascii="Times New Roman" w:hAnsi="Times New Roman" w:eastAsia="宋体" w:cs="Times New Roman"/>
                <w:b/>
                <w:bCs/>
                <w:color w:val="000000" w:themeColor="text1"/>
                <w:spacing w:val="5"/>
                <w:sz w:val="21"/>
                <w:szCs w:val="21"/>
                <w14:textFill>
                  <w14:solidFill>
                    <w14:schemeClr w14:val="tx1"/>
                  </w14:solidFill>
                </w14:textFill>
              </w:rPr>
              <w:t>环境监测计划表</w:t>
            </w:r>
          </w:p>
          <w:tbl>
            <w:tblPr>
              <w:tblStyle w:val="21"/>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9"/>
              <w:gridCol w:w="2227"/>
              <w:gridCol w:w="958"/>
              <w:gridCol w:w="2111"/>
              <w:gridCol w:w="2103"/>
            </w:tblGrid>
            <w:tr w14:paraId="7C27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9" w:type="dxa"/>
                  <w:vAlign w:val="center"/>
                </w:tcPr>
                <w:p w14:paraId="336C77CE">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监测要素</w:t>
                  </w:r>
                </w:p>
              </w:tc>
              <w:tc>
                <w:tcPr>
                  <w:tcW w:w="2227" w:type="dxa"/>
                  <w:vAlign w:val="center"/>
                </w:tcPr>
                <w:p w14:paraId="633CDA7F">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监测点位</w:t>
                  </w:r>
                </w:p>
              </w:tc>
              <w:tc>
                <w:tcPr>
                  <w:tcW w:w="958" w:type="dxa"/>
                  <w:vAlign w:val="center"/>
                </w:tcPr>
                <w:p w14:paraId="309730F9">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监测项目/因子</w:t>
                  </w:r>
                </w:p>
              </w:tc>
              <w:tc>
                <w:tcPr>
                  <w:tcW w:w="2111" w:type="dxa"/>
                  <w:vAlign w:val="center"/>
                </w:tcPr>
                <w:p w14:paraId="333E9D72">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监测频次与周期</w:t>
                  </w:r>
                </w:p>
              </w:tc>
              <w:tc>
                <w:tcPr>
                  <w:tcW w:w="2103" w:type="dxa"/>
                  <w:vAlign w:val="center"/>
                </w:tcPr>
                <w:p w14:paraId="042AE1DA">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执行标准</w:t>
                  </w:r>
                </w:p>
              </w:tc>
            </w:tr>
            <w:tr w14:paraId="5F85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619" w:type="dxa"/>
                  <w:vAlign w:val="center"/>
                </w:tcPr>
                <w:p w14:paraId="061AC79B">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环境空气</w:t>
                  </w:r>
                </w:p>
              </w:tc>
              <w:tc>
                <w:tcPr>
                  <w:tcW w:w="2227" w:type="dxa"/>
                  <w:vAlign w:val="center"/>
                </w:tcPr>
                <w:p w14:paraId="4C683064">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井场上风向、下风向各设 1 个监测点（共2个点位）</w:t>
                  </w:r>
                </w:p>
              </w:tc>
              <w:tc>
                <w:tcPr>
                  <w:tcW w:w="958" w:type="dxa"/>
                  <w:vAlign w:val="center"/>
                </w:tcPr>
                <w:p w14:paraId="5415572D">
                  <w:pPr>
                    <w:keepNext w:val="0"/>
                    <w:keepLines w:val="0"/>
                    <w:widowControl/>
                    <w:suppressLineNumbers w:val="0"/>
                    <w:bidi w:val="0"/>
                    <w:jc w:val="center"/>
                    <w:textAlignment w:val="bottom"/>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非甲烷总烃、H₂S</w:t>
                  </w:r>
                </w:p>
              </w:tc>
              <w:tc>
                <w:tcPr>
                  <w:tcW w:w="2111" w:type="dxa"/>
                  <w:vAlign w:val="center"/>
                </w:tcPr>
                <w:p w14:paraId="51BE33EF">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试油期监测 1 次，监测持续 2~3 天。</w:t>
                  </w:r>
                </w:p>
              </w:tc>
              <w:tc>
                <w:tcPr>
                  <w:tcW w:w="2103" w:type="dxa"/>
                  <w:vAlign w:val="center"/>
                </w:tcPr>
                <w:p w14:paraId="08DB48D2">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《大气污染物综合排放标准》(GB16297</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-1996</w:t>
                  </w: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 / 《恶臭污染物排放标准》(GB14554</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-2018</w:t>
                  </w: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w:t>
                  </w:r>
                </w:p>
              </w:tc>
            </w:tr>
            <w:tr w14:paraId="612A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619" w:type="dxa"/>
                  <w:vAlign w:val="center"/>
                </w:tcPr>
                <w:p w14:paraId="186CDD91">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声环境</w:t>
                  </w:r>
                </w:p>
              </w:tc>
              <w:tc>
                <w:tcPr>
                  <w:tcW w:w="2227" w:type="dxa"/>
                  <w:vAlign w:val="center"/>
                </w:tcPr>
                <w:p w14:paraId="237CD294">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井场边界东、南、西、北四方位各设 1 个监测点（外1m处，共4个点位）</w:t>
                  </w:r>
                </w:p>
              </w:tc>
              <w:tc>
                <w:tcPr>
                  <w:tcW w:w="958" w:type="dxa"/>
                  <w:vAlign w:val="center"/>
                </w:tcPr>
                <w:p w14:paraId="06A7358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等效连续A声级 (Leq)</w:t>
                  </w:r>
                </w:p>
              </w:tc>
              <w:tc>
                <w:tcPr>
                  <w:tcW w:w="2111" w:type="dxa"/>
                  <w:vAlign w:val="center"/>
                </w:tcPr>
                <w:p w14:paraId="57BC897A">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钻井期、试油期各监测 1 次；每次昼间、夜间各监测2个时段。</w:t>
                  </w:r>
                </w:p>
              </w:tc>
              <w:tc>
                <w:tcPr>
                  <w:tcW w:w="2103" w:type="dxa"/>
                  <w:vAlign w:val="center"/>
                </w:tcPr>
                <w:p w14:paraId="76F2F192">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《建筑施工场界环境噪声排放标准》（GB12523</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-2025</w:t>
                  </w: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w:t>
                  </w:r>
                </w:p>
              </w:tc>
            </w:tr>
            <w:tr w14:paraId="409B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619" w:type="dxa"/>
                  <w:vAlign w:val="center"/>
                </w:tcPr>
                <w:p w14:paraId="3407CFF2">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土壤环境</w:t>
                  </w:r>
                </w:p>
              </w:tc>
              <w:tc>
                <w:tcPr>
                  <w:tcW w:w="2227" w:type="dxa"/>
                  <w:vAlign w:val="center"/>
                </w:tcPr>
                <w:p w14:paraId="2AC13375">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重点防渗区周边设置 3 个土壤监测点</w:t>
                  </w:r>
                </w:p>
              </w:tc>
              <w:tc>
                <w:tcPr>
                  <w:tcW w:w="958" w:type="dxa"/>
                  <w:vAlign w:val="center"/>
                </w:tcPr>
                <w:p w14:paraId="50DFE05A">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pH、石油烃（C10-C40）</w:t>
                  </w:r>
                </w:p>
              </w:tc>
              <w:tc>
                <w:tcPr>
                  <w:tcW w:w="2111" w:type="dxa"/>
                  <w:vAlign w:val="center"/>
                </w:tcPr>
                <w:p w14:paraId="37AEB629">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完井清场及封井后补充 1 次监测。</w:t>
                  </w:r>
                </w:p>
              </w:tc>
              <w:tc>
                <w:tcPr>
                  <w:tcW w:w="2103" w:type="dxa"/>
                  <w:vAlign w:val="center"/>
                </w:tcPr>
                <w:p w14:paraId="448F1817">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《土壤环境质量 农用地土壤污染风险管控标准》</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（GB15618-2018）</w:t>
                  </w:r>
                </w:p>
              </w:tc>
            </w:tr>
            <w:tr w14:paraId="0EC6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619" w:type="dxa"/>
                  <w:vAlign w:val="center"/>
                </w:tcPr>
                <w:p w14:paraId="2FFDE569">
                  <w:pPr>
                    <w:keepNext w:val="0"/>
                    <w:keepLines w:val="0"/>
                    <w:widowControl/>
                    <w:suppressLineNumbers w:val="0"/>
                    <w:bidi w:val="0"/>
                    <w:jc w:val="center"/>
                    <w:textAlignment w:val="bottom"/>
                    <w:rPr>
                      <w:rFonts w:hint="default" w:ascii="Times New Roman" w:hAnsi="Times New Roman" w:eastAsia="宋体" w:cs="Times New Roman"/>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地下水环境</w:t>
                  </w:r>
                </w:p>
              </w:tc>
              <w:tc>
                <w:tcPr>
                  <w:tcW w:w="2227" w:type="dxa"/>
                  <w:vAlign w:val="center"/>
                </w:tcPr>
                <w:p w14:paraId="0C33F3CE">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井场周边设置 2 个地下水监测井（涵盖浅层、深层含水层）</w:t>
                  </w:r>
                </w:p>
              </w:tc>
              <w:tc>
                <w:tcPr>
                  <w:tcW w:w="958" w:type="dxa"/>
                  <w:vAlign w:val="center"/>
                </w:tcPr>
                <w:p w14:paraId="094EB456">
                  <w:pPr>
                    <w:keepNext w:val="0"/>
                    <w:keepLines w:val="0"/>
                    <w:widowControl/>
                    <w:suppressLineNumbers w:val="0"/>
                    <w:bidi w:val="0"/>
                    <w:jc w:val="center"/>
                    <w:textAlignment w:val="bottom"/>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pH、石油烃、COD</w:t>
                  </w:r>
                </w:p>
              </w:tc>
              <w:tc>
                <w:tcPr>
                  <w:tcW w:w="2111" w:type="dxa"/>
                  <w:vAlign w:val="center"/>
                </w:tcPr>
                <w:p w14:paraId="31557745">
                  <w:pPr>
                    <w:keepNext w:val="0"/>
                    <w:keepLines w:val="0"/>
                    <w:widowControl/>
                    <w:suppressLineNumbers w:val="0"/>
                    <w:bidi w:val="0"/>
                    <w:jc w:val="center"/>
                    <w:textAlignment w:val="bottom"/>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施工期、封井后各监测 1 次。</w:t>
                  </w:r>
                </w:p>
              </w:tc>
              <w:tc>
                <w:tcPr>
                  <w:tcW w:w="2103" w:type="dxa"/>
                  <w:vAlign w:val="center"/>
                </w:tcPr>
                <w:p w14:paraId="6C906B1B">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《地下水质量标准》(GB/T14848</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-2024</w:t>
                  </w: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w:t>
                  </w:r>
                </w:p>
              </w:tc>
            </w:tr>
          </w:tbl>
          <w:p w14:paraId="7EAF4555">
            <w:pPr>
              <w:pStyle w:val="26"/>
              <w:widowControl w:val="0"/>
              <w:kinsoku/>
              <w:ind w:firstLine="0" w:firstLineChars="0"/>
              <w:jc w:val="both"/>
              <w:rPr>
                <w:rFonts w:hint="default" w:ascii="Times New Roman" w:hAnsi="Times New Roman" w:eastAsia="宋体" w:cs="Times New Roman"/>
                <w:color w:val="000000" w:themeColor="text1"/>
                <w:lang w:eastAsia="zh-CN"/>
                <w14:textFill>
                  <w14:solidFill>
                    <w14:schemeClr w14:val="tx1"/>
                  </w14:solidFill>
                </w14:textFill>
              </w:rPr>
            </w:pPr>
          </w:p>
        </w:tc>
      </w:tr>
      <w:tr w14:paraId="727E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3" w:hRule="atLeast"/>
          <w:jc w:val="center"/>
        </w:trPr>
        <w:tc>
          <w:tcPr>
            <w:tcW w:w="271" w:type="pct"/>
            <w:vAlign w:val="center"/>
          </w:tcPr>
          <w:p w14:paraId="28463F4E">
            <w:pPr>
              <w:widowControl w:val="0"/>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环保投资</w:t>
            </w:r>
          </w:p>
        </w:tc>
        <w:tc>
          <w:tcPr>
            <w:tcW w:w="4728" w:type="pct"/>
            <w:vAlign w:val="center"/>
          </w:tcPr>
          <w:p w14:paraId="29F76ADB">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43" w:name="_Hlk136795979"/>
            <w:r>
              <w:rPr>
                <w:rFonts w:hint="default" w:ascii="Times New Roman" w:hAnsi="Times New Roman" w:eastAsia="宋体" w:cs="Times New Roman"/>
                <w:color w:val="000000" w:themeColor="text1"/>
                <w:sz w:val="24"/>
                <w:szCs w:val="24"/>
                <w:lang w:eastAsia="zh-CN"/>
                <w14:textFill>
                  <w14:solidFill>
                    <w14:schemeClr w14:val="tx1"/>
                  </w14:solidFill>
                </w14:textFill>
              </w:rPr>
              <w:t>项目总投资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5866</w:t>
            </w:r>
            <w:r>
              <w:rPr>
                <w:rFonts w:hint="default" w:ascii="Times New Roman" w:hAnsi="Times New Roman" w:eastAsia="宋体" w:cs="Times New Roman"/>
                <w:color w:val="000000" w:themeColor="text1"/>
                <w:sz w:val="24"/>
                <w:szCs w:val="24"/>
                <w:lang w:eastAsia="zh-CN"/>
                <w14:textFill>
                  <w14:solidFill>
                    <w14:schemeClr w14:val="tx1"/>
                  </w14:solidFill>
                </w14:textFill>
              </w:rPr>
              <w:t>万元，其中环保投资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eastAsia="zh-CN"/>
                <w14:textFill>
                  <w14:solidFill>
                    <w14:schemeClr w14:val="tx1"/>
                  </w14:solidFill>
                </w14:textFill>
              </w:rPr>
              <w:t>万元，占工程总投资的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eastAsia="zh-CN"/>
                <w14:textFill>
                  <w14:solidFill>
                    <w14:schemeClr w14:val="tx1"/>
                  </w14:solidFill>
                </w14:textFill>
              </w:rPr>
              <w:t>%。环保投资详见表5-4。</w:t>
            </w:r>
          </w:p>
          <w:p w14:paraId="13CB0D08">
            <w:pPr>
              <w:pStyle w:val="7"/>
              <w:widowControl w:val="0"/>
              <w:kinsoku/>
              <w:spacing w:line="240" w:lineRule="auto"/>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表5-4 环保投资一览表</w:t>
            </w:r>
          </w:p>
          <w:bookmarkEnd w:id="43"/>
          <w:tbl>
            <w:tblPr>
              <w:tblStyle w:val="16"/>
              <w:tblW w:w="83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623"/>
              <w:gridCol w:w="4709"/>
              <w:gridCol w:w="964"/>
              <w:gridCol w:w="557"/>
            </w:tblGrid>
            <w:tr w14:paraId="5DD36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73" w:type="pct"/>
                  <w:gridSpan w:val="2"/>
                  <w:tcBorders>
                    <w:top w:val="single" w:color="auto" w:sz="4" w:space="0"/>
                    <w:left w:val="single" w:color="auto" w:sz="0" w:space="0"/>
                  </w:tcBorders>
                  <w:tcMar>
                    <w:left w:w="0" w:type="dxa"/>
                    <w:right w:w="0" w:type="dxa"/>
                  </w:tcMar>
                  <w:vAlign w:val="center"/>
                </w:tcPr>
                <w:p w14:paraId="6FBFAB98">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工程名称</w:t>
                  </w:r>
                </w:p>
              </w:tc>
              <w:tc>
                <w:tcPr>
                  <w:tcW w:w="2816" w:type="pct"/>
                  <w:tcBorders>
                    <w:top w:val="single" w:color="auto" w:sz="4" w:space="0"/>
                  </w:tcBorders>
                  <w:tcMar>
                    <w:left w:w="0" w:type="dxa"/>
                    <w:right w:w="0" w:type="dxa"/>
                  </w:tcMar>
                  <w:vAlign w:val="center"/>
                </w:tcPr>
                <w:p w14:paraId="2726CF32">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拟采取的环保措施</w:t>
                  </w:r>
                </w:p>
              </w:tc>
              <w:tc>
                <w:tcPr>
                  <w:tcW w:w="576" w:type="pct"/>
                  <w:tcBorders>
                    <w:top w:val="single" w:color="auto" w:sz="4" w:space="0"/>
                  </w:tcBorders>
                  <w:tcMar>
                    <w:left w:w="0" w:type="dxa"/>
                    <w:right w:w="0" w:type="dxa"/>
                  </w:tcMar>
                  <w:vAlign w:val="center"/>
                </w:tcPr>
                <w:p w14:paraId="16E77713">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环保投资</w:t>
                  </w:r>
                </w:p>
                <w:p w14:paraId="48CFD970">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（万元）</w:t>
                  </w:r>
                </w:p>
              </w:tc>
              <w:tc>
                <w:tcPr>
                  <w:tcW w:w="333" w:type="pct"/>
                  <w:tcBorders>
                    <w:top w:val="single" w:color="auto" w:sz="4" w:space="0"/>
                    <w:right w:val="single" w:color="auto" w:sz="4" w:space="0"/>
                  </w:tcBorders>
                  <w:tcMar>
                    <w:left w:w="0" w:type="dxa"/>
                    <w:right w:w="0" w:type="dxa"/>
                  </w:tcMar>
                  <w:vAlign w:val="center"/>
                </w:tcPr>
                <w:p w14:paraId="68D566BE">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实施时间</w:t>
                  </w:r>
                </w:p>
              </w:tc>
            </w:tr>
            <w:tr w14:paraId="081E5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02" w:type="pct"/>
                  <w:vMerge w:val="restart"/>
                  <w:tcBorders>
                    <w:left w:val="single" w:color="auto" w:sz="4" w:space="0"/>
                  </w:tcBorders>
                  <w:tcMar>
                    <w:left w:w="0" w:type="dxa"/>
                    <w:right w:w="0" w:type="dxa"/>
                  </w:tcMar>
                  <w:vAlign w:val="center"/>
                </w:tcPr>
                <w:p w14:paraId="11CA695D">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bookmarkStart w:id="44" w:name="_Hlk180059680"/>
                  <w:r>
                    <w:rPr>
                      <w:rFonts w:hint="default" w:ascii="Times New Roman" w:hAnsi="Times New Roman" w:eastAsia="宋体" w:cs="Times New Roman"/>
                      <w:color w:val="000000" w:themeColor="text1"/>
                      <w14:textFill>
                        <w14:solidFill>
                          <w14:schemeClr w14:val="tx1"/>
                        </w14:solidFill>
                      </w14:textFill>
                    </w:rPr>
                    <w:t>废气</w:t>
                  </w:r>
                </w:p>
              </w:tc>
              <w:tc>
                <w:tcPr>
                  <w:tcW w:w="970" w:type="pct"/>
                  <w:vAlign w:val="center"/>
                </w:tcPr>
                <w:p w14:paraId="1D38DBD2">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试油伴生气</w:t>
                  </w:r>
                </w:p>
              </w:tc>
              <w:tc>
                <w:tcPr>
                  <w:tcW w:w="2816" w:type="pct"/>
                  <w:tcMar>
                    <w:left w:w="0" w:type="dxa"/>
                    <w:right w:w="0" w:type="dxa"/>
                  </w:tcMar>
                  <w:vAlign w:val="center"/>
                </w:tcPr>
                <w:p w14:paraId="2955C242">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经排气管线充分燃烧后排放。</w:t>
                  </w:r>
                </w:p>
              </w:tc>
              <w:tc>
                <w:tcPr>
                  <w:tcW w:w="576" w:type="pct"/>
                  <w:tcMar>
                    <w:left w:w="0" w:type="dxa"/>
                    <w:right w:w="0" w:type="dxa"/>
                  </w:tcMar>
                  <w:vAlign w:val="center"/>
                </w:tcPr>
                <w:p w14:paraId="5A0A35F1">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333" w:type="pct"/>
                  <w:vMerge w:val="restart"/>
                  <w:tcBorders>
                    <w:right w:val="single" w:color="auto" w:sz="4" w:space="0"/>
                  </w:tcBorders>
                  <w:tcMar>
                    <w:left w:w="0" w:type="dxa"/>
                    <w:right w:w="0" w:type="dxa"/>
                  </w:tcMar>
                  <w:vAlign w:val="center"/>
                </w:tcPr>
                <w:p w14:paraId="54C441D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与钻井、试油期同步</w:t>
                  </w:r>
                </w:p>
              </w:tc>
            </w:tr>
            <w:tr w14:paraId="34E59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02" w:type="pct"/>
                  <w:vMerge w:val="continue"/>
                  <w:tcBorders>
                    <w:left w:val="single" w:color="auto" w:sz="4" w:space="0"/>
                  </w:tcBorders>
                  <w:tcMar>
                    <w:left w:w="0" w:type="dxa"/>
                    <w:right w:w="0" w:type="dxa"/>
                  </w:tcMar>
                  <w:vAlign w:val="center"/>
                </w:tcPr>
                <w:p w14:paraId="0ECAC59E">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vAlign w:val="center"/>
                </w:tcPr>
                <w:p w14:paraId="45B85EBC">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锅炉废气</w:t>
                  </w:r>
                </w:p>
              </w:tc>
              <w:tc>
                <w:tcPr>
                  <w:tcW w:w="2816" w:type="pct"/>
                  <w:tcMar>
                    <w:left w:w="0" w:type="dxa"/>
                    <w:right w:w="0" w:type="dxa"/>
                  </w:tcMar>
                  <w:vAlign w:val="center"/>
                </w:tcPr>
                <w:p w14:paraId="1A26C80D">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采用水幕预除尘+耐高温布袋除尘器+低氮燃烧技术（风配优化、分级燃烧），拟设置1根30m高排气筒</w:t>
                  </w:r>
                </w:p>
              </w:tc>
              <w:tc>
                <w:tcPr>
                  <w:tcW w:w="576" w:type="pct"/>
                  <w:tcMar>
                    <w:left w:w="0" w:type="dxa"/>
                    <w:right w:w="0" w:type="dxa"/>
                  </w:tcMar>
                  <w:vAlign w:val="center"/>
                </w:tcPr>
                <w:p w14:paraId="68BB6070">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333" w:type="pct"/>
                  <w:vMerge w:val="continue"/>
                  <w:tcBorders>
                    <w:right w:val="single" w:color="auto" w:sz="4" w:space="0"/>
                  </w:tcBorders>
                  <w:tcMar>
                    <w:left w:w="0" w:type="dxa"/>
                    <w:right w:w="0" w:type="dxa"/>
                  </w:tcMar>
                  <w:vAlign w:val="center"/>
                </w:tcPr>
                <w:p w14:paraId="5C1C96CA">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0326C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02" w:type="pct"/>
                  <w:vMerge w:val="continue"/>
                  <w:tcBorders>
                    <w:left w:val="single" w:color="auto" w:sz="4" w:space="0"/>
                  </w:tcBorders>
                  <w:tcMar>
                    <w:left w:w="0" w:type="dxa"/>
                    <w:right w:w="0" w:type="dxa"/>
                  </w:tcMar>
                  <w:vAlign w:val="center"/>
                </w:tcPr>
                <w:p w14:paraId="0D33B5E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vAlign w:val="center"/>
                </w:tcPr>
                <w:p w14:paraId="140BEF1B">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施工扬尘</w:t>
                  </w:r>
                </w:p>
              </w:tc>
              <w:tc>
                <w:tcPr>
                  <w:tcW w:w="2816" w:type="pct"/>
                  <w:tcMar>
                    <w:left w:w="0" w:type="dxa"/>
                    <w:right w:w="0" w:type="dxa"/>
                  </w:tcMar>
                  <w:vAlign w:val="center"/>
                </w:tcPr>
                <w:p w14:paraId="28E094D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临时堆土场设置挡土围堰（≥0.3m）及防尘网100%苫盖、定时洒水抑尘</w:t>
                  </w:r>
                  <w:r>
                    <w:rPr>
                      <w:rFonts w:hint="eastAsia" w:ascii="Times New Roman" w:hAnsi="Times New Roman" w:eastAsia="宋体" w:cs="Times New Roman"/>
                      <w:color w:val="000000" w:themeColor="text1"/>
                      <w:lang w:val="en-US" w:eastAsia="zh-CN"/>
                      <w14:textFill>
                        <w14:solidFill>
                          <w14:schemeClr w14:val="tx1"/>
                        </w14:solidFill>
                      </w14:textFill>
                    </w:rPr>
                    <w:t>等</w:t>
                  </w:r>
                  <w:r>
                    <w:rPr>
                      <w:rFonts w:hint="default" w:ascii="Times New Roman" w:hAnsi="Times New Roman" w:eastAsia="宋体" w:cs="Times New Roman"/>
                      <w:color w:val="000000" w:themeColor="text1"/>
                      <w:lang w:eastAsia="zh-CN"/>
                      <w14:textFill>
                        <w14:solidFill>
                          <w14:schemeClr w14:val="tx1"/>
                        </w14:solidFill>
                      </w14:textFill>
                    </w:rPr>
                    <w:t>。</w:t>
                  </w:r>
                </w:p>
              </w:tc>
              <w:tc>
                <w:tcPr>
                  <w:tcW w:w="576" w:type="pct"/>
                  <w:tcMar>
                    <w:left w:w="0" w:type="dxa"/>
                    <w:right w:w="0" w:type="dxa"/>
                  </w:tcMar>
                  <w:vAlign w:val="center"/>
                </w:tcPr>
                <w:p w14:paraId="4ABA87CB">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w:t>
                  </w:r>
                </w:p>
              </w:tc>
              <w:tc>
                <w:tcPr>
                  <w:tcW w:w="333" w:type="pct"/>
                  <w:vMerge w:val="continue"/>
                  <w:tcBorders>
                    <w:right w:val="single" w:color="auto" w:sz="4" w:space="0"/>
                  </w:tcBorders>
                  <w:tcMar>
                    <w:left w:w="0" w:type="dxa"/>
                    <w:right w:w="0" w:type="dxa"/>
                  </w:tcMar>
                  <w:vAlign w:val="center"/>
                </w:tcPr>
                <w:p w14:paraId="70F85D78">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67EB9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02" w:type="pct"/>
                  <w:vMerge w:val="restart"/>
                  <w:tcBorders>
                    <w:left w:val="single" w:color="auto" w:sz="4" w:space="0"/>
                  </w:tcBorders>
                  <w:tcMar>
                    <w:left w:w="0" w:type="dxa"/>
                    <w:right w:w="0" w:type="dxa"/>
                  </w:tcMar>
                  <w:vAlign w:val="center"/>
                </w:tcPr>
                <w:p w14:paraId="0183B5FF">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bookmarkStart w:id="45" w:name="_Hlk189405565"/>
                  <w:r>
                    <w:rPr>
                      <w:rFonts w:hint="default" w:ascii="Times New Roman" w:hAnsi="Times New Roman" w:eastAsia="宋体" w:cs="Times New Roman"/>
                      <w:color w:val="000000" w:themeColor="text1"/>
                      <w14:textFill>
                        <w14:solidFill>
                          <w14:schemeClr w14:val="tx1"/>
                        </w14:solidFill>
                      </w14:textFill>
                    </w:rPr>
                    <w:t>废水处理</w:t>
                  </w:r>
                </w:p>
              </w:tc>
              <w:tc>
                <w:tcPr>
                  <w:tcW w:w="970" w:type="pct"/>
                  <w:tcMar>
                    <w:left w:w="0" w:type="dxa"/>
                    <w:right w:w="0" w:type="dxa"/>
                  </w:tcMar>
                  <w:vAlign w:val="center"/>
                </w:tcPr>
                <w:p w14:paraId="34E9A12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洗井废水、压裂返排液</w:t>
                  </w:r>
                </w:p>
              </w:tc>
              <w:tc>
                <w:tcPr>
                  <w:tcW w:w="2816" w:type="pct"/>
                  <w:tcMar>
                    <w:left w:w="0" w:type="dxa"/>
                    <w:right w:w="0" w:type="dxa"/>
                  </w:tcMar>
                  <w:vAlign w:val="center"/>
                </w:tcPr>
                <w:p w14:paraId="01D81169">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钻井液不落地系统；试油压裂返排液及洗井废水采用防渗专用方罐暂存，使用内衬HDPE膜的专用吸污罐车拉运至吉康脱水站集中处理的租赁、拉运及委外处置费。</w:t>
                  </w:r>
                </w:p>
              </w:tc>
              <w:tc>
                <w:tcPr>
                  <w:tcW w:w="576" w:type="pct"/>
                  <w:tcMar>
                    <w:left w:w="0" w:type="dxa"/>
                    <w:right w:w="0" w:type="dxa"/>
                  </w:tcMar>
                  <w:vAlign w:val="center"/>
                </w:tcPr>
                <w:p w14:paraId="59208AF9">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w:t>
                  </w:r>
                </w:p>
              </w:tc>
              <w:tc>
                <w:tcPr>
                  <w:tcW w:w="333" w:type="pct"/>
                  <w:vMerge w:val="continue"/>
                  <w:tcBorders>
                    <w:right w:val="single" w:color="auto" w:sz="4" w:space="0"/>
                  </w:tcBorders>
                  <w:tcMar>
                    <w:left w:w="0" w:type="dxa"/>
                    <w:right w:w="0" w:type="dxa"/>
                  </w:tcMar>
                  <w:vAlign w:val="center"/>
                </w:tcPr>
                <w:p w14:paraId="50805FE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bookmarkEnd w:id="45"/>
            <w:tr w14:paraId="26DD1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02" w:type="pct"/>
                  <w:vMerge w:val="continue"/>
                  <w:tcBorders>
                    <w:left w:val="single" w:color="auto" w:sz="4" w:space="0"/>
                  </w:tcBorders>
                  <w:tcMar>
                    <w:left w:w="0" w:type="dxa"/>
                    <w:right w:w="0" w:type="dxa"/>
                  </w:tcMar>
                  <w:vAlign w:val="center"/>
                </w:tcPr>
                <w:p w14:paraId="53F6C351">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tcMar>
                    <w:left w:w="0" w:type="dxa"/>
                    <w:right w:w="0" w:type="dxa"/>
                  </w:tcMar>
                  <w:vAlign w:val="center"/>
                </w:tcPr>
                <w:p w14:paraId="3CAFCD9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生活污水</w:t>
                  </w:r>
                </w:p>
              </w:tc>
              <w:tc>
                <w:tcPr>
                  <w:tcW w:w="2816" w:type="pct"/>
                  <w:tcMar>
                    <w:left w:w="0" w:type="dxa"/>
                    <w:right w:w="0" w:type="dxa"/>
                  </w:tcMar>
                  <w:vAlign w:val="center"/>
                </w:tcPr>
                <w:p w14:paraId="3F6F31E3">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bookmarkStart w:id="46" w:name="_Hlk189405579"/>
                  <w:r>
                    <w:rPr>
                      <w:rFonts w:hint="default" w:ascii="Times New Roman" w:hAnsi="Times New Roman" w:eastAsia="宋体" w:cs="Times New Roman"/>
                      <w:color w:val="000000" w:themeColor="text1"/>
                      <w:lang w:eastAsia="zh-CN"/>
                      <w14:textFill>
                        <w14:solidFill>
                          <w14:schemeClr w14:val="tx1"/>
                        </w14:solidFill>
                      </w14:textFill>
                    </w:rPr>
                    <w:t>设临时防渗收集池收集暂存，定期由施工队采用吸污车抽出并拉运至吉木萨尔县城污水处理厂处理</w:t>
                  </w:r>
                  <w:bookmarkEnd w:id="46"/>
                  <w:r>
                    <w:rPr>
                      <w:rFonts w:hint="default" w:ascii="Times New Roman" w:hAnsi="Times New Roman" w:eastAsia="宋体" w:cs="Times New Roman"/>
                      <w:color w:val="000000" w:themeColor="text1"/>
                      <w:lang w:eastAsia="zh-CN"/>
                      <w14:textFill>
                        <w14:solidFill>
                          <w14:schemeClr w14:val="tx1"/>
                        </w14:solidFill>
                      </w14:textFill>
                    </w:rPr>
                    <w:t>。</w:t>
                  </w:r>
                </w:p>
              </w:tc>
              <w:tc>
                <w:tcPr>
                  <w:tcW w:w="576" w:type="pct"/>
                  <w:tcMar>
                    <w:left w:w="0" w:type="dxa"/>
                    <w:right w:w="0" w:type="dxa"/>
                  </w:tcMar>
                  <w:vAlign w:val="center"/>
                </w:tcPr>
                <w:p w14:paraId="27D999FF">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333" w:type="pct"/>
                  <w:vMerge w:val="continue"/>
                  <w:tcBorders>
                    <w:right w:val="single" w:color="auto" w:sz="4" w:space="0"/>
                  </w:tcBorders>
                  <w:tcMar>
                    <w:left w:w="0" w:type="dxa"/>
                    <w:right w:w="0" w:type="dxa"/>
                  </w:tcMar>
                  <w:vAlign w:val="center"/>
                </w:tcPr>
                <w:p w14:paraId="61F59EE1">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2AC3F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02" w:type="pct"/>
                  <w:vMerge w:val="restart"/>
                  <w:tcBorders>
                    <w:left w:val="single" w:color="auto" w:sz="4" w:space="0"/>
                  </w:tcBorders>
                  <w:tcMar>
                    <w:left w:w="0" w:type="dxa"/>
                    <w:right w:w="0" w:type="dxa"/>
                  </w:tcMar>
                  <w:vAlign w:val="center"/>
                </w:tcPr>
                <w:p w14:paraId="0AB0254A">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固废处置</w:t>
                  </w:r>
                </w:p>
              </w:tc>
              <w:tc>
                <w:tcPr>
                  <w:tcW w:w="970" w:type="pct"/>
                  <w:tcMar>
                    <w:left w:w="0" w:type="dxa"/>
                    <w:right w:w="0" w:type="dxa"/>
                  </w:tcMar>
                  <w:vAlign w:val="center"/>
                </w:tcPr>
                <w:p w14:paraId="2293352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生活垃圾</w:t>
                  </w:r>
                </w:p>
              </w:tc>
              <w:tc>
                <w:tcPr>
                  <w:tcW w:w="2816" w:type="pct"/>
                  <w:tcMar>
                    <w:left w:w="0" w:type="dxa"/>
                    <w:right w:w="0" w:type="dxa"/>
                  </w:tcMar>
                  <w:vAlign w:val="center"/>
                </w:tcPr>
                <w:p w14:paraId="046A74D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设有垃圾箱集中收集，委托第三方拉运至</w:t>
                  </w:r>
                  <w:r>
                    <w:rPr>
                      <w:rFonts w:hint="eastAsia" w:ascii="Times New Roman" w:hAnsi="Times New Roman" w:eastAsia="宋体" w:cs="Times New Roman"/>
                      <w:color w:val="000000" w:themeColor="text1"/>
                      <w:lang w:val="en-US" w:eastAsia="zh-CN"/>
                      <w14:textFill>
                        <w14:solidFill>
                          <w14:schemeClr w14:val="tx1"/>
                        </w14:solidFill>
                      </w14:textFill>
                    </w:rPr>
                    <w:t>吉木萨尔县</w:t>
                  </w:r>
                  <w:r>
                    <w:rPr>
                      <w:rFonts w:hint="default" w:ascii="Times New Roman" w:hAnsi="Times New Roman" w:eastAsia="宋体" w:cs="Times New Roman"/>
                      <w:color w:val="000000" w:themeColor="text1"/>
                      <w:lang w:eastAsia="zh-CN"/>
                      <w14:textFill>
                        <w14:solidFill>
                          <w14:schemeClr w14:val="tx1"/>
                        </w14:solidFill>
                      </w14:textFill>
                    </w:rPr>
                    <w:t>垃圾场处理。</w:t>
                  </w:r>
                </w:p>
              </w:tc>
              <w:tc>
                <w:tcPr>
                  <w:tcW w:w="576" w:type="pct"/>
                  <w:tcMar>
                    <w:left w:w="0" w:type="dxa"/>
                    <w:right w:w="0" w:type="dxa"/>
                  </w:tcMar>
                  <w:vAlign w:val="center"/>
                </w:tcPr>
                <w:p w14:paraId="0310BF30">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333" w:type="pct"/>
                  <w:vMerge w:val="continue"/>
                  <w:tcBorders>
                    <w:right w:val="single" w:color="auto" w:sz="4" w:space="0"/>
                  </w:tcBorders>
                  <w:tcMar>
                    <w:left w:w="0" w:type="dxa"/>
                    <w:right w:w="0" w:type="dxa"/>
                  </w:tcMar>
                  <w:vAlign w:val="center"/>
                </w:tcPr>
                <w:p w14:paraId="34834392">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6BFE3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02" w:type="pct"/>
                  <w:vMerge w:val="continue"/>
                  <w:tcBorders>
                    <w:left w:val="single" w:color="auto" w:sz="4" w:space="0"/>
                  </w:tcBorders>
                  <w:tcMar>
                    <w:left w:w="0" w:type="dxa"/>
                    <w:right w:w="0" w:type="dxa"/>
                  </w:tcMar>
                  <w:vAlign w:val="center"/>
                </w:tcPr>
                <w:p w14:paraId="3AA1DEF2">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tcMar>
                    <w:left w:w="0" w:type="dxa"/>
                    <w:right w:w="0" w:type="dxa"/>
                  </w:tcMar>
                  <w:vAlign w:val="center"/>
                </w:tcPr>
                <w:p w14:paraId="6EF2BFB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钻井岩屑</w:t>
                  </w:r>
                </w:p>
              </w:tc>
              <w:tc>
                <w:tcPr>
                  <w:tcW w:w="2816" w:type="pct"/>
                  <w:tcMar>
                    <w:left w:w="0" w:type="dxa"/>
                    <w:right w:w="0" w:type="dxa"/>
                  </w:tcMar>
                  <w:vAlign w:val="center"/>
                </w:tcPr>
                <w:p w14:paraId="71B15BC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钻井岩屑暂存于岩屑储罐中，钻井岩屑委托具有相应处置资质的单位处置。</w:t>
                  </w:r>
                </w:p>
              </w:tc>
              <w:tc>
                <w:tcPr>
                  <w:tcW w:w="576" w:type="pct"/>
                  <w:tcMar>
                    <w:left w:w="0" w:type="dxa"/>
                    <w:right w:w="0" w:type="dxa"/>
                  </w:tcMar>
                  <w:vAlign w:val="center"/>
                </w:tcPr>
                <w:p w14:paraId="3C1A6650">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95</w:t>
                  </w:r>
                </w:p>
              </w:tc>
              <w:tc>
                <w:tcPr>
                  <w:tcW w:w="333" w:type="pct"/>
                  <w:vMerge w:val="continue"/>
                  <w:tcBorders>
                    <w:right w:val="single" w:color="auto" w:sz="4" w:space="0"/>
                  </w:tcBorders>
                  <w:tcMar>
                    <w:left w:w="0" w:type="dxa"/>
                    <w:right w:w="0" w:type="dxa"/>
                  </w:tcMar>
                  <w:vAlign w:val="center"/>
                </w:tcPr>
                <w:p w14:paraId="5BD3EB7E">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0C798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302" w:type="pct"/>
                  <w:vMerge w:val="continue"/>
                  <w:tcBorders>
                    <w:left w:val="single" w:color="auto" w:sz="4" w:space="0"/>
                  </w:tcBorders>
                  <w:tcMar>
                    <w:left w:w="0" w:type="dxa"/>
                    <w:right w:w="0" w:type="dxa"/>
                  </w:tcMar>
                  <w:vAlign w:val="center"/>
                </w:tcPr>
                <w:p w14:paraId="12BF37A0">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vMerge w:val="restart"/>
                  <w:tcMar>
                    <w:left w:w="0" w:type="dxa"/>
                    <w:right w:w="0" w:type="dxa"/>
                  </w:tcMar>
                  <w:vAlign w:val="center"/>
                </w:tcPr>
                <w:p w14:paraId="4CC5BE08">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落地油、</w:t>
                  </w:r>
                  <w:r>
                    <w:rPr>
                      <w:rFonts w:hint="default" w:ascii="Times New Roman" w:hAnsi="Times New Roman" w:eastAsia="宋体" w:cs="Times New Roman"/>
                      <w:color w:val="000000" w:themeColor="text1"/>
                      <w:lang w:eastAsia="zh-CN"/>
                      <w14:textFill>
                        <w14:solidFill>
                          <w14:schemeClr w14:val="tx1"/>
                        </w14:solidFill>
                      </w14:textFill>
                    </w:rPr>
                    <w:t>机械设备废油、废润滑油、废润滑油桶、废防渗材料等</w:t>
                  </w:r>
                </w:p>
              </w:tc>
              <w:tc>
                <w:tcPr>
                  <w:tcW w:w="2816" w:type="pct"/>
                  <w:tcMar>
                    <w:left w:w="0" w:type="dxa"/>
                    <w:right w:w="0" w:type="dxa"/>
                  </w:tcMar>
                  <w:vAlign w:val="center"/>
                </w:tcPr>
                <w:p w14:paraId="591808A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钻井井场设置1座危险废物贮存点</w:t>
                  </w:r>
                </w:p>
              </w:tc>
              <w:tc>
                <w:tcPr>
                  <w:tcW w:w="576" w:type="pct"/>
                  <w:tcMar>
                    <w:left w:w="0" w:type="dxa"/>
                    <w:right w:w="0" w:type="dxa"/>
                  </w:tcMar>
                  <w:vAlign w:val="center"/>
                </w:tcPr>
                <w:p w14:paraId="0A0FEC85">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333" w:type="pct"/>
                  <w:vMerge w:val="continue"/>
                  <w:tcBorders>
                    <w:right w:val="single" w:color="auto" w:sz="4" w:space="0"/>
                  </w:tcBorders>
                  <w:tcMar>
                    <w:left w:w="0" w:type="dxa"/>
                    <w:right w:w="0" w:type="dxa"/>
                  </w:tcMar>
                  <w:vAlign w:val="center"/>
                </w:tcPr>
                <w:p w14:paraId="1FF1709A">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758FE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302" w:type="pct"/>
                  <w:vMerge w:val="continue"/>
                  <w:tcBorders>
                    <w:left w:val="single" w:color="auto" w:sz="4" w:space="0"/>
                  </w:tcBorders>
                  <w:tcMar>
                    <w:left w:w="0" w:type="dxa"/>
                    <w:right w:w="0" w:type="dxa"/>
                  </w:tcMar>
                  <w:vAlign w:val="center"/>
                </w:tcPr>
                <w:p w14:paraId="2D14E2D2">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vMerge w:val="continue"/>
                  <w:tcMar>
                    <w:left w:w="0" w:type="dxa"/>
                    <w:right w:w="0" w:type="dxa"/>
                  </w:tcMar>
                  <w:vAlign w:val="center"/>
                </w:tcPr>
                <w:p w14:paraId="154E4B76">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2816" w:type="pct"/>
                  <w:tcMar>
                    <w:left w:w="0" w:type="dxa"/>
                    <w:right w:w="0" w:type="dxa"/>
                  </w:tcMar>
                  <w:vAlign w:val="center"/>
                </w:tcPr>
                <w:p w14:paraId="77B1B80B">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用于施工过程中产生的沾油废防渗材料、废润滑油及废润滑油桶的暂存，各类危险废物定期交由具有相应危险废物处置资质的单位进行接收、转运和处置。</w:t>
                  </w:r>
                </w:p>
              </w:tc>
              <w:tc>
                <w:tcPr>
                  <w:tcW w:w="576" w:type="pct"/>
                  <w:tcMar>
                    <w:left w:w="0" w:type="dxa"/>
                    <w:right w:w="0" w:type="dxa"/>
                  </w:tcMar>
                  <w:vAlign w:val="center"/>
                </w:tcPr>
                <w:p w14:paraId="77EE7774">
                  <w:pPr>
                    <w:kinsoku/>
                    <w:spacing w:line="300" w:lineRule="exact"/>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w:t>
                  </w:r>
                </w:p>
              </w:tc>
              <w:tc>
                <w:tcPr>
                  <w:tcW w:w="333" w:type="pct"/>
                  <w:vMerge w:val="continue"/>
                  <w:tcBorders>
                    <w:right w:val="single" w:color="auto" w:sz="4" w:space="0"/>
                  </w:tcBorders>
                  <w:tcMar>
                    <w:left w:w="0" w:type="dxa"/>
                    <w:right w:w="0" w:type="dxa"/>
                  </w:tcMar>
                  <w:vAlign w:val="center"/>
                </w:tcPr>
                <w:p w14:paraId="126987EB">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4FD28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302" w:type="pct"/>
                  <w:tcBorders>
                    <w:left w:val="single" w:color="auto" w:sz="4" w:space="0"/>
                  </w:tcBorders>
                  <w:tcMar>
                    <w:left w:w="0" w:type="dxa"/>
                    <w:right w:w="0" w:type="dxa"/>
                  </w:tcMar>
                  <w:vAlign w:val="center"/>
                </w:tcPr>
                <w:p w14:paraId="2378E8AB">
                  <w:pPr>
                    <w:kinsoku/>
                    <w:spacing w:line="300" w:lineRule="exact"/>
                    <w:jc w:val="center"/>
                    <w:rPr>
                      <w:rFonts w:hint="eastAsia" w:ascii="Times New Roman" w:hAnsi="Times New Roman" w:eastAsia="宋体" w:cs="Times New Roman"/>
                      <w:color w:val="000000" w:themeColor="text1"/>
                      <w:lang w:val="en-US" w:eastAsia="zh-CN"/>
                      <w14:textFill>
                        <w14:solidFill>
                          <w14:schemeClr w14:val="tx1"/>
                        </w14:solidFill>
                      </w14:textFill>
                    </w:rPr>
                  </w:pPr>
                  <w:bookmarkStart w:id="47" w:name="_Hlk180059585"/>
                  <w:r>
                    <w:rPr>
                      <w:rFonts w:hint="eastAsia" w:ascii="Times New Roman" w:hAnsi="Times New Roman" w:eastAsia="宋体" w:cs="Times New Roman"/>
                      <w:color w:val="000000" w:themeColor="text1"/>
                      <w:lang w:val="en-US" w:eastAsia="zh-CN"/>
                      <w14:textFill>
                        <w14:solidFill>
                          <w14:schemeClr w14:val="tx1"/>
                        </w14:solidFill>
                      </w14:textFill>
                    </w:rPr>
                    <w:t>环境风险</w:t>
                  </w:r>
                </w:p>
              </w:tc>
              <w:tc>
                <w:tcPr>
                  <w:tcW w:w="970" w:type="pct"/>
                  <w:tcMar>
                    <w:left w:w="0" w:type="dxa"/>
                    <w:right w:w="0" w:type="dxa"/>
                  </w:tcMar>
                  <w:vAlign w:val="center"/>
                </w:tcPr>
                <w:p w14:paraId="31EB088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井喷、危废/原油泄漏</w:t>
                  </w:r>
                </w:p>
              </w:tc>
              <w:tc>
                <w:tcPr>
                  <w:tcW w:w="2816" w:type="pct"/>
                  <w:tcMar>
                    <w:left w:w="0" w:type="dxa"/>
                    <w:right w:w="0" w:type="dxa"/>
                  </w:tcMar>
                  <w:vAlign w:val="center"/>
                </w:tcPr>
                <w:p w14:paraId="67BB964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采购并配备应急物资（防泄漏围栏≥50m、吸油毡≥100kg、便携式H₂S监测仪≥2台等）</w:t>
                  </w:r>
                </w:p>
              </w:tc>
              <w:tc>
                <w:tcPr>
                  <w:tcW w:w="576" w:type="pct"/>
                  <w:tcMar>
                    <w:left w:w="0" w:type="dxa"/>
                    <w:right w:w="0" w:type="dxa"/>
                  </w:tcMar>
                  <w:vAlign w:val="center"/>
                </w:tcPr>
                <w:p w14:paraId="3DA3C2DA">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w:t>
                  </w:r>
                </w:p>
              </w:tc>
              <w:tc>
                <w:tcPr>
                  <w:tcW w:w="333" w:type="pct"/>
                  <w:vMerge w:val="continue"/>
                  <w:tcBorders>
                    <w:right w:val="single" w:color="auto" w:sz="4" w:space="0"/>
                  </w:tcBorders>
                  <w:tcMar>
                    <w:left w:w="0" w:type="dxa"/>
                    <w:right w:w="0" w:type="dxa"/>
                  </w:tcMar>
                  <w:vAlign w:val="center"/>
                </w:tcPr>
                <w:p w14:paraId="1F7BE52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bookmarkEnd w:id="44"/>
            <w:tr w14:paraId="6DEA7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273" w:type="pct"/>
                  <w:gridSpan w:val="2"/>
                  <w:tcBorders>
                    <w:left w:val="single" w:color="auto" w:sz="4" w:space="0"/>
                  </w:tcBorders>
                  <w:tcMar>
                    <w:left w:w="0" w:type="dxa"/>
                    <w:right w:w="0" w:type="dxa"/>
                  </w:tcMar>
                  <w:vAlign w:val="center"/>
                </w:tcPr>
                <w:p w14:paraId="2DEBA21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w:t>
                  </w:r>
                  <w:r>
                    <w:rPr>
                      <w:rFonts w:hint="default" w:ascii="Times New Roman" w:hAnsi="Times New Roman" w:eastAsia="宋体" w:cs="Times New Roman"/>
                      <w:color w:val="000000" w:themeColor="text1"/>
                      <w:lang w:eastAsia="zh-CN"/>
                      <w14:textFill>
                        <w14:solidFill>
                          <w14:schemeClr w14:val="tx1"/>
                        </w14:solidFill>
                      </w14:textFill>
                    </w:rPr>
                    <w:t>恢复</w:t>
                  </w:r>
                </w:p>
              </w:tc>
              <w:tc>
                <w:tcPr>
                  <w:tcW w:w="2816" w:type="pct"/>
                  <w:tcMar>
                    <w:left w:w="0" w:type="dxa"/>
                    <w:right w:w="0" w:type="dxa"/>
                  </w:tcMar>
                  <w:vAlign w:val="center"/>
                </w:tcPr>
                <w:p w14:paraId="43B6DE38">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对临时占地清理、平整（该项恢复费用已统一归口纳入《水土保持方案》专项投资中，为避免重复，此处仅列示措施，不重复计列费用）</w:t>
                  </w:r>
                </w:p>
              </w:tc>
              <w:tc>
                <w:tcPr>
                  <w:tcW w:w="576" w:type="pct"/>
                  <w:tcMar>
                    <w:left w:w="0" w:type="dxa"/>
                    <w:right w:w="0" w:type="dxa"/>
                  </w:tcMar>
                  <w:vAlign w:val="center"/>
                </w:tcPr>
                <w:p w14:paraId="5977E036">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333" w:type="pct"/>
                  <w:vMerge w:val="continue"/>
                  <w:tcBorders>
                    <w:right w:val="single" w:color="auto" w:sz="4" w:space="0"/>
                  </w:tcBorders>
                  <w:tcMar>
                    <w:left w:w="0" w:type="dxa"/>
                    <w:right w:w="0" w:type="dxa"/>
                  </w:tcMar>
                  <w:vAlign w:val="center"/>
                </w:tcPr>
                <w:p w14:paraId="66E1579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5BB53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302" w:type="pct"/>
                  <w:vMerge w:val="restart"/>
                  <w:tcBorders>
                    <w:left w:val="single" w:color="auto" w:sz="4" w:space="0"/>
                  </w:tcBorders>
                  <w:tcMar>
                    <w:left w:w="0" w:type="dxa"/>
                    <w:right w:w="0" w:type="dxa"/>
                  </w:tcMar>
                  <w:vAlign w:val="center"/>
                </w:tcPr>
                <w:p w14:paraId="57B9CDC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独立费用</w:t>
                  </w:r>
                </w:p>
              </w:tc>
              <w:tc>
                <w:tcPr>
                  <w:tcW w:w="970" w:type="pct"/>
                  <w:vMerge w:val="restart"/>
                  <w:tcBorders>
                    <w:left w:val="single" w:color="auto" w:sz="4" w:space="0"/>
                  </w:tcBorders>
                  <w:tcMar>
                    <w:left w:w="0" w:type="dxa"/>
                    <w:right w:w="0" w:type="dxa"/>
                  </w:tcMar>
                  <w:vAlign w:val="center"/>
                </w:tcPr>
                <w:p w14:paraId="0E17EB97">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（根据《石油建设项目其他费用和相关费用计价方法与费用标准(2022版)》）</w:t>
                  </w:r>
                </w:p>
              </w:tc>
              <w:tc>
                <w:tcPr>
                  <w:tcW w:w="2816" w:type="pct"/>
                  <w:tcMar>
                    <w:left w:w="0" w:type="dxa"/>
                    <w:right w:w="0" w:type="dxa"/>
                  </w:tcMar>
                  <w:vAlign w:val="center"/>
                </w:tcPr>
                <w:p w14:paraId="46B5BE58">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环境影响评价</w:t>
                  </w:r>
                </w:p>
              </w:tc>
              <w:tc>
                <w:tcPr>
                  <w:tcW w:w="576" w:type="pct"/>
                  <w:tcMar>
                    <w:left w:w="0" w:type="dxa"/>
                    <w:right w:w="0" w:type="dxa"/>
                  </w:tcMar>
                  <w:vAlign w:val="center"/>
                </w:tcPr>
                <w:p w14:paraId="4554228A">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w:t>
                  </w:r>
                </w:p>
              </w:tc>
              <w:tc>
                <w:tcPr>
                  <w:tcW w:w="333" w:type="pct"/>
                  <w:vMerge w:val="continue"/>
                  <w:tcBorders>
                    <w:right w:val="single" w:color="auto" w:sz="4" w:space="0"/>
                  </w:tcBorders>
                  <w:tcMar>
                    <w:left w:w="0" w:type="dxa"/>
                    <w:right w:w="0" w:type="dxa"/>
                  </w:tcMar>
                  <w:vAlign w:val="center"/>
                </w:tcPr>
                <w:p w14:paraId="47BDE98A">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4FEEC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02" w:type="pct"/>
                  <w:vMerge w:val="continue"/>
                  <w:tcBorders>
                    <w:left w:val="single" w:color="auto" w:sz="4" w:space="0"/>
                  </w:tcBorders>
                  <w:tcMar>
                    <w:left w:w="0" w:type="dxa"/>
                    <w:right w:w="0" w:type="dxa"/>
                  </w:tcMar>
                  <w:vAlign w:val="center"/>
                </w:tcPr>
                <w:p w14:paraId="514E955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70" w:type="pct"/>
                  <w:vMerge w:val="continue"/>
                  <w:tcBorders>
                    <w:left w:val="single" w:color="auto" w:sz="4" w:space="0"/>
                  </w:tcBorders>
                  <w:tcMar>
                    <w:left w:w="0" w:type="dxa"/>
                    <w:right w:w="0" w:type="dxa"/>
                  </w:tcMar>
                  <w:vAlign w:val="center"/>
                </w:tcPr>
                <w:p w14:paraId="4EC3D1F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816" w:type="pct"/>
                  <w:tcMar>
                    <w:left w:w="0" w:type="dxa"/>
                    <w:right w:w="0" w:type="dxa"/>
                  </w:tcMar>
                  <w:vAlign w:val="center"/>
                </w:tcPr>
                <w:p w14:paraId="4959F24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环境保护竣工验收</w:t>
                  </w:r>
                </w:p>
              </w:tc>
              <w:tc>
                <w:tcPr>
                  <w:tcW w:w="576" w:type="pct"/>
                  <w:tcMar>
                    <w:left w:w="0" w:type="dxa"/>
                    <w:right w:w="0" w:type="dxa"/>
                  </w:tcMar>
                  <w:vAlign w:val="center"/>
                </w:tcPr>
                <w:p w14:paraId="1AAF6A14">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333" w:type="pct"/>
                  <w:vMerge w:val="continue"/>
                  <w:tcBorders>
                    <w:right w:val="single" w:color="auto" w:sz="4" w:space="0"/>
                  </w:tcBorders>
                  <w:tcMar>
                    <w:left w:w="0" w:type="dxa"/>
                    <w:right w:w="0" w:type="dxa"/>
                  </w:tcMar>
                  <w:vAlign w:val="center"/>
                </w:tcPr>
                <w:p w14:paraId="5685392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27C0F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02" w:type="pct"/>
                  <w:vMerge w:val="continue"/>
                  <w:tcBorders>
                    <w:left w:val="single" w:color="auto" w:sz="4" w:space="0"/>
                  </w:tcBorders>
                  <w:tcMar>
                    <w:left w:w="0" w:type="dxa"/>
                    <w:right w:w="0" w:type="dxa"/>
                  </w:tcMar>
                  <w:vAlign w:val="center"/>
                </w:tcPr>
                <w:p w14:paraId="1657A39B">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70" w:type="pct"/>
                  <w:tcBorders>
                    <w:left w:val="single" w:color="auto" w:sz="4" w:space="0"/>
                  </w:tcBorders>
                  <w:tcMar>
                    <w:left w:w="0" w:type="dxa"/>
                    <w:right w:w="0" w:type="dxa"/>
                  </w:tcMar>
                  <w:vAlign w:val="center"/>
                </w:tcPr>
                <w:p w14:paraId="3B2C2F4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2816" w:type="pct"/>
                  <w:tcMar>
                    <w:left w:w="0" w:type="dxa"/>
                    <w:right w:w="0" w:type="dxa"/>
                  </w:tcMar>
                  <w:vAlign w:val="center"/>
                </w:tcPr>
                <w:p w14:paraId="291E729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环境监测</w:t>
                  </w:r>
                </w:p>
              </w:tc>
              <w:tc>
                <w:tcPr>
                  <w:tcW w:w="576" w:type="pct"/>
                  <w:tcMar>
                    <w:left w:w="0" w:type="dxa"/>
                    <w:right w:w="0" w:type="dxa"/>
                  </w:tcMar>
                  <w:vAlign w:val="center"/>
                </w:tcPr>
                <w:p w14:paraId="101EBC63">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w:t>
                  </w:r>
                </w:p>
              </w:tc>
              <w:tc>
                <w:tcPr>
                  <w:tcW w:w="333" w:type="pct"/>
                  <w:vMerge w:val="continue"/>
                  <w:tcBorders>
                    <w:right w:val="single" w:color="auto" w:sz="4" w:space="0"/>
                  </w:tcBorders>
                  <w:tcMar>
                    <w:left w:w="0" w:type="dxa"/>
                    <w:right w:w="0" w:type="dxa"/>
                  </w:tcMar>
                  <w:vAlign w:val="center"/>
                </w:tcPr>
                <w:p w14:paraId="062DD7EB">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bookmarkEnd w:id="47"/>
            <w:tr w14:paraId="57862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090" w:type="pct"/>
                  <w:gridSpan w:val="3"/>
                  <w:tcBorders>
                    <w:left w:val="single" w:color="auto" w:sz="4" w:space="0"/>
                    <w:bottom w:val="single" w:color="auto" w:sz="4" w:space="0"/>
                  </w:tcBorders>
                  <w:tcMar>
                    <w:left w:w="0" w:type="dxa"/>
                    <w:right w:w="0" w:type="dxa"/>
                  </w:tcMar>
                  <w:vAlign w:val="center"/>
                </w:tcPr>
                <w:p w14:paraId="31C835FD">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合计</w:t>
                  </w:r>
                </w:p>
              </w:tc>
              <w:tc>
                <w:tcPr>
                  <w:tcW w:w="576" w:type="pct"/>
                  <w:tcBorders>
                    <w:bottom w:val="single" w:color="auto" w:sz="4" w:space="0"/>
                  </w:tcBorders>
                  <w:tcMar>
                    <w:left w:w="0" w:type="dxa"/>
                    <w:right w:w="0" w:type="dxa"/>
                  </w:tcMar>
                  <w:vAlign w:val="center"/>
                </w:tcPr>
                <w:p w14:paraId="68CC057F">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8</w:t>
                  </w:r>
                </w:p>
              </w:tc>
              <w:tc>
                <w:tcPr>
                  <w:tcW w:w="333" w:type="pct"/>
                  <w:tcBorders>
                    <w:bottom w:val="single" w:color="auto" w:sz="4" w:space="0"/>
                    <w:right w:val="single" w:color="auto" w:sz="4" w:space="0"/>
                  </w:tcBorders>
                  <w:tcMar>
                    <w:left w:w="0" w:type="dxa"/>
                    <w:right w:w="0" w:type="dxa"/>
                  </w:tcMar>
                  <w:vAlign w:val="center"/>
                </w:tcPr>
                <w:p w14:paraId="75FBCA2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r>
          </w:tbl>
          <w:p w14:paraId="511A7574">
            <w:pPr>
              <w:pStyle w:val="9"/>
              <w:widowControl w:val="0"/>
              <w:kinsoku/>
              <w:jc w:val="both"/>
              <w:rPr>
                <w:rFonts w:hint="default" w:ascii="Times New Roman" w:hAnsi="Times New Roman" w:eastAsia="宋体" w:cs="Times New Roman"/>
                <w:color w:val="000000" w:themeColor="text1"/>
                <w14:textFill>
                  <w14:solidFill>
                    <w14:schemeClr w14:val="tx1"/>
                  </w14:solidFill>
                </w14:textFill>
              </w:rPr>
            </w:pPr>
          </w:p>
          <w:p w14:paraId="7F18B901">
            <w:pPr>
              <w:pStyle w:val="9"/>
              <w:widowControl w:val="0"/>
              <w:kinsoku/>
              <w:jc w:val="both"/>
              <w:rPr>
                <w:rFonts w:hint="default" w:ascii="Times New Roman" w:hAnsi="Times New Roman" w:eastAsia="宋体" w:cs="Times New Roman"/>
                <w:color w:val="000000" w:themeColor="text1"/>
                <w14:textFill>
                  <w14:solidFill>
                    <w14:schemeClr w14:val="tx1"/>
                  </w14:solidFill>
                </w14:textFill>
              </w:rPr>
            </w:pPr>
          </w:p>
        </w:tc>
      </w:tr>
    </w:tbl>
    <w:p w14:paraId="757750D1">
      <w:pPr>
        <w:pStyle w:val="4"/>
        <w:kinsoku/>
        <w:rPr>
          <w:rFonts w:ascii="Times New Roman" w:hAnsi="Times New Roman" w:cs="Times New Roman"/>
          <w:color w:val="000000" w:themeColor="text1"/>
          <w14:textFill>
            <w14:solidFill>
              <w14:schemeClr w14:val="tx1"/>
            </w14:solidFill>
          </w14:textFill>
        </w:rPr>
        <w:sectPr>
          <w:footerReference r:id="rId6" w:type="default"/>
          <w:pgSz w:w="11906" w:h="16838"/>
          <w:pgMar w:top="1440" w:right="1800" w:bottom="1440" w:left="1800" w:header="851" w:footer="992" w:gutter="0"/>
          <w:cols w:space="425" w:num="1"/>
          <w:docGrid w:type="lines" w:linePitch="312" w:charSpace="0"/>
        </w:sectPr>
      </w:pPr>
    </w:p>
    <w:p w14:paraId="7D6449B3">
      <w:pPr>
        <w:pStyle w:val="4"/>
        <w:kinsoku/>
        <w:rPr>
          <w:rFonts w:ascii="Times New Roman" w:hAnsi="Times New Roman" w:cs="Times New Roman" w:eastAsiaTheme="minorEastAsia"/>
          <w:color w:val="000000" w:themeColor="text1"/>
          <w:sz w:val="30"/>
          <w:szCs w:val="30"/>
          <w:lang w:eastAsia="zh-CN"/>
          <w14:textFill>
            <w14:solidFill>
              <w14:schemeClr w14:val="tx1"/>
            </w14:solidFill>
          </w14:textFill>
        </w:rPr>
      </w:pPr>
      <w:r>
        <w:rPr>
          <w:rFonts w:ascii="Times New Roman" w:hAnsi="Times New Roman" w:cs="Times New Roman" w:eastAsiaTheme="minorEastAsia"/>
          <w:color w:val="000000" w:themeColor="text1"/>
          <w:sz w:val="30"/>
          <w:szCs w:val="30"/>
          <w:lang w:eastAsia="zh-CN"/>
          <w14:textFill>
            <w14:solidFill>
              <w14:schemeClr w14:val="tx1"/>
            </w14:solidFill>
          </w14:textFill>
        </w:rPr>
        <w:t>六、生态环境保护措施监督检查清单</w:t>
      </w:r>
    </w:p>
    <w:tbl>
      <w:tblPr>
        <w:tblStyle w:val="16"/>
        <w:tblW w:w="51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1147"/>
        <w:gridCol w:w="3745"/>
        <w:gridCol w:w="1921"/>
        <w:gridCol w:w="1137"/>
        <w:gridCol w:w="726"/>
      </w:tblGrid>
      <w:tr w14:paraId="541A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Merge w:val="restart"/>
            <w:tcBorders>
              <w:tl2br w:val="single" w:color="auto" w:sz="4" w:space="0"/>
            </w:tcBorders>
          </w:tcPr>
          <w:p w14:paraId="0B6C47E6">
            <w:pPr>
              <w:pStyle w:val="15"/>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内容</w:t>
            </w:r>
          </w:p>
          <w:p w14:paraId="540EFD5F">
            <w:pPr>
              <w:pStyle w:val="15"/>
              <w:kinsoku/>
              <w:rPr>
                <w:rFonts w:hint="default" w:ascii="Times New Roman" w:hAnsi="Times New Roman" w:eastAsia="宋体" w:cs="Times New Roman"/>
                <w:b/>
                <w:bCs/>
                <w:color w:val="000000" w:themeColor="text1"/>
                <w:lang w:eastAsia="zh-CN"/>
                <w14:textFill>
                  <w14:solidFill>
                    <w14:schemeClr w14:val="tx1"/>
                  </w14:solidFill>
                </w14:textFill>
              </w:rPr>
            </w:pPr>
          </w:p>
          <w:p w14:paraId="5E1B15E7">
            <w:pPr>
              <w:pStyle w:val="15"/>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要素</w:t>
            </w:r>
          </w:p>
        </w:tc>
        <w:tc>
          <w:tcPr>
            <w:tcW w:w="3265" w:type="pct"/>
            <w:gridSpan w:val="2"/>
            <w:vAlign w:val="center"/>
          </w:tcPr>
          <w:p w14:paraId="50242A70">
            <w:pPr>
              <w:pStyle w:val="15"/>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施工期</w:t>
            </w:r>
          </w:p>
        </w:tc>
        <w:tc>
          <w:tcPr>
            <w:tcW w:w="1073" w:type="pct"/>
            <w:gridSpan w:val="2"/>
            <w:vAlign w:val="center"/>
          </w:tcPr>
          <w:p w14:paraId="167CFDA1">
            <w:pPr>
              <w:pStyle w:val="15"/>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运营期</w:t>
            </w:r>
          </w:p>
        </w:tc>
      </w:tr>
      <w:tr w14:paraId="58B7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Merge w:val="continue"/>
          </w:tcPr>
          <w:p w14:paraId="2479373E">
            <w:pPr>
              <w:pStyle w:val="15"/>
              <w:kinsoku/>
              <w:rPr>
                <w:rFonts w:hint="default" w:ascii="Times New Roman" w:hAnsi="Times New Roman" w:eastAsia="宋体" w:cs="Times New Roman"/>
                <w:b/>
                <w:bCs/>
                <w:color w:val="000000" w:themeColor="text1"/>
                <w14:textFill>
                  <w14:solidFill>
                    <w14:schemeClr w14:val="tx1"/>
                  </w14:solidFill>
                </w14:textFill>
              </w:rPr>
            </w:pPr>
          </w:p>
        </w:tc>
        <w:tc>
          <w:tcPr>
            <w:tcW w:w="2158" w:type="pct"/>
            <w:vAlign w:val="center"/>
          </w:tcPr>
          <w:p w14:paraId="59491E2A">
            <w:pPr>
              <w:pStyle w:val="15"/>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环境保护措施</w:t>
            </w:r>
          </w:p>
        </w:tc>
        <w:tc>
          <w:tcPr>
            <w:tcW w:w="1107" w:type="pct"/>
            <w:vAlign w:val="center"/>
          </w:tcPr>
          <w:p w14:paraId="65170686">
            <w:pPr>
              <w:pStyle w:val="15"/>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验收要求</w:t>
            </w:r>
          </w:p>
        </w:tc>
        <w:tc>
          <w:tcPr>
            <w:tcW w:w="655" w:type="pct"/>
            <w:vAlign w:val="center"/>
          </w:tcPr>
          <w:p w14:paraId="3F6237A5">
            <w:pPr>
              <w:pStyle w:val="15"/>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环境保护措施</w:t>
            </w:r>
          </w:p>
        </w:tc>
        <w:tc>
          <w:tcPr>
            <w:tcW w:w="418" w:type="pct"/>
            <w:vAlign w:val="center"/>
          </w:tcPr>
          <w:p w14:paraId="35FD7D2C">
            <w:pPr>
              <w:pStyle w:val="15"/>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验收要求</w:t>
            </w:r>
          </w:p>
        </w:tc>
      </w:tr>
      <w:tr w14:paraId="5141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20E81B9A">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陆生生态</w:t>
            </w:r>
          </w:p>
        </w:tc>
        <w:tc>
          <w:tcPr>
            <w:tcW w:w="2158" w:type="pct"/>
            <w:vAlign w:val="center"/>
          </w:tcPr>
          <w:p w14:paraId="0377A5DC">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fldChar w:fldCharType="begin"/>
            </w:r>
            <w:r>
              <w:rPr>
                <w:rFonts w:hint="default" w:ascii="Times New Roman" w:hAnsi="Times New Roman" w:eastAsia="宋体" w:cs="Times New Roman"/>
                <w:color w:val="000000" w:themeColor="text1"/>
                <w:lang w:eastAsia="zh-CN"/>
                <w14:textFill>
                  <w14:solidFill>
                    <w14:schemeClr w14:val="tx1"/>
                  </w14:solidFill>
                </w14:textFill>
              </w:rPr>
              <w:instrText xml:space="preserve"> = 1 \* GB3 </w:instrText>
            </w:r>
            <w:r>
              <w:rPr>
                <w:rFonts w:hint="default" w:ascii="Times New Roman" w:hAnsi="Times New Roman" w:eastAsia="宋体" w:cs="Times New Roman"/>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eastAsia="zh-CN"/>
                <w14:textFill>
                  <w14:solidFill>
                    <w14:schemeClr w14:val="tx1"/>
                  </w14:solidFill>
                </w14:textFill>
              </w:rPr>
              <w:t>①</w:t>
            </w:r>
            <w:r>
              <w:rPr>
                <w:rFonts w:hint="default" w:ascii="Times New Roman" w:hAnsi="Times New Roman" w:eastAsia="宋体" w:cs="Times New Roman"/>
                <w:color w:val="000000" w:themeColor="text1"/>
                <w:lang w:eastAsia="zh-CN"/>
                <w14:textFill>
                  <w14:solidFill>
                    <w14:schemeClr w14:val="tx1"/>
                  </w14:solidFill>
                </w14:textFill>
              </w:rPr>
              <w:fldChar w:fldCharType="end"/>
            </w:r>
            <w:r>
              <w:rPr>
                <w:rFonts w:hint="default" w:ascii="Times New Roman" w:hAnsi="Times New Roman" w:eastAsia="宋体" w:cs="Times New Roman"/>
                <w:color w:val="000000" w:themeColor="text1"/>
                <w:lang w:eastAsia="zh-CN"/>
                <w14:textFill>
                  <w14:solidFill>
                    <w14:schemeClr w14:val="tx1"/>
                  </w14:solidFill>
                </w14:textFill>
              </w:rPr>
              <w:t>选址尽量避开植被密集区域；严格划定路线，禁止乱碾乱轧；确保各环保设施正常运行，避免各种污染物对环境影响较小；②严格控制占地，严格规定各类工作人员的活动范围</w:t>
            </w:r>
            <w:r>
              <w:rPr>
                <w:rFonts w:hint="eastAsia"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施工前实行表土剥离并单独集中防护暂存；③完井后施工机械、设备及时撤离，废水和固体废物全部妥善处置，现场禁止遗留；</w:t>
            </w:r>
            <w:r>
              <w:rPr>
                <w:rFonts w:hint="default" w:ascii="Times New Roman" w:hAnsi="Times New Roman" w:eastAsia="宋体" w:cs="Times New Roman"/>
                <w:color w:val="000000" w:themeColor="text1"/>
                <w:lang w:eastAsia="zh-CN"/>
                <w14:textFill>
                  <w14:solidFill>
                    <w14:schemeClr w14:val="tx1"/>
                  </w14:solidFill>
                </w14:textFill>
              </w:rPr>
              <w:fldChar w:fldCharType="begin"/>
            </w:r>
            <w:r>
              <w:rPr>
                <w:rFonts w:hint="default" w:ascii="Times New Roman" w:hAnsi="Times New Roman" w:eastAsia="宋体" w:cs="Times New Roman"/>
                <w:color w:val="000000" w:themeColor="text1"/>
                <w:lang w:eastAsia="zh-CN"/>
                <w14:textFill>
                  <w14:solidFill>
                    <w14:schemeClr w14:val="tx1"/>
                  </w14:solidFill>
                </w14:textFill>
              </w:rPr>
              <w:instrText xml:space="preserve"> = 4 \* GB3 </w:instrText>
            </w:r>
            <w:r>
              <w:rPr>
                <w:rFonts w:hint="default" w:ascii="Times New Roman" w:hAnsi="Times New Roman" w:eastAsia="宋体" w:cs="Times New Roman"/>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eastAsia="zh-CN"/>
                <w14:textFill>
                  <w14:solidFill>
                    <w14:schemeClr w14:val="tx1"/>
                  </w14:solidFill>
                </w14:textFill>
              </w:rPr>
              <w:t>④</w:t>
            </w:r>
            <w:r>
              <w:rPr>
                <w:rFonts w:hint="default" w:ascii="Times New Roman" w:hAnsi="Times New Roman" w:eastAsia="宋体" w:cs="Times New Roman"/>
                <w:color w:val="000000" w:themeColor="text1"/>
                <w:lang w:eastAsia="zh-CN"/>
                <w14:textFill>
                  <w14:solidFill>
                    <w14:schemeClr w14:val="tx1"/>
                  </w14:solidFill>
                </w14:textFill>
              </w:rPr>
              <w:fldChar w:fldCharType="end"/>
            </w:r>
            <w:r>
              <w:rPr>
                <w:rFonts w:hint="default" w:ascii="Times New Roman" w:hAnsi="Times New Roman" w:eastAsia="宋体" w:cs="Times New Roman"/>
                <w:color w:val="000000" w:themeColor="text1"/>
                <w:lang w:eastAsia="zh-CN"/>
                <w14:textFill>
                  <w14:solidFill>
                    <w14:schemeClr w14:val="tx1"/>
                  </w14:solidFill>
                </w14:textFill>
              </w:rPr>
              <w:t>建设单位按照相关要求办理临时占地经济补偿协议；⑤施工结束后利用暂存表土及时对场地进行清理、平整并压实，采取人工辅助播种与自然恢复相结合的方式恢复植被；⑥合理安排施工时间，避免大风天气施工。项目在建设过程中，严格落实各项管理规定，不得对项目所在区域生态环境和环境质量造成影响。</w:t>
            </w:r>
          </w:p>
        </w:tc>
        <w:tc>
          <w:tcPr>
            <w:tcW w:w="1107" w:type="pct"/>
            <w:vAlign w:val="center"/>
          </w:tcPr>
          <w:p w14:paraId="2022A444">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验收内容：</w:t>
            </w:r>
            <w:r>
              <w:rPr>
                <w:rFonts w:hint="default" w:ascii="Times New Roman" w:hAnsi="Times New Roman" w:eastAsia="宋体" w:cs="Times New Roman"/>
                <w:color w:val="000000" w:themeColor="text1"/>
                <w:lang w:eastAsia="zh-CN"/>
                <w14:textFill>
                  <w14:solidFill>
                    <w14:schemeClr w14:val="tx1"/>
                  </w14:solidFill>
                </w14:textFill>
              </w:rPr>
              <w:t>生态保护措施及表土存放防护落实情况；现场无废水和固体废物遗留；井场及周边占地恢复情况；临时占地经济补偿协议办理情况。</w:t>
            </w:r>
          </w:p>
          <w:p w14:paraId="6C049925">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验收效果：</w:t>
            </w:r>
            <w:r>
              <w:rPr>
                <w:rFonts w:hint="default" w:ascii="Times New Roman" w:hAnsi="Times New Roman" w:eastAsia="宋体" w:cs="Times New Roman"/>
                <w:color w:val="000000" w:themeColor="text1"/>
                <w:lang w:eastAsia="zh-CN"/>
                <w14:textFill>
                  <w14:solidFill>
                    <w14:schemeClr w14:val="tx1"/>
                  </w14:solidFill>
                </w14:textFill>
              </w:rPr>
              <w:t>施工结束后清理、平整并压实临时占地，以利于土壤、植被自然恢复。井场、生活营地和探临道路进行平整，井场无废水和固体废物遗留。</w:t>
            </w:r>
          </w:p>
        </w:tc>
        <w:tc>
          <w:tcPr>
            <w:tcW w:w="655" w:type="pct"/>
            <w:vMerge w:val="restart"/>
            <w:vAlign w:val="center"/>
          </w:tcPr>
          <w:p w14:paraId="0774157C">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根据试采结果决定新钻井是否转为生产井，若可转为生产井，则应当在产能开发建设前对其开展环境影响评价工作，编制环境影响评价文件。</w:t>
            </w:r>
          </w:p>
        </w:tc>
        <w:tc>
          <w:tcPr>
            <w:tcW w:w="418" w:type="pct"/>
            <w:vMerge w:val="restart"/>
            <w:vAlign w:val="center"/>
          </w:tcPr>
          <w:p w14:paraId="0B68DF09">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按照环评及批复等相关文件要求进行验收。</w:t>
            </w:r>
          </w:p>
        </w:tc>
      </w:tr>
      <w:tr w14:paraId="444F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1" w:type="pct"/>
            <w:vAlign w:val="center"/>
          </w:tcPr>
          <w:p w14:paraId="4A13EC64">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水生生态</w:t>
            </w:r>
          </w:p>
        </w:tc>
        <w:tc>
          <w:tcPr>
            <w:tcW w:w="2158" w:type="pct"/>
            <w:vAlign w:val="center"/>
          </w:tcPr>
          <w:p w14:paraId="79609ED4">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107" w:type="pct"/>
            <w:vAlign w:val="center"/>
          </w:tcPr>
          <w:p w14:paraId="0ABA1771">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2021F73C">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52168094">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2C55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3A235635">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地表水环境</w:t>
            </w:r>
          </w:p>
        </w:tc>
        <w:tc>
          <w:tcPr>
            <w:tcW w:w="2158" w:type="pct"/>
            <w:vAlign w:val="center"/>
          </w:tcPr>
          <w:p w14:paraId="78AEEFEA">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107" w:type="pct"/>
            <w:vAlign w:val="center"/>
          </w:tcPr>
          <w:p w14:paraId="6A36DAD8">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55766D9B">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3B57A4A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457B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68C5D010">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地下水及土壤环境</w:t>
            </w:r>
          </w:p>
        </w:tc>
        <w:tc>
          <w:tcPr>
            <w:tcW w:w="2158" w:type="pct"/>
            <w:vAlign w:val="center"/>
          </w:tcPr>
          <w:p w14:paraId="07CBE66F">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施工期废水主要包括钻井废水（钻井液/泥浆体系废液）、洗井废水、压裂返排液及生活污水。钻井过程中产生的钻井废水按钻井液体系分阶段循环使用：井筒返出钻井液经“钻井液不落地”系统固液分离后，液相优先回用于相应体系钻井液的配制与循环利用，钻井期间不外排；钻井阶段结束后，无法继续回用的钻井液以废弃泥浆形式产生，与固相物料分类收集后统一外运处置。洗井废水和压裂返排液分别收集至专用储罐，采用罐车拉运至吉康脱水站处理，处理后水质达到《碎屑岩油藏注水水质指标技术要求及分析方法》（SY/T5329-2022）标准后全部回注油藏，不外排。</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本项目采用下套管注水泥固井工艺实施水泥固井，水泥浆在井筒内形成封隔，隔离含水层与目的层，减少钻井过程对地下水环境的影响。生活营地设置</w:t>
            </w:r>
            <w:r>
              <w:rPr>
                <w:rFonts w:hint="eastAsia" w:ascii="Times New Roman" w:hAnsi="Times New Roman" w:eastAsia="宋体" w:cs="Times New Roman"/>
                <w:color w:val="000000" w:themeColor="text1"/>
                <w:lang w:val="en-US" w:eastAsia="zh-CN"/>
                <w14:textFill>
                  <w14:solidFill>
                    <w14:schemeClr w14:val="tx1"/>
                  </w14:solidFill>
                </w14:textFill>
              </w:rPr>
              <w:t>防渗收集池</w:t>
            </w:r>
            <w:r>
              <w:rPr>
                <w:rFonts w:hint="default" w:ascii="Times New Roman" w:hAnsi="Times New Roman" w:eastAsia="宋体" w:cs="Times New Roman"/>
                <w:color w:val="000000" w:themeColor="text1"/>
                <w:lang w:eastAsia="zh-CN"/>
                <w14:textFill>
                  <w14:solidFill>
                    <w14:schemeClr w14:val="tx1"/>
                  </w14:solidFill>
                </w14:textFill>
              </w:rPr>
              <w:t>收集生活污水，定期由吸污车清运至</w:t>
            </w:r>
            <w:r>
              <w:rPr>
                <w:rFonts w:hint="eastAsia" w:ascii="Times New Roman" w:hAnsi="Times New Roman" w:eastAsia="宋体" w:cs="Times New Roman"/>
                <w:color w:val="000000" w:themeColor="text1"/>
                <w:lang w:val="en-US" w:eastAsia="zh-CN"/>
                <w14:textFill>
                  <w14:solidFill>
                    <w14:schemeClr w14:val="tx1"/>
                  </w14:solidFill>
                </w14:textFill>
              </w:rPr>
              <w:t>吉木萨尔县</w:t>
            </w:r>
            <w:r>
              <w:rPr>
                <w:rFonts w:hint="default" w:ascii="Times New Roman" w:hAnsi="Times New Roman" w:eastAsia="宋体" w:cs="Times New Roman"/>
                <w:color w:val="000000" w:themeColor="text1"/>
                <w:lang w:eastAsia="zh-CN"/>
                <w14:textFill>
                  <w14:solidFill>
                    <w14:schemeClr w14:val="tx1"/>
                  </w14:solidFill>
                </w14:textFill>
              </w:rPr>
              <w:t>市政污水处理厂处理，严禁就地排放。</w:t>
            </w:r>
          </w:p>
        </w:tc>
        <w:tc>
          <w:tcPr>
            <w:tcW w:w="1107" w:type="pct"/>
            <w:vAlign w:val="center"/>
          </w:tcPr>
          <w:p w14:paraId="3453E407">
            <w:pPr>
              <w:kinsoku/>
              <w:spacing w:line="340" w:lineRule="exact"/>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验收内容：</w:t>
            </w:r>
            <w:r>
              <w:rPr>
                <w:rFonts w:hint="default" w:ascii="Times New Roman" w:hAnsi="Times New Roman" w:eastAsia="宋体" w:cs="Times New Roman"/>
                <w:color w:val="000000" w:themeColor="text1"/>
                <w:lang w:eastAsia="zh-CN"/>
                <w14:textFill>
                  <w14:solidFill>
                    <w14:schemeClr w14:val="tx1"/>
                  </w14:solidFill>
                </w14:textFill>
              </w:rPr>
              <w:t>①生活污水签订清运协议；②洗井废水和压裂返排液现场无遗留；③重点防渗区防渗施工记录</w:t>
            </w:r>
            <w:r>
              <w:rPr>
                <w:rFonts w:hint="eastAsia" w:ascii="Times New Roman" w:hAnsi="Times New Roman" w:eastAsia="宋体" w:cs="Times New Roman"/>
                <w:color w:val="000000" w:themeColor="text1"/>
                <w:lang w:eastAsia="zh-CN"/>
                <w14:textFill>
                  <w14:solidFill>
                    <w14:schemeClr w14:val="tx1"/>
                  </w14:solidFill>
                </w14:textFill>
              </w:rPr>
              <w:t>。</w:t>
            </w:r>
          </w:p>
          <w:p w14:paraId="115FA0C2">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验收效果：</w:t>
            </w:r>
            <w:r>
              <w:rPr>
                <w:rFonts w:hint="default" w:ascii="Times New Roman" w:hAnsi="Times New Roman" w:eastAsia="宋体" w:cs="Times New Roman"/>
                <w:color w:val="000000" w:themeColor="text1"/>
                <w:lang w:eastAsia="zh-CN"/>
                <w14:textFill>
                  <w14:solidFill>
                    <w14:schemeClr w14:val="tx1"/>
                  </w14:solidFill>
                </w14:textFill>
              </w:rPr>
              <w:t>验收时现场无遗留问题。</w:t>
            </w:r>
          </w:p>
        </w:tc>
        <w:tc>
          <w:tcPr>
            <w:tcW w:w="655" w:type="pct"/>
            <w:vMerge w:val="continue"/>
            <w:vAlign w:val="center"/>
          </w:tcPr>
          <w:p w14:paraId="1CA6FF81">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18" w:type="pct"/>
            <w:vMerge w:val="continue"/>
            <w:vAlign w:val="center"/>
          </w:tcPr>
          <w:p w14:paraId="4DA4C736">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r>
      <w:tr w14:paraId="3699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25D92E83">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声环境</w:t>
            </w:r>
          </w:p>
        </w:tc>
        <w:tc>
          <w:tcPr>
            <w:tcW w:w="2158" w:type="pct"/>
            <w:vAlign w:val="center"/>
          </w:tcPr>
          <w:p w14:paraId="17DA17BB">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在设备选型上要求采用低噪声的设备，施工设备定期检查维修，对噪声较大的设备采取基础减震措施；加强施工场地管理，合理疏导进入施工区的车辆，禁止运输车辆随意高声鸣笛。</w:t>
            </w:r>
          </w:p>
        </w:tc>
        <w:tc>
          <w:tcPr>
            <w:tcW w:w="1107" w:type="pct"/>
            <w:vAlign w:val="center"/>
          </w:tcPr>
          <w:p w14:paraId="24CD26F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6D5DB1B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3E78AD33">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32A5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346BBAC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振动</w:t>
            </w:r>
          </w:p>
        </w:tc>
        <w:tc>
          <w:tcPr>
            <w:tcW w:w="2158" w:type="pct"/>
            <w:vAlign w:val="center"/>
          </w:tcPr>
          <w:p w14:paraId="23EA30E7">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107" w:type="pct"/>
            <w:vAlign w:val="center"/>
          </w:tcPr>
          <w:p w14:paraId="6A62CD01">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6B5F9D51">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4E23133A">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5156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11463B5A">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大气环境</w:t>
            </w:r>
          </w:p>
        </w:tc>
        <w:tc>
          <w:tcPr>
            <w:tcW w:w="2158" w:type="pct"/>
            <w:vAlign w:val="center"/>
          </w:tcPr>
          <w:p w14:paraId="4E5FAE02">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施工现场运输车辆低速慢行，不得超载，易起尘物料在运输、存放时加盖遮盖物，最大限度防止扬尘扩散；使用符合国家标准的柴油并加强机械、车辆的维护，施工期井场边界</w:t>
            </w:r>
            <w:r>
              <w:rPr>
                <w:rFonts w:hint="default" w:ascii="Times New Roman" w:hAnsi="Times New Roman" w:eastAsia="宋体" w:cs="Times New Roman"/>
                <w:color w:val="000000" w:themeColor="text1"/>
                <w:lang w:val="en-US" w:eastAsia="zh-CN"/>
                <w14:textFill>
                  <w14:solidFill>
                    <w14:schemeClr w14:val="tx1"/>
                  </w14:solidFill>
                </w14:textFill>
              </w:rPr>
              <w:t>备用</w:t>
            </w:r>
            <w:r>
              <w:rPr>
                <w:rFonts w:hint="default" w:ascii="Times New Roman" w:hAnsi="Times New Roman" w:eastAsia="宋体" w:cs="Times New Roman"/>
                <w:color w:val="000000" w:themeColor="text1"/>
                <w:lang w:eastAsia="zh-CN"/>
                <w14:textFill>
                  <w14:solidFill>
                    <w14:schemeClr w14:val="tx1"/>
                  </w14:solidFill>
                </w14:textFill>
              </w:rPr>
              <w:t>柴油机、发电机烟气排放的污染物须满足《大气污染物综合排放标准》(GB16297-1996)中的最高允许排放浓度标准要求；冬季若启用生物质锅炉，须严格使用低硫燃料（S≤0.022%），废气经“水幕预除尘+布袋除尘器</w:t>
            </w:r>
            <w:r>
              <w:rPr>
                <w:rFonts w:ascii="宋体" w:hAnsi="宋体" w:eastAsia="宋体" w:cs="宋体"/>
                <w:color w:val="000000" w:themeColor="text1"/>
                <w:sz w:val="24"/>
                <w:szCs w:val="24"/>
                <w14:textFill>
                  <w14:solidFill>
                    <w14:schemeClr w14:val="tx1"/>
                  </w14:solidFill>
                </w14:textFill>
              </w:rPr>
              <w:t>”达标排放；</w:t>
            </w:r>
            <w:r>
              <w:rPr>
                <w:rFonts w:hint="default" w:ascii="Times New Roman" w:hAnsi="Times New Roman" w:eastAsia="宋体" w:cs="Times New Roman"/>
                <w:color w:val="000000" w:themeColor="text1"/>
                <w:lang w:eastAsia="zh-CN"/>
                <w14:textFill>
                  <w14:solidFill>
                    <w14:schemeClr w14:val="tx1"/>
                  </w14:solidFill>
                </w14:textFill>
              </w:rPr>
              <w:t>试油期伴生气经排气管线充分燃烧后排放，试油期井场边界非甲烷总烃参照执行《陆上石油天然气开采工业大气污染物排放标准》（GB39728-2020）中边界浓度限值要求。</w:t>
            </w:r>
          </w:p>
        </w:tc>
        <w:tc>
          <w:tcPr>
            <w:tcW w:w="1107" w:type="pct"/>
            <w:vAlign w:val="center"/>
          </w:tcPr>
          <w:p w14:paraId="47A3530D">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验收效果：</w:t>
            </w:r>
            <w:r>
              <w:rPr>
                <w:rFonts w:hint="default" w:ascii="Times New Roman" w:hAnsi="Times New Roman" w:eastAsia="宋体" w:cs="Times New Roman"/>
                <w:color w:val="000000" w:themeColor="text1"/>
                <w:lang w:eastAsia="zh-CN"/>
                <w14:textFill>
                  <w14:solidFill>
                    <w14:schemeClr w14:val="tx1"/>
                  </w14:solidFill>
                </w14:textFill>
              </w:rPr>
              <w:t>验收时现场无施工遗留问题。</w:t>
            </w:r>
          </w:p>
        </w:tc>
        <w:tc>
          <w:tcPr>
            <w:tcW w:w="655" w:type="pct"/>
            <w:vMerge w:val="continue"/>
            <w:vAlign w:val="center"/>
          </w:tcPr>
          <w:p w14:paraId="5FB5E8C5">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18" w:type="pct"/>
            <w:vMerge w:val="continue"/>
            <w:vAlign w:val="center"/>
          </w:tcPr>
          <w:p w14:paraId="60AFBF9B">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r>
      <w:tr w14:paraId="7254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38" w:hRule="atLeast"/>
          <w:jc w:val="center"/>
        </w:trPr>
        <w:tc>
          <w:tcPr>
            <w:tcW w:w="661" w:type="pct"/>
            <w:vAlign w:val="center"/>
          </w:tcPr>
          <w:p w14:paraId="7FC66036">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固体废物</w:t>
            </w:r>
          </w:p>
        </w:tc>
        <w:tc>
          <w:tcPr>
            <w:tcW w:w="2158" w:type="pct"/>
            <w:vAlign w:val="center"/>
          </w:tcPr>
          <w:p w14:paraId="7865F21F">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钻井岩屑（含钻井泥浆固相）：钻井过程中产生的钻井岩屑经“钻井液不落地”系统处理，实现固液分离。分离出的固相岩屑按钻井阶段及钻井液体系分类管理：一开段水基钻井岩屑不属于危险废物，暂存于专用岩屑方罐内，具有相应环保处理能力的第三方单位进行集中处置，经检测达到《油气田钻井固体废物综合利用污染控制要求》（DB65/T3997-2017）相关标准限值后综合利用。二开段油基钻井岩屑属于危险废物，委托具有危险废物经营资质的单位规范处置。三开段岩屑虽采用水基钻井液体系，但在</w:t>
            </w:r>
            <w:r>
              <w:rPr>
                <w:rFonts w:hint="default" w:ascii="Times New Roman" w:hAnsi="Times New Roman" w:eastAsia="宋体" w:cs="Times New Roman"/>
                <w:color w:val="000000" w:themeColor="text1"/>
                <w:lang w:val="en-US" w:eastAsia="zh-CN"/>
                <w14:textFill>
                  <w14:solidFill>
                    <w14:schemeClr w14:val="tx1"/>
                  </w14:solidFill>
                </w14:textFill>
              </w:rPr>
              <w:t>含油量检测</w:t>
            </w:r>
            <w:r>
              <w:rPr>
                <w:rFonts w:hint="default" w:ascii="Times New Roman" w:hAnsi="Times New Roman" w:eastAsia="宋体" w:cs="Times New Roman"/>
                <w:color w:val="000000" w:themeColor="text1"/>
                <w:lang w:eastAsia="zh-CN"/>
                <w14:textFill>
                  <w14:solidFill>
                    <w14:schemeClr w14:val="tx1"/>
                  </w14:solidFill>
                </w14:textFill>
              </w:rPr>
              <w:t>结果出具前，暂按危险废物进行严格管理和处置；待</w:t>
            </w:r>
            <w:r>
              <w:rPr>
                <w:rFonts w:hint="default" w:ascii="Times New Roman" w:hAnsi="Times New Roman" w:eastAsia="宋体" w:cs="Times New Roman"/>
                <w:color w:val="000000" w:themeColor="text1"/>
                <w:lang w:val="en-US" w:eastAsia="zh-CN"/>
                <w14:textFill>
                  <w14:solidFill>
                    <w14:schemeClr w14:val="tx1"/>
                  </w14:solidFill>
                </w14:textFill>
              </w:rPr>
              <w:t>检测</w:t>
            </w:r>
            <w:r>
              <w:rPr>
                <w:rFonts w:hint="default" w:ascii="Times New Roman" w:hAnsi="Times New Roman" w:eastAsia="宋体" w:cs="Times New Roman"/>
                <w:color w:val="000000" w:themeColor="text1"/>
                <w:lang w:eastAsia="zh-CN"/>
                <w14:textFill>
                  <w14:solidFill>
                    <w14:schemeClr w14:val="tx1"/>
                  </w14:solidFill>
                </w14:textFill>
              </w:rPr>
              <w:t>结果确认不属于危险废物且满足相关标准要求后，方可调整为按一般工业固体废物进行处置或综合利用。②废防渗材料：未破损、未沾油的防渗材料由建设单位集中回收利用，沾油的废防渗材料委托具有相应危险废物处置资质的单位进行处置；③落地油100%回收，集中收集后委托有危险废物处理资质单位进行处置。④机械设备废油、废润滑油、废润滑油桶暂存至满足重点防渗要求的危险废物贮存</w:t>
            </w:r>
            <w:r>
              <w:rPr>
                <w:rFonts w:hint="default" w:ascii="Times New Roman" w:hAnsi="Times New Roman" w:eastAsia="宋体" w:cs="Times New Roman"/>
                <w:color w:val="000000" w:themeColor="text1"/>
                <w:lang w:val="en-US" w:eastAsia="zh-CN"/>
                <w14:textFill>
                  <w14:solidFill>
                    <w14:schemeClr w14:val="tx1"/>
                  </w14:solidFill>
                </w14:textFill>
              </w:rPr>
              <w:t>点</w:t>
            </w:r>
            <w:r>
              <w:rPr>
                <w:rFonts w:hint="default" w:ascii="Times New Roman" w:hAnsi="Times New Roman" w:eastAsia="宋体" w:cs="Times New Roman"/>
                <w:color w:val="000000" w:themeColor="text1"/>
                <w:lang w:eastAsia="zh-CN"/>
                <w14:textFill>
                  <w14:solidFill>
                    <w14:schemeClr w14:val="tx1"/>
                  </w14:solidFill>
                </w14:textFill>
              </w:rPr>
              <w:t>，委托有危险废物处理资质单位进行处置⑤生活垃圾集中收集后委托第三方拉运至</w:t>
            </w:r>
            <w:r>
              <w:rPr>
                <w:rFonts w:hint="eastAsia" w:ascii="Times New Roman" w:hAnsi="Times New Roman" w:eastAsia="宋体" w:cs="Times New Roman"/>
                <w:color w:val="000000" w:themeColor="text1"/>
                <w:lang w:val="en-US" w:eastAsia="zh-CN"/>
                <w14:textFill>
                  <w14:solidFill>
                    <w14:schemeClr w14:val="tx1"/>
                  </w14:solidFill>
                </w14:textFill>
              </w:rPr>
              <w:t>吉木萨尔县</w:t>
            </w:r>
            <w:r>
              <w:rPr>
                <w:rFonts w:hint="default" w:ascii="Times New Roman" w:hAnsi="Times New Roman" w:eastAsia="宋体" w:cs="Times New Roman"/>
                <w:color w:val="000000" w:themeColor="text1"/>
                <w:lang w:eastAsia="zh-CN"/>
                <w14:textFill>
                  <w14:solidFill>
                    <w14:schemeClr w14:val="tx1"/>
                  </w14:solidFill>
                </w14:textFill>
              </w:rPr>
              <w:t>垃圾场处理。</w:t>
            </w:r>
          </w:p>
        </w:tc>
        <w:tc>
          <w:tcPr>
            <w:tcW w:w="1107" w:type="pct"/>
            <w:vAlign w:val="center"/>
          </w:tcPr>
          <w:p w14:paraId="7A068EDD">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验收内容：</w:t>
            </w:r>
            <w:r>
              <w:rPr>
                <w:rFonts w:hint="default" w:ascii="Times New Roman" w:hAnsi="Times New Roman" w:eastAsia="宋体" w:cs="Times New Roman"/>
                <w:color w:val="000000" w:themeColor="text1"/>
                <w:lang w:eastAsia="zh-CN"/>
                <w14:textFill>
                  <w14:solidFill>
                    <w14:schemeClr w14:val="tx1"/>
                  </w14:solidFill>
                </w14:textFill>
              </w:rPr>
              <w:t>①一开水基岩屑委托处置记录，二开油基岩屑及三开岩屑危险废物管理和转运情况；②废防渗材料、落地油和沾油废防渗材料、机械设备废油与废润滑油桶贮存于危废贮存点后定期委托有危险废物处理资质单位进行处置并签订处置协议，查阅危险废物台账，检查现场是否有遗留；③生活垃圾签订接收协议。④现场是否存在固体废物遗留或混装现象。</w:t>
            </w:r>
          </w:p>
          <w:p w14:paraId="68A39B02">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验收效果：</w:t>
            </w:r>
            <w:r>
              <w:rPr>
                <w:rFonts w:hint="default" w:ascii="Times New Roman" w:hAnsi="Times New Roman" w:eastAsia="宋体" w:cs="Times New Roman"/>
                <w:color w:val="000000" w:themeColor="text1"/>
                <w:lang w:eastAsia="zh-CN"/>
                <w14:textFill>
                  <w14:solidFill>
                    <w14:schemeClr w14:val="tx1"/>
                  </w14:solidFill>
                </w14:textFill>
              </w:rPr>
              <w:t>各类固体废物均按规定分类收集、规范暂存并及时转运处置，现场未发现固体废物遗留或环境污染问题。</w:t>
            </w:r>
          </w:p>
        </w:tc>
        <w:tc>
          <w:tcPr>
            <w:tcW w:w="655" w:type="pct"/>
            <w:vMerge w:val="continue"/>
            <w:vAlign w:val="center"/>
          </w:tcPr>
          <w:p w14:paraId="677E9D20">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18" w:type="pct"/>
            <w:vMerge w:val="continue"/>
            <w:vAlign w:val="center"/>
          </w:tcPr>
          <w:p w14:paraId="7F5EC90F">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r>
      <w:tr w14:paraId="34CF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1" w:type="pct"/>
            <w:vAlign w:val="center"/>
          </w:tcPr>
          <w:p w14:paraId="27673A92">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电磁环境</w:t>
            </w:r>
          </w:p>
        </w:tc>
        <w:tc>
          <w:tcPr>
            <w:tcW w:w="2158" w:type="pct"/>
            <w:vAlign w:val="center"/>
          </w:tcPr>
          <w:p w14:paraId="3E3EB3DA">
            <w:pPr>
              <w:kinsoku/>
              <w:spacing w:line="34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107" w:type="pct"/>
            <w:vAlign w:val="center"/>
          </w:tcPr>
          <w:p w14:paraId="0686909C">
            <w:pPr>
              <w:kinsoku/>
              <w:spacing w:line="34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73665F0D">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39596045">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4EA2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350" w:hRule="atLeast"/>
          <w:jc w:val="center"/>
        </w:trPr>
        <w:tc>
          <w:tcPr>
            <w:tcW w:w="661" w:type="pct"/>
            <w:vAlign w:val="center"/>
          </w:tcPr>
          <w:p w14:paraId="087D524D">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w:t>
            </w:r>
          </w:p>
        </w:tc>
        <w:tc>
          <w:tcPr>
            <w:tcW w:w="2158" w:type="pct"/>
            <w:vAlign w:val="center"/>
          </w:tcPr>
          <w:p w14:paraId="4ACAFA69">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施工时应严格执行相关风险防范措施和规章制度，严禁违规操作加强设备维修与巡检，避免储罐泄漏事故的发生；②在井口安装井控装置，杜绝井喷的发生；防止污染地下水和土壤；③定期检查固井质量，发现固井质量不合格应及时采取措施，保证固井质量合格；④柴油罐、原油罐等储罐底部铺设防渗材料或设置围堰，加强各类储罐及放喷管线的日常管理及安全检查；⑤将本项目纳入《中国石油天然气股份有限公司吐哈油田分公司准东采油管理区突发环境事件应急预案》管理体系，并落实相关应急响应措施。</w:t>
            </w:r>
          </w:p>
        </w:tc>
        <w:tc>
          <w:tcPr>
            <w:tcW w:w="1107" w:type="pct"/>
            <w:vAlign w:val="center"/>
          </w:tcPr>
          <w:p w14:paraId="67F56EF3">
            <w:pPr>
              <w:kinsoku/>
              <w:spacing w:line="34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4DAE5431">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33E0B591">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3E5D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4272D4C0">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环境监测</w:t>
            </w:r>
          </w:p>
        </w:tc>
        <w:tc>
          <w:tcPr>
            <w:tcW w:w="2158" w:type="pct"/>
            <w:vAlign w:val="center"/>
          </w:tcPr>
          <w:p w14:paraId="4A58979A">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工程为钻井及试油阶段项目，施工周期较短，环境影响具有阶段性。施工和试油期间钻机、动力设备等投入运行，建设单位应对各阶段产生的废气、废水、固体废物及生态扰动落实全过程环境管理，通过现场巡查检查、台账记录与必要的阶段性监测，确保各项环保措施有效实施，降低对周边环境的影响。</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本项目监测以施工期为主：在钻井/试油等高噪声作业阶段开展井场边界噪声监测；对固体废物（钻井岩屑、危废等）执行分类收集、暂存、转运联单及台账管理；对钻井液及返排液等废水实行</w:t>
            </w:r>
            <w:r>
              <w:rPr>
                <w:rFonts w:hint="default" w:ascii="Times New Roman" w:hAnsi="Times New Roman" w:eastAsia="宋体" w:cs="Times New Roman"/>
                <w:color w:val="000000" w:themeColor="text1"/>
                <w:lang w:val="en-US" w:eastAsia="zh-CN"/>
                <w14:textFill>
                  <w14:solidFill>
                    <w14:schemeClr w14:val="tx1"/>
                  </w14:solidFill>
                </w14:textFill>
              </w:rPr>
              <w:t>规范</w:t>
            </w:r>
            <w:r>
              <w:rPr>
                <w:rFonts w:hint="default" w:ascii="Times New Roman" w:hAnsi="Times New Roman" w:eastAsia="宋体" w:cs="Times New Roman"/>
                <w:color w:val="000000" w:themeColor="text1"/>
                <w:lang w:eastAsia="zh-CN"/>
                <w14:textFill>
                  <w14:solidFill>
                    <w14:schemeClr w14:val="tx1"/>
                  </w14:solidFill>
                </w14:textFill>
              </w:rPr>
              <w:t>收集并外运至脱水站处理后回注油藏，不设置外排口，日常以过程检查为主。若发生异常工况或环境突发事件（如泄漏、井控异常等），应及时开展应急监测。监测工作由具备相应资质（CMA）的第三方监测单位承担，并形成完整记录归档。</w:t>
            </w:r>
          </w:p>
        </w:tc>
        <w:tc>
          <w:tcPr>
            <w:tcW w:w="1107" w:type="pct"/>
            <w:vAlign w:val="center"/>
          </w:tcPr>
          <w:p w14:paraId="43BCBE38">
            <w:pPr>
              <w:kinsoku/>
              <w:spacing w:line="34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3ADA4AED">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6379451B">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10D7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90" w:hRule="atLeast"/>
          <w:jc w:val="center"/>
        </w:trPr>
        <w:tc>
          <w:tcPr>
            <w:tcW w:w="661" w:type="pct"/>
            <w:vAlign w:val="center"/>
          </w:tcPr>
          <w:p w14:paraId="11467AC5">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其他</w:t>
            </w:r>
          </w:p>
        </w:tc>
        <w:tc>
          <w:tcPr>
            <w:tcW w:w="2158" w:type="pct"/>
            <w:vAlign w:val="center"/>
          </w:tcPr>
          <w:p w14:paraId="57E09947">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p>
        </w:tc>
        <w:tc>
          <w:tcPr>
            <w:tcW w:w="1107" w:type="pct"/>
            <w:vAlign w:val="center"/>
          </w:tcPr>
          <w:p w14:paraId="5E651E18">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环境管理制度是否建立并完善，环保机构及人员是否设置到位；是否保留必要的影像资料。</w:t>
            </w:r>
          </w:p>
        </w:tc>
        <w:tc>
          <w:tcPr>
            <w:tcW w:w="655" w:type="pct"/>
            <w:vMerge w:val="continue"/>
            <w:vAlign w:val="center"/>
          </w:tcPr>
          <w:p w14:paraId="68406EBC">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18" w:type="pct"/>
            <w:vMerge w:val="continue"/>
            <w:vAlign w:val="center"/>
          </w:tcPr>
          <w:p w14:paraId="0AE51158">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r>
    </w:tbl>
    <w:p w14:paraId="26B86A6A">
      <w:pPr>
        <w:pStyle w:val="9"/>
        <w:kinsoku/>
        <w:rPr>
          <w:rFonts w:ascii="Times New Roman" w:hAnsi="Times New Roman" w:cs="Times New Roman"/>
          <w:color w:val="000000" w:themeColor="text1"/>
          <w:lang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BD729AC">
      <w:pPr>
        <w:kinsoku/>
        <w:spacing w:line="360" w:lineRule="auto"/>
        <w:jc w:val="center"/>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eastAsiaTheme="minorEastAsia"/>
          <w:b/>
          <w:color w:val="000000" w:themeColor="text1"/>
          <w:kern w:val="44"/>
          <w:sz w:val="30"/>
          <w:szCs w:val="30"/>
          <w14:textFill>
            <w14:solidFill>
              <w14:schemeClr w14:val="tx1"/>
            </w14:solidFill>
          </w14:textFill>
        </w:rPr>
        <w:t>七、结论</w:t>
      </w:r>
    </w:p>
    <w:tbl>
      <w:tblPr>
        <w:tblStyle w:val="21"/>
        <w:tblW w:w="8635"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35"/>
      </w:tblGrid>
      <w:tr w14:paraId="68590BE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484" w:hRule="atLeast"/>
          <w:jc w:val="center"/>
        </w:trPr>
        <w:tc>
          <w:tcPr>
            <w:tcW w:w="8635" w:type="dxa"/>
          </w:tcPr>
          <w:p w14:paraId="586651B2">
            <w:pPr>
              <w:pStyle w:val="22"/>
              <w:kinsoku/>
              <w:spacing w:before="117" w:line="361" w:lineRule="auto"/>
              <w:ind w:left="117" w:right="106" w:firstLine="480"/>
              <w:jc w:val="both"/>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pacing w:val="-3"/>
                <w:sz w:val="24"/>
                <w:szCs w:val="24"/>
                <w:lang w:eastAsia="zh-CN"/>
                <w14:textFill>
                  <w14:solidFill>
                    <w14:schemeClr w14:val="tx1"/>
                  </w14:solidFill>
                </w14:textFill>
              </w:rPr>
              <w:t>本工程符合国家产业政策，选址较为合理，项目建设符合达标排放、总量控制及维持环境质量原则；符合风险防范措施要求。通过加强管理，污染物无害处理，及时恢复原貌等措施，在各项污染治理措施实施且确保全部污染物达标排放的前提下，本次项目的建设从环境影响角度而言，项目实施是可行的。</w:t>
            </w:r>
          </w:p>
        </w:tc>
      </w:tr>
    </w:tbl>
    <w:p w14:paraId="34318177">
      <w:pPr>
        <w:pStyle w:val="9"/>
        <w:kinsoku/>
        <w:rPr>
          <w:rFonts w:ascii="Times New Roman" w:hAnsi="Times New Roman" w:cs="Times New Roman"/>
          <w:color w:val="000000" w:themeColor="text1"/>
          <w:sz w:val="21"/>
          <w:lang w:eastAsia="zh-CN"/>
          <w14:textFill>
            <w14:solidFill>
              <w14:schemeClr w14:val="tx1"/>
            </w14:solidFill>
          </w14:textFill>
        </w:rPr>
      </w:pPr>
    </w:p>
    <w:sectPr>
      <w:footerReference r:id="rId7" w:type="default"/>
      <w:pgSz w:w="11900" w:h="16840"/>
      <w:pgMar w:top="1440" w:right="1803" w:bottom="1440" w:left="1803" w:header="850"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 New Roman Regular">
    <w:altName w:val="Times New Roman"/>
    <w:panose1 w:val="02020503050405090304"/>
    <w:charset w:val="00"/>
    <w:family w:val="auto"/>
    <w:pitch w:val="default"/>
    <w:sig w:usb0="00000000" w:usb1="00000000" w:usb2="00000001" w:usb3="00000000" w:csb0="400001BF" w:csb1="DFF70000"/>
  </w:font>
  <w:font w:name="Cambria Math">
    <w:panose1 w:val="02040503050406030204"/>
    <w:charset w:val="00"/>
    <w:family w:val="roman"/>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ksdb">
    <w:altName w:val="Segoe UI Symbol"/>
    <w:panose1 w:val="02000500000000000000"/>
    <w:charset w:val="00"/>
    <w:family w:val="auto"/>
    <w:pitch w:val="default"/>
    <w:sig w:usb0="00000000" w:usb1="00000000" w:usb2="00000000" w:usb3="00000000" w:csb0="00000001" w:csb1="00000000"/>
  </w:font>
  <w:font w:name="PingFang SC">
    <w:altName w:val="宋体"/>
    <w:panose1 w:val="020B0400000000000000"/>
    <w:charset w:val="86"/>
    <w:family w:val="auto"/>
    <w:pitch w:val="default"/>
    <w:sig w:usb0="00000000" w:usb1="00000000" w:usb2="00000017"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59D26">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FE6E5">
    <w:pPr>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posOffset>2617470</wp:posOffset>
              </wp:positionH>
              <wp:positionV relativeFrom="paragraph">
                <wp:posOffset>-228600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B08D6">
                          <w:pPr>
                            <w:pStyle w:val="13"/>
                            <w:rPr>
                              <w:rFonts w:ascii="Times New Roman" w:hAnsi="Times New Roman" w:eastAsia="宋体" w:cs="Times New Roman"/>
                              <w:sz w:val="21"/>
                            </w:rPr>
                          </w:pPr>
                          <w:r>
                            <w:rPr>
                              <w:rFonts w:ascii="Times New Roman" w:hAnsi="Times New Roman" w:eastAsia="宋体" w:cs="Times New Roman"/>
                              <w:sz w:val="21"/>
                            </w:rPr>
                            <w:fldChar w:fldCharType="begin"/>
                          </w:r>
                          <w:r>
                            <w:rPr>
                              <w:rFonts w:ascii="Times New Roman" w:hAnsi="Times New Roman" w:eastAsia="宋体" w:cs="Times New Roman"/>
                              <w:sz w:val="21"/>
                            </w:rPr>
                            <w:instrText xml:space="preserve"> PAGE  \* MERGEFORMAT </w:instrText>
                          </w:r>
                          <w:r>
                            <w:rPr>
                              <w:rFonts w:ascii="Times New Roman" w:hAnsi="Times New Roman" w:eastAsia="宋体" w:cs="Times New Roman"/>
                              <w:sz w:val="21"/>
                            </w:rPr>
                            <w:fldChar w:fldCharType="separate"/>
                          </w:r>
                          <w:r>
                            <w:rPr>
                              <w:rFonts w:ascii="Times New Roman" w:hAnsi="Times New Roman" w:eastAsia="宋体" w:cs="Times New Roman"/>
                              <w:sz w:val="21"/>
                            </w:rPr>
                            <w:t>2</w:t>
                          </w:r>
                          <w:r>
                            <w:rPr>
                              <w:rFonts w:ascii="Times New Roman" w:hAnsi="Times New Roman" w:eastAsia="宋体" w:cs="Times New Roman"/>
                              <w:sz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6.1pt;margin-top:-18pt;height:144pt;width:144pt;mso-position-horizontal-relative:margin;mso-wrap-style:none;z-index:251659264;mso-width-relative:page;mso-height-relative:page;" filled="f" stroked="f" coordsize="21600,21600" o:gfxdata="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eqe32AAAAAsBAAAPAAAAAAAAAAEAIAAAACIAAABkcnMvZG93bnJldi54bWxQSwECFAAU&#10;AAAACACHTuJAjNcOfCoCAABVBAAADgAAAAAAAAABACAAAAAnAQAAZHJzL2Uyb0RvYy54bWxQSwUG&#10;AAAAAAYABgBZAQAAwwUAAAAA&#10;">
              <v:fill on="f" focussize="0,0"/>
              <v:stroke on="f" weight="0.5pt"/>
              <v:imagedata o:title=""/>
              <o:lock v:ext="edit" aspectratio="f"/>
              <v:textbox inset="0mm,0mm,0mm,0mm" style="mso-fit-shape-to-text:t;">
                <w:txbxContent>
                  <w:p w14:paraId="717B08D6">
                    <w:pPr>
                      <w:pStyle w:val="13"/>
                      <w:rPr>
                        <w:rFonts w:ascii="Times New Roman" w:hAnsi="Times New Roman" w:eastAsia="宋体" w:cs="Times New Roman"/>
                        <w:sz w:val="21"/>
                      </w:rPr>
                    </w:pPr>
                    <w:r>
                      <w:rPr>
                        <w:rFonts w:ascii="Times New Roman" w:hAnsi="Times New Roman" w:eastAsia="宋体" w:cs="Times New Roman"/>
                        <w:sz w:val="21"/>
                      </w:rPr>
                      <w:fldChar w:fldCharType="begin"/>
                    </w:r>
                    <w:r>
                      <w:rPr>
                        <w:rFonts w:ascii="Times New Roman" w:hAnsi="Times New Roman" w:eastAsia="宋体" w:cs="Times New Roman"/>
                        <w:sz w:val="21"/>
                      </w:rPr>
                      <w:instrText xml:space="preserve"> PAGE  \* MERGEFORMAT </w:instrText>
                    </w:r>
                    <w:r>
                      <w:rPr>
                        <w:rFonts w:ascii="Times New Roman" w:hAnsi="Times New Roman" w:eastAsia="宋体" w:cs="Times New Roman"/>
                        <w:sz w:val="21"/>
                      </w:rPr>
                      <w:fldChar w:fldCharType="separate"/>
                    </w:r>
                    <w:r>
                      <w:rPr>
                        <w:rFonts w:ascii="Times New Roman" w:hAnsi="Times New Roman" w:eastAsia="宋体" w:cs="Times New Roman"/>
                        <w:sz w:val="21"/>
                      </w:rPr>
                      <w:t>2</w:t>
                    </w:r>
                    <w:r>
                      <w:rPr>
                        <w:rFonts w:ascii="Times New Roman" w:hAnsi="Times New Roman" w:eastAsia="宋体" w:cs="Times New Roman"/>
                        <w:sz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A653">
    <w:pPr>
      <w:spacing w:line="176" w:lineRule="auto"/>
      <w:ind w:left="45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9166E">
                          <w:pPr>
                            <w:pStyle w:val="1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DC9166E">
                    <w:pPr>
                      <w:pStyle w:val="1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B299">
    <w:pPr>
      <w:jc w:val="right"/>
      <w:rPr>
        <w:rFonts w:hint="eastAsia" w:ascii="宋体" w:hAnsi="宋体" w:eastAsia="宋体" w:cs="宋体"/>
        <w:sz w:val="26"/>
        <w:szCs w:val="26"/>
      </w:rPr>
    </w:pPr>
    <w:r>
      <w:rPr>
        <w:sz w:val="2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4F896">
                          <w:pPr>
                            <w:pStyle w:val="13"/>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E24F896">
                    <w:pPr>
                      <w:pStyle w:val="13"/>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688B">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56BDF"/>
    <w:multiLevelType w:val="singleLevel"/>
    <w:tmpl w:val="89B56BDF"/>
    <w:lvl w:ilvl="0" w:tentative="0">
      <w:start w:val="8"/>
      <w:numFmt w:val="decimal"/>
      <w:suff w:val="space"/>
      <w:lvlText w:val="%1."/>
      <w:lvlJc w:val="left"/>
    </w:lvl>
  </w:abstractNum>
  <w:abstractNum w:abstractNumId="1">
    <w:nsid w:val="9F9683DF"/>
    <w:multiLevelType w:val="singleLevel"/>
    <w:tmpl w:val="9F9683DF"/>
    <w:lvl w:ilvl="0" w:tentative="0">
      <w:start w:val="1"/>
      <w:numFmt w:val="decimal"/>
      <w:suff w:val="nothing"/>
      <w:lvlText w:val="（%1）"/>
      <w:lvlJc w:val="left"/>
    </w:lvl>
  </w:abstractNum>
  <w:abstractNum w:abstractNumId="2">
    <w:nsid w:val="A3F469D9"/>
    <w:multiLevelType w:val="singleLevel"/>
    <w:tmpl w:val="A3F469D9"/>
    <w:lvl w:ilvl="0" w:tentative="0">
      <w:start w:val="1"/>
      <w:numFmt w:val="decimal"/>
      <w:lvlText w:val="%1."/>
      <w:lvlJc w:val="left"/>
      <w:pPr>
        <w:tabs>
          <w:tab w:val="left" w:pos="312"/>
        </w:tabs>
      </w:pPr>
    </w:lvl>
  </w:abstractNum>
  <w:abstractNum w:abstractNumId="3">
    <w:nsid w:val="BC0AF283"/>
    <w:multiLevelType w:val="singleLevel"/>
    <w:tmpl w:val="BC0AF283"/>
    <w:lvl w:ilvl="0" w:tentative="0">
      <w:start w:val="4"/>
      <w:numFmt w:val="decimal"/>
      <w:lvlText w:val="%1."/>
      <w:lvlJc w:val="left"/>
      <w:pPr>
        <w:tabs>
          <w:tab w:val="left" w:pos="312"/>
        </w:tabs>
      </w:pPr>
    </w:lvl>
  </w:abstractNum>
  <w:abstractNum w:abstractNumId="4">
    <w:nsid w:val="BE34EA25"/>
    <w:multiLevelType w:val="singleLevel"/>
    <w:tmpl w:val="BE34EA25"/>
    <w:lvl w:ilvl="0" w:tentative="0">
      <w:start w:val="10"/>
      <w:numFmt w:val="decimal"/>
      <w:suff w:val="nothing"/>
      <w:lvlText w:val="（%1）"/>
      <w:lvlJc w:val="left"/>
    </w:lvl>
  </w:abstractNum>
  <w:abstractNum w:abstractNumId="5">
    <w:nsid w:val="061D1B42"/>
    <w:multiLevelType w:val="singleLevel"/>
    <w:tmpl w:val="061D1B42"/>
    <w:lvl w:ilvl="0" w:tentative="0">
      <w:start w:val="1"/>
      <w:numFmt w:val="decimal"/>
      <w:suff w:val="nothing"/>
      <w:lvlText w:val="（%1）"/>
      <w:lvlJc w:val="left"/>
    </w:lvl>
  </w:abstractNum>
  <w:abstractNum w:abstractNumId="6">
    <w:nsid w:val="160EB033"/>
    <w:multiLevelType w:val="singleLevel"/>
    <w:tmpl w:val="160EB033"/>
    <w:lvl w:ilvl="0" w:tentative="0">
      <w:start w:val="9"/>
      <w:numFmt w:val="decimal"/>
      <w:lvlText w:val="%1."/>
      <w:lvlJc w:val="left"/>
      <w:pPr>
        <w:tabs>
          <w:tab w:val="left" w:pos="312"/>
        </w:tabs>
      </w:pPr>
    </w:lvl>
  </w:abstractNum>
  <w:abstractNum w:abstractNumId="7">
    <w:nsid w:val="1D6817A2"/>
    <w:multiLevelType w:val="singleLevel"/>
    <w:tmpl w:val="1D6817A2"/>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8">
    <w:nsid w:val="259BB888"/>
    <w:multiLevelType w:val="singleLevel"/>
    <w:tmpl w:val="259BB888"/>
    <w:lvl w:ilvl="0" w:tentative="0">
      <w:start w:val="1"/>
      <w:numFmt w:val="chineseCounting"/>
      <w:suff w:val="nothing"/>
      <w:lvlText w:val="%1、"/>
      <w:lvlJc w:val="left"/>
      <w:rPr>
        <w:rFonts w:hint="eastAsia"/>
      </w:rPr>
    </w:lvl>
  </w:abstractNum>
  <w:abstractNum w:abstractNumId="9">
    <w:nsid w:val="351F11C5"/>
    <w:multiLevelType w:val="singleLevel"/>
    <w:tmpl w:val="351F11C5"/>
    <w:lvl w:ilvl="0" w:tentative="0">
      <w:start w:val="1"/>
      <w:numFmt w:val="decimal"/>
      <w:suff w:val="nothing"/>
      <w:lvlText w:val="（%1）"/>
      <w:lvlJc w:val="left"/>
    </w:lvl>
  </w:abstractNum>
  <w:abstractNum w:abstractNumId="10">
    <w:nsid w:val="37C54A46"/>
    <w:multiLevelType w:val="singleLevel"/>
    <w:tmpl w:val="37C54A46"/>
    <w:lvl w:ilvl="0" w:tentative="0">
      <w:start w:val="1"/>
      <w:numFmt w:val="decimal"/>
      <w:lvlText w:val="%1."/>
      <w:lvlJc w:val="left"/>
      <w:pPr>
        <w:tabs>
          <w:tab w:val="left" w:pos="312"/>
        </w:tabs>
      </w:pPr>
    </w:lvl>
  </w:abstractNum>
  <w:abstractNum w:abstractNumId="11">
    <w:nsid w:val="3A520312"/>
    <w:multiLevelType w:val="singleLevel"/>
    <w:tmpl w:val="3A520312"/>
    <w:lvl w:ilvl="0" w:tentative="0">
      <w:start w:val="1"/>
      <w:numFmt w:val="decimal"/>
      <w:suff w:val="nothing"/>
      <w:lvlText w:val="（%1）"/>
      <w:lvlJc w:val="left"/>
    </w:lvl>
  </w:abstractNum>
  <w:abstractNum w:abstractNumId="12">
    <w:nsid w:val="4D7761CD"/>
    <w:multiLevelType w:val="singleLevel"/>
    <w:tmpl w:val="4D7761CD"/>
    <w:lvl w:ilvl="0" w:tentative="0">
      <w:start w:val="3"/>
      <w:numFmt w:val="decimal"/>
      <w:lvlText w:val="%1."/>
      <w:lvlJc w:val="left"/>
      <w:pPr>
        <w:tabs>
          <w:tab w:val="left" w:pos="312"/>
        </w:tabs>
      </w:pPr>
    </w:lvl>
  </w:abstractNum>
  <w:abstractNum w:abstractNumId="13">
    <w:nsid w:val="5FBE88CC"/>
    <w:multiLevelType w:val="singleLevel"/>
    <w:tmpl w:val="5FBE88CC"/>
    <w:lvl w:ilvl="0" w:tentative="0">
      <w:start w:val="1"/>
      <w:numFmt w:val="decimal"/>
      <w:suff w:val="nothing"/>
      <w:lvlText w:val="（%1）"/>
      <w:lvlJc w:val="left"/>
    </w:lvl>
  </w:abstractNum>
  <w:num w:numId="1">
    <w:abstractNumId w:val="7"/>
  </w:num>
  <w:num w:numId="2">
    <w:abstractNumId w:val="8"/>
  </w:num>
  <w:num w:numId="3">
    <w:abstractNumId w:val="12"/>
  </w:num>
  <w:num w:numId="4">
    <w:abstractNumId w:val="0"/>
  </w:num>
  <w:num w:numId="5">
    <w:abstractNumId w:val="11"/>
  </w:num>
  <w:num w:numId="6">
    <w:abstractNumId w:val="10"/>
  </w:num>
  <w:num w:numId="7">
    <w:abstractNumId w:val="5"/>
  </w:num>
  <w:num w:numId="8">
    <w:abstractNumId w:val="9"/>
  </w:num>
  <w:num w:numId="9">
    <w:abstractNumId w:val="13"/>
  </w:num>
  <w:num w:numId="10">
    <w:abstractNumId w:val="4"/>
  </w:num>
  <w:num w:numId="11">
    <w:abstractNumId w:val="6"/>
  </w:num>
  <w:num w:numId="12">
    <w:abstractNumId w:val="2"/>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ZDJkZTY5YTRhOTQ1OTRkYTc3MGJiMzgzZjQxZjI4MzEifQ=="/>
  </w:docVars>
  <w:rsids>
    <w:rsidRoot w:val="00172A27"/>
    <w:rsid w:val="000504BE"/>
    <w:rsid w:val="00075A58"/>
    <w:rsid w:val="000921CE"/>
    <w:rsid w:val="00092E67"/>
    <w:rsid w:val="000B7725"/>
    <w:rsid w:val="0015634E"/>
    <w:rsid w:val="0016362C"/>
    <w:rsid w:val="00172A27"/>
    <w:rsid w:val="001E57F7"/>
    <w:rsid w:val="001E6476"/>
    <w:rsid w:val="001F076F"/>
    <w:rsid w:val="00203E00"/>
    <w:rsid w:val="00237B13"/>
    <w:rsid w:val="0029664E"/>
    <w:rsid w:val="00296707"/>
    <w:rsid w:val="002D1EDF"/>
    <w:rsid w:val="002E6CDB"/>
    <w:rsid w:val="002F75C1"/>
    <w:rsid w:val="0034431D"/>
    <w:rsid w:val="003938E4"/>
    <w:rsid w:val="003C1BFA"/>
    <w:rsid w:val="003C1CA4"/>
    <w:rsid w:val="003C3014"/>
    <w:rsid w:val="004663DD"/>
    <w:rsid w:val="004E460D"/>
    <w:rsid w:val="00546770"/>
    <w:rsid w:val="005716CC"/>
    <w:rsid w:val="005758C7"/>
    <w:rsid w:val="005856C3"/>
    <w:rsid w:val="005B134C"/>
    <w:rsid w:val="006645B8"/>
    <w:rsid w:val="00682605"/>
    <w:rsid w:val="006A4FB4"/>
    <w:rsid w:val="006A6197"/>
    <w:rsid w:val="006B31C3"/>
    <w:rsid w:val="007346A6"/>
    <w:rsid w:val="00762ECA"/>
    <w:rsid w:val="007B3914"/>
    <w:rsid w:val="007B3ED8"/>
    <w:rsid w:val="007E03D3"/>
    <w:rsid w:val="007E4A55"/>
    <w:rsid w:val="008015FA"/>
    <w:rsid w:val="008246AF"/>
    <w:rsid w:val="00882EC4"/>
    <w:rsid w:val="008C51C1"/>
    <w:rsid w:val="009374B2"/>
    <w:rsid w:val="00960BD2"/>
    <w:rsid w:val="009B2E95"/>
    <w:rsid w:val="009D3EDB"/>
    <w:rsid w:val="00A44342"/>
    <w:rsid w:val="00A758F7"/>
    <w:rsid w:val="00A96CA4"/>
    <w:rsid w:val="00AC2FA9"/>
    <w:rsid w:val="00AD6EA2"/>
    <w:rsid w:val="00B57DB9"/>
    <w:rsid w:val="00B67208"/>
    <w:rsid w:val="00C301D0"/>
    <w:rsid w:val="00C705F8"/>
    <w:rsid w:val="00C86A7E"/>
    <w:rsid w:val="00C950CA"/>
    <w:rsid w:val="00CA5DC7"/>
    <w:rsid w:val="00CF038F"/>
    <w:rsid w:val="00CF6DC1"/>
    <w:rsid w:val="00D074CA"/>
    <w:rsid w:val="00D264E6"/>
    <w:rsid w:val="00D4295E"/>
    <w:rsid w:val="00D52DF3"/>
    <w:rsid w:val="00D70BF4"/>
    <w:rsid w:val="00DD70D0"/>
    <w:rsid w:val="00DF78EB"/>
    <w:rsid w:val="00E05428"/>
    <w:rsid w:val="00E21DF1"/>
    <w:rsid w:val="00FE39D7"/>
    <w:rsid w:val="00FE5CAC"/>
    <w:rsid w:val="010D7DD7"/>
    <w:rsid w:val="011C4E4A"/>
    <w:rsid w:val="01201F55"/>
    <w:rsid w:val="01395BF5"/>
    <w:rsid w:val="017C6D0A"/>
    <w:rsid w:val="019A3EBD"/>
    <w:rsid w:val="01B2494B"/>
    <w:rsid w:val="01C5349F"/>
    <w:rsid w:val="01FA184C"/>
    <w:rsid w:val="02564BEC"/>
    <w:rsid w:val="02DC2156"/>
    <w:rsid w:val="02EB406C"/>
    <w:rsid w:val="03157E45"/>
    <w:rsid w:val="032A4C70"/>
    <w:rsid w:val="033E4BBF"/>
    <w:rsid w:val="03944E95"/>
    <w:rsid w:val="03A25B62"/>
    <w:rsid w:val="04A171B4"/>
    <w:rsid w:val="04AF1EC4"/>
    <w:rsid w:val="04C9495C"/>
    <w:rsid w:val="04D23811"/>
    <w:rsid w:val="05265EEB"/>
    <w:rsid w:val="05720B50"/>
    <w:rsid w:val="05A14728"/>
    <w:rsid w:val="05B0119F"/>
    <w:rsid w:val="05EC445F"/>
    <w:rsid w:val="06344057"/>
    <w:rsid w:val="06497B03"/>
    <w:rsid w:val="0699220F"/>
    <w:rsid w:val="06AE392B"/>
    <w:rsid w:val="06B93618"/>
    <w:rsid w:val="06E94E42"/>
    <w:rsid w:val="071043F5"/>
    <w:rsid w:val="071C5217"/>
    <w:rsid w:val="07260BAC"/>
    <w:rsid w:val="078A03D3"/>
    <w:rsid w:val="07996868"/>
    <w:rsid w:val="079979A2"/>
    <w:rsid w:val="07AF7E3A"/>
    <w:rsid w:val="07D66425"/>
    <w:rsid w:val="07DD4B51"/>
    <w:rsid w:val="07EF2DEB"/>
    <w:rsid w:val="083131ED"/>
    <w:rsid w:val="088F5575"/>
    <w:rsid w:val="088F72E1"/>
    <w:rsid w:val="0900542F"/>
    <w:rsid w:val="092F76BF"/>
    <w:rsid w:val="093079A7"/>
    <w:rsid w:val="09310546"/>
    <w:rsid w:val="095D6A21"/>
    <w:rsid w:val="097C01EF"/>
    <w:rsid w:val="098C700B"/>
    <w:rsid w:val="09BC683E"/>
    <w:rsid w:val="0A1977EC"/>
    <w:rsid w:val="0A3705E1"/>
    <w:rsid w:val="0A6A0048"/>
    <w:rsid w:val="0A8729A8"/>
    <w:rsid w:val="0A8B5E02"/>
    <w:rsid w:val="0A9450C5"/>
    <w:rsid w:val="0A984BB5"/>
    <w:rsid w:val="0AC47B10"/>
    <w:rsid w:val="0ADA51CD"/>
    <w:rsid w:val="0AFB6FF6"/>
    <w:rsid w:val="0B4A371F"/>
    <w:rsid w:val="0B5C1166"/>
    <w:rsid w:val="0B640F3B"/>
    <w:rsid w:val="0B6C5BA6"/>
    <w:rsid w:val="0B955598"/>
    <w:rsid w:val="0BC31187"/>
    <w:rsid w:val="0BF220E7"/>
    <w:rsid w:val="0BFD446B"/>
    <w:rsid w:val="0C1049B5"/>
    <w:rsid w:val="0C2D757F"/>
    <w:rsid w:val="0C4E4A99"/>
    <w:rsid w:val="0C831895"/>
    <w:rsid w:val="0CDD0FA5"/>
    <w:rsid w:val="0D3122B2"/>
    <w:rsid w:val="0D4A1CA3"/>
    <w:rsid w:val="0D5C2DA7"/>
    <w:rsid w:val="0D687E79"/>
    <w:rsid w:val="0D906017"/>
    <w:rsid w:val="0D9D2967"/>
    <w:rsid w:val="0DE85E53"/>
    <w:rsid w:val="0E2350DD"/>
    <w:rsid w:val="0E280A8B"/>
    <w:rsid w:val="0E440BB0"/>
    <w:rsid w:val="0EA97F9C"/>
    <w:rsid w:val="0F2014D7"/>
    <w:rsid w:val="0FAE09D7"/>
    <w:rsid w:val="0FCC70AF"/>
    <w:rsid w:val="0FF705D0"/>
    <w:rsid w:val="0FF87EA4"/>
    <w:rsid w:val="100B407B"/>
    <w:rsid w:val="10120F66"/>
    <w:rsid w:val="101E2E6A"/>
    <w:rsid w:val="102C283E"/>
    <w:rsid w:val="103213D7"/>
    <w:rsid w:val="103425BC"/>
    <w:rsid w:val="10433815"/>
    <w:rsid w:val="105842F0"/>
    <w:rsid w:val="10675755"/>
    <w:rsid w:val="106D0892"/>
    <w:rsid w:val="109E5824"/>
    <w:rsid w:val="10A5781E"/>
    <w:rsid w:val="10FC5772"/>
    <w:rsid w:val="115C2CF7"/>
    <w:rsid w:val="1178761E"/>
    <w:rsid w:val="11906F6E"/>
    <w:rsid w:val="11A958FA"/>
    <w:rsid w:val="11F3162F"/>
    <w:rsid w:val="122338FE"/>
    <w:rsid w:val="12A91C97"/>
    <w:rsid w:val="13491142"/>
    <w:rsid w:val="13AA5959"/>
    <w:rsid w:val="13BA0C00"/>
    <w:rsid w:val="13D824C6"/>
    <w:rsid w:val="147072F3"/>
    <w:rsid w:val="150A2963"/>
    <w:rsid w:val="152A4FA3"/>
    <w:rsid w:val="157F329D"/>
    <w:rsid w:val="15EA64E1"/>
    <w:rsid w:val="15F01D49"/>
    <w:rsid w:val="15F508CB"/>
    <w:rsid w:val="162714E3"/>
    <w:rsid w:val="163063CC"/>
    <w:rsid w:val="163C6D3C"/>
    <w:rsid w:val="169F72CB"/>
    <w:rsid w:val="16A448E1"/>
    <w:rsid w:val="16A95739"/>
    <w:rsid w:val="16DF3B6C"/>
    <w:rsid w:val="1730295E"/>
    <w:rsid w:val="173A339B"/>
    <w:rsid w:val="185D172B"/>
    <w:rsid w:val="18636D79"/>
    <w:rsid w:val="18E84F59"/>
    <w:rsid w:val="195066E0"/>
    <w:rsid w:val="19C57049"/>
    <w:rsid w:val="19D43730"/>
    <w:rsid w:val="19DC576F"/>
    <w:rsid w:val="1A187AC0"/>
    <w:rsid w:val="1A1D1D3F"/>
    <w:rsid w:val="1A3775FF"/>
    <w:rsid w:val="1AC148E7"/>
    <w:rsid w:val="1B4D5264"/>
    <w:rsid w:val="1BC670A8"/>
    <w:rsid w:val="1BDF01FB"/>
    <w:rsid w:val="1BFB1448"/>
    <w:rsid w:val="1C077DEC"/>
    <w:rsid w:val="1C47643B"/>
    <w:rsid w:val="1CA130B4"/>
    <w:rsid w:val="1CBF2475"/>
    <w:rsid w:val="1D33076D"/>
    <w:rsid w:val="1D5D0701"/>
    <w:rsid w:val="1D784489"/>
    <w:rsid w:val="1D7A1413"/>
    <w:rsid w:val="1D951428"/>
    <w:rsid w:val="1DAB29F9"/>
    <w:rsid w:val="1DAC0C4B"/>
    <w:rsid w:val="1DB72B3A"/>
    <w:rsid w:val="1DC62916"/>
    <w:rsid w:val="1E0B7995"/>
    <w:rsid w:val="1E7E1EBC"/>
    <w:rsid w:val="1E893A4C"/>
    <w:rsid w:val="1EA47B74"/>
    <w:rsid w:val="1EE066D3"/>
    <w:rsid w:val="1F327ABD"/>
    <w:rsid w:val="1F417171"/>
    <w:rsid w:val="1F443106"/>
    <w:rsid w:val="1F494278"/>
    <w:rsid w:val="1FF71804"/>
    <w:rsid w:val="2093163A"/>
    <w:rsid w:val="20B17216"/>
    <w:rsid w:val="20CD4236"/>
    <w:rsid w:val="20F87D04"/>
    <w:rsid w:val="20FF72E4"/>
    <w:rsid w:val="213D7E0C"/>
    <w:rsid w:val="214473ED"/>
    <w:rsid w:val="21511635"/>
    <w:rsid w:val="217B20F2"/>
    <w:rsid w:val="217C03FE"/>
    <w:rsid w:val="2191122E"/>
    <w:rsid w:val="21C67E02"/>
    <w:rsid w:val="21E41F66"/>
    <w:rsid w:val="22031056"/>
    <w:rsid w:val="22B755C4"/>
    <w:rsid w:val="22E76282"/>
    <w:rsid w:val="22EE0645"/>
    <w:rsid w:val="231D7EF5"/>
    <w:rsid w:val="235B72E4"/>
    <w:rsid w:val="23C26914"/>
    <w:rsid w:val="23CD5478"/>
    <w:rsid w:val="23D5432C"/>
    <w:rsid w:val="23DF233A"/>
    <w:rsid w:val="23F01166"/>
    <w:rsid w:val="23F52231"/>
    <w:rsid w:val="245E4EEC"/>
    <w:rsid w:val="246102B6"/>
    <w:rsid w:val="24665FB7"/>
    <w:rsid w:val="249C309C"/>
    <w:rsid w:val="24A3267C"/>
    <w:rsid w:val="24AD7352"/>
    <w:rsid w:val="25304740"/>
    <w:rsid w:val="253F55CD"/>
    <w:rsid w:val="25A8248F"/>
    <w:rsid w:val="25B52240"/>
    <w:rsid w:val="25DB3A7F"/>
    <w:rsid w:val="25E940BF"/>
    <w:rsid w:val="25E96933"/>
    <w:rsid w:val="26067703"/>
    <w:rsid w:val="261D1FBA"/>
    <w:rsid w:val="264A7253"/>
    <w:rsid w:val="26597496"/>
    <w:rsid w:val="26920BFA"/>
    <w:rsid w:val="26AD333E"/>
    <w:rsid w:val="26AF355A"/>
    <w:rsid w:val="26D055EC"/>
    <w:rsid w:val="26D905D7"/>
    <w:rsid w:val="26DD4EC1"/>
    <w:rsid w:val="27181100"/>
    <w:rsid w:val="27351CB2"/>
    <w:rsid w:val="27572868"/>
    <w:rsid w:val="27897907"/>
    <w:rsid w:val="27940A85"/>
    <w:rsid w:val="27FD1D81"/>
    <w:rsid w:val="288C7FD1"/>
    <w:rsid w:val="28DC615D"/>
    <w:rsid w:val="29207CF7"/>
    <w:rsid w:val="297B340B"/>
    <w:rsid w:val="29A11C8E"/>
    <w:rsid w:val="29D60DFE"/>
    <w:rsid w:val="29EF0897"/>
    <w:rsid w:val="2A17569E"/>
    <w:rsid w:val="2A30050E"/>
    <w:rsid w:val="2A587A65"/>
    <w:rsid w:val="2A5C5F6F"/>
    <w:rsid w:val="2A614B6C"/>
    <w:rsid w:val="2AB82BD0"/>
    <w:rsid w:val="2ACB0237"/>
    <w:rsid w:val="2B035C23"/>
    <w:rsid w:val="2B0F45C8"/>
    <w:rsid w:val="2B17347C"/>
    <w:rsid w:val="2B275DB5"/>
    <w:rsid w:val="2B3F1EC7"/>
    <w:rsid w:val="2B482BD6"/>
    <w:rsid w:val="2B4A5938"/>
    <w:rsid w:val="2B93322F"/>
    <w:rsid w:val="2BA03472"/>
    <w:rsid w:val="2BEE0B7E"/>
    <w:rsid w:val="2C0309D0"/>
    <w:rsid w:val="2C0C1B4C"/>
    <w:rsid w:val="2C1361B6"/>
    <w:rsid w:val="2C29790B"/>
    <w:rsid w:val="2C791CD0"/>
    <w:rsid w:val="2CA376BD"/>
    <w:rsid w:val="2CCB09C2"/>
    <w:rsid w:val="2CD63C1A"/>
    <w:rsid w:val="2CEF2903"/>
    <w:rsid w:val="2CFB18D4"/>
    <w:rsid w:val="2D12039F"/>
    <w:rsid w:val="2D26488F"/>
    <w:rsid w:val="2D2D6F87"/>
    <w:rsid w:val="2D2F2EE4"/>
    <w:rsid w:val="2D4B565F"/>
    <w:rsid w:val="2D5C5ABE"/>
    <w:rsid w:val="2D662499"/>
    <w:rsid w:val="2D803D0D"/>
    <w:rsid w:val="2D8950BC"/>
    <w:rsid w:val="2D99461C"/>
    <w:rsid w:val="2DC31699"/>
    <w:rsid w:val="2E3D144C"/>
    <w:rsid w:val="2E684FF5"/>
    <w:rsid w:val="2E903C71"/>
    <w:rsid w:val="2EA85434"/>
    <w:rsid w:val="2EC11C97"/>
    <w:rsid w:val="2ED22555"/>
    <w:rsid w:val="2EE6563F"/>
    <w:rsid w:val="2F2B5748"/>
    <w:rsid w:val="2F697D76"/>
    <w:rsid w:val="2F6A6270"/>
    <w:rsid w:val="2FA0417A"/>
    <w:rsid w:val="2FA8323D"/>
    <w:rsid w:val="30063D65"/>
    <w:rsid w:val="300C6A54"/>
    <w:rsid w:val="30731155"/>
    <w:rsid w:val="307B625B"/>
    <w:rsid w:val="312243DD"/>
    <w:rsid w:val="313905F0"/>
    <w:rsid w:val="313F54DB"/>
    <w:rsid w:val="317938E9"/>
    <w:rsid w:val="317A4B67"/>
    <w:rsid w:val="31C53C32"/>
    <w:rsid w:val="31D245A1"/>
    <w:rsid w:val="31E16592"/>
    <w:rsid w:val="3227225E"/>
    <w:rsid w:val="324B3593"/>
    <w:rsid w:val="32917863"/>
    <w:rsid w:val="32B9494F"/>
    <w:rsid w:val="32D44EC9"/>
    <w:rsid w:val="32D85BE7"/>
    <w:rsid w:val="32DC04D1"/>
    <w:rsid w:val="32FD6730"/>
    <w:rsid w:val="330819F8"/>
    <w:rsid w:val="333252F7"/>
    <w:rsid w:val="339C4E66"/>
    <w:rsid w:val="33A855B9"/>
    <w:rsid w:val="341C19FE"/>
    <w:rsid w:val="342C3B37"/>
    <w:rsid w:val="343E7CCC"/>
    <w:rsid w:val="34727975"/>
    <w:rsid w:val="34790D04"/>
    <w:rsid w:val="353B237C"/>
    <w:rsid w:val="355359F9"/>
    <w:rsid w:val="35547ED1"/>
    <w:rsid w:val="357C1A51"/>
    <w:rsid w:val="35BB3BDF"/>
    <w:rsid w:val="36111DCE"/>
    <w:rsid w:val="368D6CE8"/>
    <w:rsid w:val="369F2A69"/>
    <w:rsid w:val="36B6623F"/>
    <w:rsid w:val="36DF7544"/>
    <w:rsid w:val="37160A8C"/>
    <w:rsid w:val="378B147A"/>
    <w:rsid w:val="37AD15B2"/>
    <w:rsid w:val="37B1205E"/>
    <w:rsid w:val="37C30C14"/>
    <w:rsid w:val="37CE1367"/>
    <w:rsid w:val="37FF59C4"/>
    <w:rsid w:val="38212EAA"/>
    <w:rsid w:val="38561A88"/>
    <w:rsid w:val="38643535"/>
    <w:rsid w:val="38D13A7E"/>
    <w:rsid w:val="39475874"/>
    <w:rsid w:val="394915ED"/>
    <w:rsid w:val="3981130E"/>
    <w:rsid w:val="398E2D3B"/>
    <w:rsid w:val="399C7446"/>
    <w:rsid w:val="39A15A80"/>
    <w:rsid w:val="39D202DA"/>
    <w:rsid w:val="39E13DEF"/>
    <w:rsid w:val="39E55A9C"/>
    <w:rsid w:val="3A1219DE"/>
    <w:rsid w:val="3A3758E9"/>
    <w:rsid w:val="3A376690"/>
    <w:rsid w:val="3A376E6F"/>
    <w:rsid w:val="3A881CA1"/>
    <w:rsid w:val="3A893407"/>
    <w:rsid w:val="3AA27206"/>
    <w:rsid w:val="3AA928FB"/>
    <w:rsid w:val="3B066997"/>
    <w:rsid w:val="3B337E5E"/>
    <w:rsid w:val="3B672905"/>
    <w:rsid w:val="3B6C15C2"/>
    <w:rsid w:val="3B7A69BA"/>
    <w:rsid w:val="3B7D37CF"/>
    <w:rsid w:val="3B893F22"/>
    <w:rsid w:val="3B9A612F"/>
    <w:rsid w:val="3B9F54F4"/>
    <w:rsid w:val="3BA305DE"/>
    <w:rsid w:val="3BAE5737"/>
    <w:rsid w:val="3BFD046C"/>
    <w:rsid w:val="3C017F5D"/>
    <w:rsid w:val="3C137C90"/>
    <w:rsid w:val="3C432323"/>
    <w:rsid w:val="3C634773"/>
    <w:rsid w:val="3C8F5568"/>
    <w:rsid w:val="3CA8487C"/>
    <w:rsid w:val="3D7824A0"/>
    <w:rsid w:val="3D9C2ADA"/>
    <w:rsid w:val="3DA05553"/>
    <w:rsid w:val="3DC00792"/>
    <w:rsid w:val="3DD1395F"/>
    <w:rsid w:val="3E235CFC"/>
    <w:rsid w:val="3E23723A"/>
    <w:rsid w:val="3E497999"/>
    <w:rsid w:val="3E894239"/>
    <w:rsid w:val="3EAA6689"/>
    <w:rsid w:val="3EAD1133"/>
    <w:rsid w:val="3ED2798E"/>
    <w:rsid w:val="3ED8395B"/>
    <w:rsid w:val="3F670307"/>
    <w:rsid w:val="3F756DAC"/>
    <w:rsid w:val="3F987FC9"/>
    <w:rsid w:val="3FEC74D2"/>
    <w:rsid w:val="3FED77F5"/>
    <w:rsid w:val="3FF37BBC"/>
    <w:rsid w:val="405100E3"/>
    <w:rsid w:val="40A55471"/>
    <w:rsid w:val="41006A35"/>
    <w:rsid w:val="41371D0B"/>
    <w:rsid w:val="414546A9"/>
    <w:rsid w:val="41732F67"/>
    <w:rsid w:val="41CE6B33"/>
    <w:rsid w:val="41F30A12"/>
    <w:rsid w:val="422D2A24"/>
    <w:rsid w:val="42927B60"/>
    <w:rsid w:val="42C10446"/>
    <w:rsid w:val="42EF6939"/>
    <w:rsid w:val="42FE0D52"/>
    <w:rsid w:val="43044172"/>
    <w:rsid w:val="430D5439"/>
    <w:rsid w:val="433B01F8"/>
    <w:rsid w:val="43762733"/>
    <w:rsid w:val="4383394D"/>
    <w:rsid w:val="43857FF6"/>
    <w:rsid w:val="438D1543"/>
    <w:rsid w:val="43A63197"/>
    <w:rsid w:val="43EF2D90"/>
    <w:rsid w:val="44293C1E"/>
    <w:rsid w:val="44933678"/>
    <w:rsid w:val="44B97745"/>
    <w:rsid w:val="44D07B86"/>
    <w:rsid w:val="44E93C84"/>
    <w:rsid w:val="44EF3FD1"/>
    <w:rsid w:val="44FA7C3F"/>
    <w:rsid w:val="45077CD9"/>
    <w:rsid w:val="45091972"/>
    <w:rsid w:val="451172DF"/>
    <w:rsid w:val="45184A87"/>
    <w:rsid w:val="45202030"/>
    <w:rsid w:val="45444DD9"/>
    <w:rsid w:val="456652D4"/>
    <w:rsid w:val="45832866"/>
    <w:rsid w:val="45A04A0E"/>
    <w:rsid w:val="460743C1"/>
    <w:rsid w:val="46710529"/>
    <w:rsid w:val="467147E6"/>
    <w:rsid w:val="46844BE7"/>
    <w:rsid w:val="47535603"/>
    <w:rsid w:val="47680EBB"/>
    <w:rsid w:val="478D08F6"/>
    <w:rsid w:val="4799729B"/>
    <w:rsid w:val="47A345BE"/>
    <w:rsid w:val="48027536"/>
    <w:rsid w:val="480768FB"/>
    <w:rsid w:val="48280889"/>
    <w:rsid w:val="48480CC1"/>
    <w:rsid w:val="48515DC8"/>
    <w:rsid w:val="487A5757"/>
    <w:rsid w:val="489B1DE1"/>
    <w:rsid w:val="48A4239B"/>
    <w:rsid w:val="495A617C"/>
    <w:rsid w:val="49670780"/>
    <w:rsid w:val="497D499A"/>
    <w:rsid w:val="49970D05"/>
    <w:rsid w:val="49D46CB0"/>
    <w:rsid w:val="49F44C5D"/>
    <w:rsid w:val="4A141369"/>
    <w:rsid w:val="4A474C35"/>
    <w:rsid w:val="4A49144C"/>
    <w:rsid w:val="4A586ABE"/>
    <w:rsid w:val="4A627E06"/>
    <w:rsid w:val="4A6A35E0"/>
    <w:rsid w:val="4A7E6C1C"/>
    <w:rsid w:val="4A9106FD"/>
    <w:rsid w:val="4AB740F4"/>
    <w:rsid w:val="4ACF6B37"/>
    <w:rsid w:val="4B0B4954"/>
    <w:rsid w:val="4B1A6945"/>
    <w:rsid w:val="4B736055"/>
    <w:rsid w:val="4BAC42C6"/>
    <w:rsid w:val="4BBA0128"/>
    <w:rsid w:val="4BCB5E91"/>
    <w:rsid w:val="4BF03B4A"/>
    <w:rsid w:val="4C034147"/>
    <w:rsid w:val="4C2E570F"/>
    <w:rsid w:val="4C4507B6"/>
    <w:rsid w:val="4C481290"/>
    <w:rsid w:val="4C511572"/>
    <w:rsid w:val="4C51283A"/>
    <w:rsid w:val="4C5F34F9"/>
    <w:rsid w:val="4C8326E8"/>
    <w:rsid w:val="4C9E15D2"/>
    <w:rsid w:val="4CAA06AD"/>
    <w:rsid w:val="4D0D7BAE"/>
    <w:rsid w:val="4D1D096E"/>
    <w:rsid w:val="4D2A2D10"/>
    <w:rsid w:val="4D4923C3"/>
    <w:rsid w:val="4D9660BF"/>
    <w:rsid w:val="4E077B07"/>
    <w:rsid w:val="4E995D0F"/>
    <w:rsid w:val="4ECF7A46"/>
    <w:rsid w:val="4F1B712F"/>
    <w:rsid w:val="4F4E12B3"/>
    <w:rsid w:val="4F746032"/>
    <w:rsid w:val="4F895E47"/>
    <w:rsid w:val="4F9D768D"/>
    <w:rsid w:val="4FE05C03"/>
    <w:rsid w:val="500F0A42"/>
    <w:rsid w:val="50151DD1"/>
    <w:rsid w:val="501E6ED7"/>
    <w:rsid w:val="50496B61"/>
    <w:rsid w:val="50630D8E"/>
    <w:rsid w:val="50855C6C"/>
    <w:rsid w:val="50C04C6D"/>
    <w:rsid w:val="50C23D07"/>
    <w:rsid w:val="50E0418D"/>
    <w:rsid w:val="5119321E"/>
    <w:rsid w:val="517D19DC"/>
    <w:rsid w:val="5198577B"/>
    <w:rsid w:val="51C4760A"/>
    <w:rsid w:val="51FD2B1C"/>
    <w:rsid w:val="525207C6"/>
    <w:rsid w:val="52860D64"/>
    <w:rsid w:val="52AB2578"/>
    <w:rsid w:val="52DA3D53"/>
    <w:rsid w:val="52F97788"/>
    <w:rsid w:val="531620E8"/>
    <w:rsid w:val="53430A03"/>
    <w:rsid w:val="53461CD2"/>
    <w:rsid w:val="53B10578"/>
    <w:rsid w:val="53F341D7"/>
    <w:rsid w:val="53F44044"/>
    <w:rsid w:val="5422686A"/>
    <w:rsid w:val="543C5B7E"/>
    <w:rsid w:val="543E6C31"/>
    <w:rsid w:val="545F2D48"/>
    <w:rsid w:val="547C34DE"/>
    <w:rsid w:val="55004DFD"/>
    <w:rsid w:val="5507618C"/>
    <w:rsid w:val="5511700B"/>
    <w:rsid w:val="55342CF9"/>
    <w:rsid w:val="558A46C7"/>
    <w:rsid w:val="558E2409"/>
    <w:rsid w:val="559D43FA"/>
    <w:rsid w:val="56114DE8"/>
    <w:rsid w:val="563049D1"/>
    <w:rsid w:val="568B06F7"/>
    <w:rsid w:val="56900687"/>
    <w:rsid w:val="56C1680E"/>
    <w:rsid w:val="56F05B65"/>
    <w:rsid w:val="56F178E3"/>
    <w:rsid w:val="57347641"/>
    <w:rsid w:val="574A6804"/>
    <w:rsid w:val="577642E5"/>
    <w:rsid w:val="57C122E3"/>
    <w:rsid w:val="57E427B4"/>
    <w:rsid w:val="57E71897"/>
    <w:rsid w:val="57F64F51"/>
    <w:rsid w:val="5829466B"/>
    <w:rsid w:val="582F759C"/>
    <w:rsid w:val="58CA2895"/>
    <w:rsid w:val="59135C8B"/>
    <w:rsid w:val="59CA59DA"/>
    <w:rsid w:val="59CD1026"/>
    <w:rsid w:val="5A026F22"/>
    <w:rsid w:val="5A2D687B"/>
    <w:rsid w:val="5A366BCB"/>
    <w:rsid w:val="5A89319F"/>
    <w:rsid w:val="5ABA15AB"/>
    <w:rsid w:val="5ABE2723"/>
    <w:rsid w:val="5AC95C92"/>
    <w:rsid w:val="5ACE14FA"/>
    <w:rsid w:val="5ADB41DE"/>
    <w:rsid w:val="5AF977F4"/>
    <w:rsid w:val="5B044F1C"/>
    <w:rsid w:val="5B0F6A1C"/>
    <w:rsid w:val="5B170F9B"/>
    <w:rsid w:val="5B5973D3"/>
    <w:rsid w:val="5B752BA3"/>
    <w:rsid w:val="5B93792A"/>
    <w:rsid w:val="5B955B74"/>
    <w:rsid w:val="5BD2106B"/>
    <w:rsid w:val="5BE2700B"/>
    <w:rsid w:val="5C043425"/>
    <w:rsid w:val="5C4E28F2"/>
    <w:rsid w:val="5C5E240A"/>
    <w:rsid w:val="5C621EFA"/>
    <w:rsid w:val="5C9B61CC"/>
    <w:rsid w:val="5CFB309E"/>
    <w:rsid w:val="5D0447D5"/>
    <w:rsid w:val="5D17521A"/>
    <w:rsid w:val="5D227715"/>
    <w:rsid w:val="5D284EF1"/>
    <w:rsid w:val="5D340046"/>
    <w:rsid w:val="5D4D552D"/>
    <w:rsid w:val="5D552D03"/>
    <w:rsid w:val="5DA77949"/>
    <w:rsid w:val="5DAD3649"/>
    <w:rsid w:val="5DAD53F7"/>
    <w:rsid w:val="5E0A6C17"/>
    <w:rsid w:val="5E224037"/>
    <w:rsid w:val="5E4E5AD0"/>
    <w:rsid w:val="5E734892"/>
    <w:rsid w:val="5EBD5B0D"/>
    <w:rsid w:val="5EE74938"/>
    <w:rsid w:val="5EEF62A0"/>
    <w:rsid w:val="5EF72140"/>
    <w:rsid w:val="5F0279C4"/>
    <w:rsid w:val="5F0C439F"/>
    <w:rsid w:val="5F65716A"/>
    <w:rsid w:val="5FB00D41"/>
    <w:rsid w:val="5FDB0725"/>
    <w:rsid w:val="5FEA2EB1"/>
    <w:rsid w:val="5FF31A0F"/>
    <w:rsid w:val="5FFC08B7"/>
    <w:rsid w:val="60193217"/>
    <w:rsid w:val="6071095D"/>
    <w:rsid w:val="607E36A7"/>
    <w:rsid w:val="60E2116F"/>
    <w:rsid w:val="60F5158E"/>
    <w:rsid w:val="60FD7796"/>
    <w:rsid w:val="60FF4D92"/>
    <w:rsid w:val="610339F0"/>
    <w:rsid w:val="61113EEE"/>
    <w:rsid w:val="611539DF"/>
    <w:rsid w:val="611B187D"/>
    <w:rsid w:val="61206DDD"/>
    <w:rsid w:val="613423BA"/>
    <w:rsid w:val="618E08DE"/>
    <w:rsid w:val="619A2136"/>
    <w:rsid w:val="61FA4982"/>
    <w:rsid w:val="620819A6"/>
    <w:rsid w:val="62144416"/>
    <w:rsid w:val="621A4DB8"/>
    <w:rsid w:val="62203C3B"/>
    <w:rsid w:val="62290BDA"/>
    <w:rsid w:val="624A23DF"/>
    <w:rsid w:val="624B062F"/>
    <w:rsid w:val="627110E9"/>
    <w:rsid w:val="62A82630"/>
    <w:rsid w:val="62D937D9"/>
    <w:rsid w:val="632A4FD2"/>
    <w:rsid w:val="63793376"/>
    <w:rsid w:val="63A811D2"/>
    <w:rsid w:val="640A312F"/>
    <w:rsid w:val="643028DD"/>
    <w:rsid w:val="64487FBE"/>
    <w:rsid w:val="646031C3"/>
    <w:rsid w:val="64790728"/>
    <w:rsid w:val="64A46FA1"/>
    <w:rsid w:val="64B81251"/>
    <w:rsid w:val="64C36792"/>
    <w:rsid w:val="651F4987"/>
    <w:rsid w:val="657234C5"/>
    <w:rsid w:val="65845CFD"/>
    <w:rsid w:val="65A1330E"/>
    <w:rsid w:val="65B705C0"/>
    <w:rsid w:val="65BF660F"/>
    <w:rsid w:val="65CD0D2C"/>
    <w:rsid w:val="65E9004B"/>
    <w:rsid w:val="65ED4E63"/>
    <w:rsid w:val="66051B61"/>
    <w:rsid w:val="660B3602"/>
    <w:rsid w:val="66173D55"/>
    <w:rsid w:val="662A22BF"/>
    <w:rsid w:val="66682803"/>
    <w:rsid w:val="666B2582"/>
    <w:rsid w:val="66905E93"/>
    <w:rsid w:val="66A55805"/>
    <w:rsid w:val="66E225B5"/>
    <w:rsid w:val="672D7CE1"/>
    <w:rsid w:val="67386679"/>
    <w:rsid w:val="675D60DF"/>
    <w:rsid w:val="6789494D"/>
    <w:rsid w:val="67C023A9"/>
    <w:rsid w:val="67CD5013"/>
    <w:rsid w:val="67DE2886"/>
    <w:rsid w:val="6818192D"/>
    <w:rsid w:val="681C0CB6"/>
    <w:rsid w:val="68283D64"/>
    <w:rsid w:val="68903A00"/>
    <w:rsid w:val="69085BD7"/>
    <w:rsid w:val="694F1A58"/>
    <w:rsid w:val="69531548"/>
    <w:rsid w:val="69F36887"/>
    <w:rsid w:val="6A132A85"/>
    <w:rsid w:val="6A336578"/>
    <w:rsid w:val="6A3C36B5"/>
    <w:rsid w:val="6A3F6237"/>
    <w:rsid w:val="6A647785"/>
    <w:rsid w:val="6A6D488B"/>
    <w:rsid w:val="6AC05EC9"/>
    <w:rsid w:val="6BA442DD"/>
    <w:rsid w:val="6C1C0317"/>
    <w:rsid w:val="6C1F5711"/>
    <w:rsid w:val="6C205B8C"/>
    <w:rsid w:val="6C4839A8"/>
    <w:rsid w:val="6C8670B3"/>
    <w:rsid w:val="6CB467A2"/>
    <w:rsid w:val="6CDB6E8A"/>
    <w:rsid w:val="6CF25111"/>
    <w:rsid w:val="6D2A25C0"/>
    <w:rsid w:val="6D2D5427"/>
    <w:rsid w:val="6D436E52"/>
    <w:rsid w:val="6D5238C5"/>
    <w:rsid w:val="6D7D5A70"/>
    <w:rsid w:val="6D995997"/>
    <w:rsid w:val="6E0B2F3E"/>
    <w:rsid w:val="6E2614F9"/>
    <w:rsid w:val="6E39349F"/>
    <w:rsid w:val="6E4B5340"/>
    <w:rsid w:val="6E7361E8"/>
    <w:rsid w:val="6EBF4654"/>
    <w:rsid w:val="6ED625D8"/>
    <w:rsid w:val="6EFF182A"/>
    <w:rsid w:val="6F1D10D4"/>
    <w:rsid w:val="6F293D49"/>
    <w:rsid w:val="6F486FE4"/>
    <w:rsid w:val="6F497C7F"/>
    <w:rsid w:val="6F902776"/>
    <w:rsid w:val="6FAA3E8C"/>
    <w:rsid w:val="6FC07921"/>
    <w:rsid w:val="6FF11ABB"/>
    <w:rsid w:val="6FFB6495"/>
    <w:rsid w:val="70226E34"/>
    <w:rsid w:val="708B4813"/>
    <w:rsid w:val="70977C7B"/>
    <w:rsid w:val="70A97C9F"/>
    <w:rsid w:val="71390B1C"/>
    <w:rsid w:val="71695543"/>
    <w:rsid w:val="71BB412E"/>
    <w:rsid w:val="71EC4552"/>
    <w:rsid w:val="72757BBD"/>
    <w:rsid w:val="72A72905"/>
    <w:rsid w:val="72C24A8D"/>
    <w:rsid w:val="72D92CB0"/>
    <w:rsid w:val="72DA05E4"/>
    <w:rsid w:val="73090EC9"/>
    <w:rsid w:val="731A30D6"/>
    <w:rsid w:val="734E2D80"/>
    <w:rsid w:val="73637E23"/>
    <w:rsid w:val="73871C90"/>
    <w:rsid w:val="73B40854"/>
    <w:rsid w:val="73E3171A"/>
    <w:rsid w:val="73EB6821"/>
    <w:rsid w:val="74354085"/>
    <w:rsid w:val="743E5CF2"/>
    <w:rsid w:val="74534AF2"/>
    <w:rsid w:val="745B3729"/>
    <w:rsid w:val="74AB66DC"/>
    <w:rsid w:val="74B65081"/>
    <w:rsid w:val="74C652C4"/>
    <w:rsid w:val="74C9421C"/>
    <w:rsid w:val="74CE603C"/>
    <w:rsid w:val="74F87447"/>
    <w:rsid w:val="74FA4F6E"/>
    <w:rsid w:val="750202C6"/>
    <w:rsid w:val="754D7D39"/>
    <w:rsid w:val="75B56D5E"/>
    <w:rsid w:val="75E92B3C"/>
    <w:rsid w:val="76004806"/>
    <w:rsid w:val="765E777E"/>
    <w:rsid w:val="766F7295"/>
    <w:rsid w:val="76867A1D"/>
    <w:rsid w:val="76B5726C"/>
    <w:rsid w:val="76C40B40"/>
    <w:rsid w:val="772E53A2"/>
    <w:rsid w:val="77585F7B"/>
    <w:rsid w:val="778B3146"/>
    <w:rsid w:val="77CB499F"/>
    <w:rsid w:val="77D31AA6"/>
    <w:rsid w:val="77D9522E"/>
    <w:rsid w:val="78121064"/>
    <w:rsid w:val="782335EF"/>
    <w:rsid w:val="78454737"/>
    <w:rsid w:val="78482706"/>
    <w:rsid w:val="785E75C1"/>
    <w:rsid w:val="78656868"/>
    <w:rsid w:val="78684380"/>
    <w:rsid w:val="78866B18"/>
    <w:rsid w:val="789919E1"/>
    <w:rsid w:val="789C14CE"/>
    <w:rsid w:val="78CD2873"/>
    <w:rsid w:val="791B798D"/>
    <w:rsid w:val="79EE0E19"/>
    <w:rsid w:val="79F67CA5"/>
    <w:rsid w:val="79F74BF6"/>
    <w:rsid w:val="7A127DEE"/>
    <w:rsid w:val="7A601D17"/>
    <w:rsid w:val="7B136D89"/>
    <w:rsid w:val="7BA04C4A"/>
    <w:rsid w:val="7BF31200"/>
    <w:rsid w:val="7BF85F7F"/>
    <w:rsid w:val="7C102E50"/>
    <w:rsid w:val="7C934347"/>
    <w:rsid w:val="7C9E08D4"/>
    <w:rsid w:val="7CBA6D7F"/>
    <w:rsid w:val="7D2C5EE0"/>
    <w:rsid w:val="7D657644"/>
    <w:rsid w:val="7DAA5057"/>
    <w:rsid w:val="7DD117E2"/>
    <w:rsid w:val="7DF033B2"/>
    <w:rsid w:val="7DF06F0E"/>
    <w:rsid w:val="7DFA5168"/>
    <w:rsid w:val="7E1626EC"/>
    <w:rsid w:val="7E417769"/>
    <w:rsid w:val="7E48331E"/>
    <w:rsid w:val="7E5A082B"/>
    <w:rsid w:val="7E5A4906"/>
    <w:rsid w:val="7E7538B7"/>
    <w:rsid w:val="7E9A0745"/>
    <w:rsid w:val="7E9A7E16"/>
    <w:rsid w:val="7EB41895"/>
    <w:rsid w:val="7F1E7AAB"/>
    <w:rsid w:val="7F402117"/>
    <w:rsid w:val="7F484B27"/>
    <w:rsid w:val="7F4B6E2B"/>
    <w:rsid w:val="7F6D2E19"/>
    <w:rsid w:val="7FBA0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4">
    <w:name w:val="heading 1"/>
    <w:basedOn w:val="1"/>
    <w:next w:val="1"/>
    <w:qFormat/>
    <w:uiPriority w:val="0"/>
    <w:pPr>
      <w:keepNext/>
      <w:keepLines/>
      <w:spacing w:line="360" w:lineRule="auto"/>
      <w:jc w:val="center"/>
      <w:outlineLvl w:val="0"/>
    </w:pPr>
    <w:rPr>
      <w:rFonts w:ascii="宋体" w:hAnsi="宋体" w:cs="宋体"/>
      <w:b/>
      <w:color w:val="FF0000"/>
      <w:kern w:val="44"/>
      <w:sz w:val="28"/>
      <w:szCs w:val="28"/>
    </w:rPr>
  </w:style>
  <w:style w:type="paragraph" w:styleId="5">
    <w:name w:val="heading 3"/>
    <w:basedOn w:val="1"/>
    <w:next w:val="1"/>
    <w:unhideWhenUsed/>
    <w:qFormat/>
    <w:uiPriority w:val="0"/>
    <w:pPr>
      <w:keepNext/>
      <w:keepLines/>
      <w:spacing w:line="360" w:lineRule="auto"/>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kern w:val="44"/>
      <w:sz w:val="44"/>
    </w:rPr>
  </w:style>
  <w:style w:type="paragraph" w:styleId="3">
    <w:name w:val="Body Text Indent"/>
    <w:basedOn w:val="1"/>
    <w:qFormat/>
    <w:uiPriority w:val="0"/>
    <w:pPr>
      <w:adjustRightInd w:val="0"/>
      <w:snapToGrid w:val="0"/>
      <w:spacing w:after="120" w:line="500" w:lineRule="exact"/>
      <w:ind w:left="420" w:leftChars="200"/>
    </w:pPr>
    <w:rPr>
      <w:rFonts w:eastAsia="仿宋_GB2312"/>
      <w:b/>
      <w:sz w:val="28"/>
      <w:szCs w:val="24"/>
    </w:r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pPr>
      <w:keepNext/>
      <w:spacing w:line="500" w:lineRule="exact"/>
      <w:jc w:val="center"/>
    </w:pPr>
    <w:rPr>
      <w:rFonts w:ascii="黑体" w:hAnsi="黑体" w:eastAsia="黑体"/>
      <w:color w:val="FF0000"/>
    </w:rPr>
  </w:style>
  <w:style w:type="paragraph" w:styleId="8">
    <w:name w:val="annotation text"/>
    <w:basedOn w:val="1"/>
    <w:qFormat/>
    <w:uiPriority w:val="0"/>
  </w:style>
  <w:style w:type="paragraph" w:styleId="9">
    <w:name w:val="Body Text"/>
    <w:basedOn w:val="1"/>
    <w:next w:val="1"/>
    <w:semiHidden/>
    <w:qFormat/>
    <w:uiPriority w:val="0"/>
    <w:rPr>
      <w:sz w:val="2"/>
      <w:szCs w:val="2"/>
    </w:rPr>
  </w:style>
  <w:style w:type="paragraph" w:styleId="10">
    <w:name w:val="Block Text"/>
    <w:basedOn w:val="1"/>
    <w:next w:val="11"/>
    <w:qFormat/>
    <w:uiPriority w:val="99"/>
    <w:pPr>
      <w:spacing w:line="480" w:lineRule="exact"/>
    </w:pPr>
    <w:rPr>
      <w:rFonts w:ascii="仿宋_GB2312" w:eastAsia="仿宋_GB2312"/>
      <w:sz w:val="32"/>
      <w:szCs w:val="32"/>
    </w:rPr>
  </w:style>
  <w:style w:type="paragraph" w:styleId="11">
    <w:name w:val="toc 9"/>
    <w:basedOn w:val="1"/>
    <w:next w:val="1"/>
    <w:qFormat/>
    <w:uiPriority w:val="39"/>
    <w:pPr>
      <w:ind w:left="1680"/>
    </w:pPr>
    <w:rPr>
      <w:sz w:val="18"/>
    </w:rPr>
  </w:style>
  <w:style w:type="paragraph" w:styleId="12">
    <w:name w:val="List Bullet 5"/>
    <w:basedOn w:val="1"/>
    <w:qFormat/>
    <w:uiPriority w:val="0"/>
    <w:pPr>
      <w:numPr>
        <w:ilvl w:val="0"/>
        <w:numId w:val="1"/>
      </w:numPr>
    </w:pPr>
  </w:style>
  <w:style w:type="paragraph" w:styleId="13">
    <w:name w:val="footer"/>
    <w:basedOn w:val="1"/>
    <w:qFormat/>
    <w:uiPriority w:val="0"/>
    <w:pPr>
      <w:tabs>
        <w:tab w:val="center" w:pos="4153"/>
        <w:tab w:val="right" w:pos="8306"/>
      </w:tabs>
    </w:pPr>
    <w:rPr>
      <w:sz w:val="18"/>
    </w:rPr>
  </w:style>
  <w:style w:type="paragraph" w:styleId="14">
    <w:name w:val="header"/>
    <w:basedOn w:val="1"/>
    <w:link w:val="36"/>
    <w:qFormat/>
    <w:uiPriority w:val="0"/>
    <w:pPr>
      <w:tabs>
        <w:tab w:val="center" w:pos="4153"/>
        <w:tab w:val="right" w:pos="8306"/>
      </w:tabs>
      <w:jc w:val="center"/>
    </w:pPr>
    <w:rPr>
      <w:sz w:val="18"/>
      <w:szCs w:val="18"/>
    </w:rPr>
  </w:style>
  <w:style w:type="paragraph" w:styleId="15">
    <w:name w:val="Normal (Web)"/>
    <w:basedOn w:val="1"/>
    <w:qFormat/>
    <w:uiPriority w:val="0"/>
    <w:pPr>
      <w:spacing w:line="300" w:lineRule="exact"/>
      <w:contextualSpacing/>
      <w:jc w:val="center"/>
    </w:pPr>
    <w:rPr>
      <w:rFonts w:ascii="宋体" w:hAnsi="宋体"/>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paragraph" w:customStyle="1" w:styleId="20">
    <w:name w:val="正文1"/>
    <w:basedOn w:val="1"/>
    <w:next w:val="1"/>
    <w:qFormat/>
    <w:uiPriority w:val="0"/>
    <w:pPr>
      <w:spacing w:line="500" w:lineRule="atLeast"/>
      <w:ind w:firstLine="567"/>
    </w:pPr>
    <w:rPr>
      <w:sz w:val="28"/>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0"/>
      <w:szCs w:val="20"/>
    </w:rPr>
  </w:style>
  <w:style w:type="character" w:customStyle="1" w:styleId="23">
    <w:name w:val="font21"/>
    <w:basedOn w:val="18"/>
    <w:qFormat/>
    <w:uiPriority w:val="0"/>
    <w:rPr>
      <w:rFonts w:hint="default" w:ascii="Times New Roman" w:hAnsi="Times New Roman" w:cs="Times New Roman"/>
      <w:color w:val="000000"/>
      <w:sz w:val="24"/>
      <w:szCs w:val="24"/>
      <w:u w:val="none"/>
    </w:rPr>
  </w:style>
  <w:style w:type="character" w:customStyle="1" w:styleId="24">
    <w:name w:val="font01"/>
    <w:basedOn w:val="18"/>
    <w:qFormat/>
    <w:uiPriority w:val="0"/>
    <w:rPr>
      <w:rFonts w:hint="eastAsia" w:ascii="宋体" w:hAnsi="宋体" w:eastAsia="宋体" w:cs="宋体"/>
      <w:color w:val="000000"/>
      <w:sz w:val="24"/>
      <w:szCs w:val="24"/>
      <w:u w:val="none"/>
    </w:rPr>
  </w:style>
  <w:style w:type="paragraph" w:customStyle="1" w:styleId="25">
    <w:name w:val="Table Paragraph"/>
    <w:basedOn w:val="1"/>
    <w:autoRedefine/>
    <w:qFormat/>
    <w:uiPriority w:val="1"/>
    <w:pPr>
      <w:kinsoku/>
      <w:spacing w:line="240" w:lineRule="atLeast"/>
      <w:jc w:val="center"/>
    </w:pPr>
    <w:rPr>
      <w:rFonts w:ascii="Times New Roman" w:hAnsi="Times New Roman" w:cs="Times New Roman" w:eastAsiaTheme="minorEastAsia"/>
      <w:b/>
      <w:bCs/>
      <w:szCs w:val="22"/>
      <w:lang w:val="zh-CN" w:eastAsia="zh-CN" w:bidi="zh-CN"/>
    </w:rPr>
  </w:style>
  <w:style w:type="paragraph" w:customStyle="1" w:styleId="26">
    <w:name w:val="MEL正文*"/>
    <w:basedOn w:val="1"/>
    <w:qFormat/>
    <w:uiPriority w:val="0"/>
    <w:pPr>
      <w:spacing w:line="500" w:lineRule="exact"/>
      <w:ind w:firstLine="480" w:firstLineChars="200"/>
    </w:pPr>
    <w:rPr>
      <w:rFonts w:ascii="宋体" w:hAnsi="宋体"/>
      <w:color w:val="FF0000"/>
    </w:rPr>
  </w:style>
  <w:style w:type="paragraph" w:customStyle="1" w:styleId="27">
    <w:name w:val="MEL表字-书"/>
    <w:basedOn w:val="1"/>
    <w:autoRedefine/>
    <w:qFormat/>
    <w:uiPriority w:val="0"/>
    <w:pPr>
      <w:spacing w:line="300" w:lineRule="exact"/>
      <w:jc w:val="center"/>
    </w:pPr>
    <w:rPr>
      <w:rFonts w:ascii="宋体" w:hAnsi="宋体"/>
    </w:rPr>
  </w:style>
  <w:style w:type="paragraph" w:customStyle="1" w:styleId="28">
    <w:name w:val="表头-文字"/>
    <w:basedOn w:val="1"/>
    <w:qFormat/>
    <w:uiPriority w:val="0"/>
    <w:pPr>
      <w:spacing w:line="500" w:lineRule="exact"/>
      <w:ind w:firstLine="200" w:firstLineChars="200"/>
      <w:jc w:val="center"/>
    </w:pPr>
    <w:rPr>
      <w:rFonts w:ascii="黑体" w:hAnsi="黑体" w:eastAsia="黑体"/>
    </w:rPr>
  </w:style>
  <w:style w:type="table" w:customStyle="1" w:styleId="29">
    <w:name w:val="报告书表格样式1"/>
    <w:basedOn w:val="16"/>
    <w:autoRedefine/>
    <w:qFormat/>
    <w:uiPriority w:val="0"/>
    <w:pPr>
      <w:spacing w:line="300" w:lineRule="exact"/>
      <w:contextualSpacing/>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30">
    <w:name w:val="YJ题注"/>
    <w:basedOn w:val="7"/>
    <w:autoRedefine/>
    <w:qFormat/>
    <w:uiPriority w:val="0"/>
    <w:pPr>
      <w:spacing w:line="400" w:lineRule="exact"/>
    </w:pPr>
    <w:rPr>
      <w:szCs w:val="24"/>
    </w:rPr>
  </w:style>
  <w:style w:type="paragraph" w:customStyle="1" w:styleId="31">
    <w:name w:val="表字-书"/>
    <w:basedOn w:val="1"/>
    <w:autoRedefine/>
    <w:qFormat/>
    <w:uiPriority w:val="0"/>
    <w:pPr>
      <w:spacing w:line="300" w:lineRule="exact"/>
      <w:contextualSpacing/>
      <w:jc w:val="center"/>
    </w:pPr>
    <w:rPr>
      <w:rFonts w:ascii="宋体" w:hAnsi="宋体"/>
    </w:rPr>
  </w:style>
  <w:style w:type="character" w:customStyle="1" w:styleId="32">
    <w:name w:val="font11"/>
    <w:basedOn w:val="18"/>
    <w:qFormat/>
    <w:uiPriority w:val="0"/>
    <w:rPr>
      <w:rFonts w:hint="default" w:ascii="Arial" w:hAnsi="Arial" w:cs="Arial"/>
      <w:color w:val="000000"/>
      <w:sz w:val="21"/>
      <w:szCs w:val="21"/>
      <w:u w:val="none"/>
    </w:rPr>
  </w:style>
  <w:style w:type="character" w:customStyle="1" w:styleId="33">
    <w:name w:val="font31"/>
    <w:basedOn w:val="18"/>
    <w:qFormat/>
    <w:uiPriority w:val="0"/>
    <w:rPr>
      <w:rFonts w:hint="default" w:ascii="Times New Roman" w:hAnsi="Times New Roman" w:cs="Times New Roman"/>
      <w:color w:val="000000"/>
      <w:sz w:val="21"/>
      <w:szCs w:val="21"/>
      <w:u w:val="none"/>
    </w:rPr>
  </w:style>
  <w:style w:type="character" w:customStyle="1" w:styleId="34">
    <w:name w:val="font41"/>
    <w:basedOn w:val="18"/>
    <w:qFormat/>
    <w:uiPriority w:val="0"/>
    <w:rPr>
      <w:rFonts w:hint="default" w:ascii="Times New Roman" w:hAnsi="Times New Roman" w:cs="Times New Roman"/>
      <w:color w:val="000000"/>
      <w:sz w:val="20"/>
      <w:szCs w:val="20"/>
      <w:u w:val="none"/>
    </w:rPr>
  </w:style>
  <w:style w:type="character" w:customStyle="1" w:styleId="35">
    <w:name w:val="font61"/>
    <w:basedOn w:val="18"/>
    <w:qFormat/>
    <w:uiPriority w:val="0"/>
    <w:rPr>
      <w:rFonts w:hint="default" w:ascii="Times New Roman" w:hAnsi="Times New Roman" w:cs="Times New Roman"/>
      <w:color w:val="000000"/>
      <w:sz w:val="21"/>
      <w:szCs w:val="21"/>
      <w:u w:val="none"/>
    </w:rPr>
  </w:style>
  <w:style w:type="character" w:customStyle="1" w:styleId="36">
    <w:name w:val="页眉 字符"/>
    <w:basedOn w:val="18"/>
    <w:link w:val="14"/>
    <w:qFormat/>
    <w:uiPriority w:val="0"/>
    <w:rPr>
      <w:rFonts w:ascii="Arial" w:hAnsi="Arial" w:eastAsia="Arial" w:cs="Arial"/>
      <w:snapToGrid w:val="0"/>
      <w:color w:val="000000"/>
      <w:sz w:val="18"/>
      <w:szCs w:val="18"/>
      <w:lang w:eastAsia="en-US"/>
    </w:rPr>
  </w:style>
  <w:style w:type="paragraph" w:customStyle="1" w:styleId="37">
    <w:name w:val="备注"/>
    <w:basedOn w:val="6"/>
    <w:link w:val="38"/>
    <w:qFormat/>
    <w:uiPriority w:val="0"/>
    <w:pPr>
      <w:widowControl w:val="0"/>
      <w:kinsoku/>
      <w:autoSpaceDE/>
      <w:autoSpaceDN/>
      <w:adjustRightInd/>
      <w:spacing w:line="320" w:lineRule="exact"/>
      <w:ind w:firstLine="200"/>
      <w:jc w:val="both"/>
      <w:textAlignment w:val="center"/>
    </w:pPr>
    <w:rPr>
      <w:rFonts w:eastAsia="宋体"/>
      <w:b/>
      <w:snapToGrid/>
      <w:color w:val="auto"/>
      <w:lang w:val="zh-CN" w:eastAsia="zh-CN"/>
    </w:rPr>
  </w:style>
  <w:style w:type="character" w:customStyle="1" w:styleId="38">
    <w:name w:val="备注 字符"/>
    <w:basedOn w:val="18"/>
    <w:link w:val="37"/>
    <w:qFormat/>
    <w:uiPriority w:val="0"/>
    <w:rPr>
      <w:rFonts w:ascii="Arial" w:hAnsi="Arial" w:cs="Arial"/>
      <w:b/>
      <w:sz w:val="21"/>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"/>
    </extobj>
  </extobjs>
</s:customData>
</file>

<file path=customXml/item2.xml><?xml version="1.0" encoding="utf-8"?>
<contractReview xmlns="http://schemas.wps.cn/vas-ai-hub/contract-review">
  <reviewItems>
    <reviewItem>
      <errorID>118d1bfb-8055-4c55-b7d5-044e670991c0</errorID>
      <errorWord>"</errorWord>
      <group>L1_Format</group>
      <groupName>格式问题</groupName>
      <ability>L2_HalfPunc</ability>
      <abilityName>全半角检查</abilityName>
      <candidateList/>
      <explain>文本全半角错误。</explain>
      <paraID>787A0BA0</paraID>
      <start>23</start>
      <end>24</end>
      <status>unmodified</status>
      <modifiedWord/>
      <trackRevisions>false</trackRevisions>
    </reviewItem>
    <reviewItem>
      <errorID>9335218e-ce3f-4d07-80ab-4600032f8d45</errorID>
      <errorWord>"</errorWord>
      <group>L1_Format</group>
      <groupName>格式问题</groupName>
      <ability>L2_HalfPunc</ability>
      <abilityName>全半角检查</abilityName>
      <candidateList/>
      <explain>文本全半角错误。</explain>
      <paraID>7D1D016B</paraID>
      <start>25</start>
      <end>26</end>
      <status>unmodified</status>
      <modifiedWord/>
      <trackRevisions>false</trackRevisions>
    </reviewItem>
    <reviewItem>
      <errorID>3366081d-a95d-458b-a02b-6fd0c590ad5a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C9C60C0</paraID>
      <start>29</start>
      <end>30</end>
      <status>unmodified</status>
      <modifiedWord/>
      <trackRevisions>false</trackRevisions>
    </reviewItem>
    <reviewItem>
      <errorID>d64da1d7-683c-4065-b298-544b7199f041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67C1FA27</paraID>
      <start>36</start>
      <end>37</end>
      <status>unmodified</status>
      <modifiedWord/>
      <trackRevisions>false</trackRevisions>
    </reviewItem>
    <reviewItem>
      <errorID>2a15537f-876b-4d77-819e-ba050700ce5d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38079717</paraID>
      <start>31</start>
      <end>32</end>
      <status>unmodified</status>
      <modifiedWord/>
      <trackRevisions>false</trackRevisions>
    </reviewItem>
    <reviewItem>
      <errorID>eb362fcb-e5af-4ffa-830b-ad8e897c8d74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1CD8196A</paraID>
      <start>34</start>
      <end>35</end>
      <status>unmodified</status>
      <modifiedWord/>
      <trackRevisions>false</trackRevisions>
    </reviewItem>
    <reviewItem>
      <errorID>7f44058b-8f0e-44a5-8c12-ff1559a8dd58</errorID>
      <errorWord>”</errorWord>
      <group>L1_Punc</group>
      <groupName>标点问题</groupName>
      <ability>L2_Punc</ability>
      <abilityName>标点符号检查</abilityName>
      <candidateList/>
      <explain/>
      <paraID> 5274187</paraID>
      <start>29</start>
      <end>30</end>
      <status>unmodified</status>
      <modifiedWord/>
      <trackRevisions>false</trackRevisions>
    </reviewItem>
    <reviewItem>
      <errorID>27fd3155-29b7-4e52-b2ac-394dada76711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4E097EC8</paraID>
      <start>32</start>
      <end>33</end>
      <status>unmodified</status>
      <modifiedWord/>
      <trackRevisions>false</trackRevisions>
    </reviewItem>
    <reviewItem>
      <errorID>4f7c379d-af73-4dbb-a2fb-7af6ad92789b</errorID>
      <errorWord>十四五规划</errorWord>
      <group>L1_Political</group>
      <groupName>政治性问题</groupName>
      <ability>L2_Keyword</ability>
      <abilityName>固定表述</abilityName>
      <candidateList>
        <item>‘十四五’规划</item>
      </candidateList>
      <explain>注意检查当前固定表述标点是否使用规范。</explain>
      <paraID>486F1DFA</paraID>
      <start>28</start>
      <end>35</end>
      <status>modified</status>
      <modifiedWord>‘十四五’规划</modifiedWord>
      <trackRevisions>false</trackRevisions>
    </reviewItem>
    <reviewItem>
      <errorID>b1b51343-30f2-46b4-bef6-b7904b1c0a95</errorID>
      <errorWord>(</errorWord>
      <group>L1_Format</group>
      <groupName>格式问题</groupName>
      <ability>L2_HalfPunc</ability>
      <abilityName>全半角检查</abilityName>
      <candidateList>
        <item>（</item>
      </candidateList>
      <explain>文本全半角错误。</explain>
      <paraID>3A62DA6C</paraID>
      <start>26</start>
      <end>27</end>
      <status>unmodified</status>
      <modifiedWord/>
      <trackRevisions>false</trackRevisions>
    </reviewItem>
    <reviewItem>
      <errorID>bf3aede1-c717-44a8-81eb-081ae6f5b03d</errorID>
      <errorWord>)</errorWord>
      <group>L1_Format</group>
      <groupName>格式问题</groupName>
      <ability>L2_HalfPunc</ability>
      <abilityName>全半角检查</abilityName>
      <candidateList>
        <item>）</item>
      </candidateList>
      <explain>文本全半角错误。</explain>
      <paraID>3A62DA6C</paraID>
      <start>33</start>
      <end>34</end>
      <status>unmodified</status>
      <modifiedWord/>
      <trackRevisions>false</trackRevisions>
    </reviewItem>
    <reviewItem>
      <errorID>d52701ae-86f0-4a8e-8a1e-58aae9ea224f</errorID>
      <errorWord>(</errorWord>
      <group>L1_Format</group>
      <groupName>格式问题</groupName>
      <ability>L2_HalfPunc</ability>
      <abilityName>全半角检查</abilityName>
      <candidateList>
        <item>（</item>
      </candidateList>
      <explain>文本全半角错误。</explain>
      <paraID>3A62DA6C</paraID>
      <start>55</start>
      <end>56</end>
      <status>unmodified</status>
      <modifiedWord/>
      <trackRevisions>false</trackRevisions>
    </reviewItem>
    <reviewItem>
      <errorID>7253b718-f36a-4799-a05c-c7abef893f24</errorID>
      <errorWord>)</errorWord>
      <group>L1_Format</group>
      <groupName>格式问题</groupName>
      <ability>L2_HalfPunc</ability>
      <abilityName>全半角检查</abilityName>
      <candidateList>
        <item>）</item>
      </candidateList>
      <explain>文本全半角错误。</explain>
      <paraID>3A62DA6C</paraID>
      <start>62</start>
      <end>63</end>
      <status>unmodified</status>
      <modifiedWord/>
      <trackRevisions>false</trackRevisions>
    </reviewItem>
    <reviewItem>
      <errorID>be6808a7-317c-4e98-829c-54fcf25f6dcb</errorID>
      <errorWord>(</errorWord>
      <group>L1_Format</group>
      <groupName>格式问题</groupName>
      <ability>L2_HalfPunc</ability>
      <abilityName>全半角检查</abilityName>
      <candidateList>
        <item>（</item>
      </candidateList>
      <explain>文本全半角错误。</explain>
      <paraID>7D6236B9</paraID>
      <start>46</start>
      <end>47</end>
      <status>unmodified</status>
      <modifiedWord/>
      <trackRevisions>false</trackRevisions>
    </reviewItem>
    <reviewItem>
      <errorID>2884bf98-2dda-4d12-89b5-25c56abafcb2</errorID>
      <errorWord>)</errorWord>
      <group>L1_Format</group>
      <groupName>格式问题</groupName>
      <ability>L2_HalfPunc</ability>
      <abilityName>全半角检查</abilityName>
      <candidateList>
        <item>）</item>
      </candidateList>
      <explain>文本全半角错误。</explain>
      <paraID>7D6236B9</paraID>
      <start>53</start>
      <end>54</end>
      <status>unmodified</status>
      <modifiedWord/>
      <trackRevisions>false</trackRevisions>
    </reviewItem>
    <reviewItem>
      <errorID>96310394-4346-4cac-bb51-9ecf3e3f07c2</errorID>
      <errorWord>区</errorWord>
      <group>L1_Word</group>
      <groupName>字词问题</groupName>
      <ability>L2_Typo</ability>
      <abilityName>字词错误</abilityName>
      <candidateList>
        <item>区规</item>
      </candidateList>
      <explain/>
      <paraID>2C95B425</paraID>
      <start>49</start>
      <end>50</end>
      <status>unmodified</status>
      <modifiedWord/>
      <trackRevisions>false</trackRevisions>
    </reviewItem>
    <reviewItem>
      <errorID>b7b2fabe-8f19-4962-9ffc-7ce85c3c506c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62CB56E</paraID>
      <start>31</start>
      <end>32</end>
      <status>unmodified</status>
      <modifiedWord/>
      <trackRevisions>false</trackRevisions>
    </reviewItem>
    <reviewItem>
      <errorID>1d66978d-78c8-4804-8ea1-b285cc1d6440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670C7BBF</paraID>
      <start>66</start>
      <end>67</end>
      <status>unmodified</status>
      <modifiedWord/>
      <trackRevisions>false</trackRevisions>
    </reviewItem>
    <reviewItem>
      <errorID>f9fbee0f-740b-4696-a74c-2c21b23d0260</errorID>
      <errorWord>(</errorWord>
      <group>L1_Format</group>
      <groupName>格式问题</groupName>
      <ability>L2_HalfPunc</ability>
      <abilityName>全半角检查</abilityName>
      <candidateList>
        <item>（</item>
      </candidateList>
      <explain>文本全半角错误。</explain>
      <paraID>2EE7268B</paraID>
      <start>21</start>
      <end>22</end>
      <status>unmodified</status>
      <modifiedWord/>
      <trackRevisions>false</trackRevisions>
    </reviewItem>
    <reviewItem>
      <errorID>f224de0a-2ff1-4a7e-96d5-645f7a07dd92</errorID>
      <errorWord>)</errorWord>
      <group>L1_Format</group>
      <groupName>格式问题</groupName>
      <ability>L2_HalfPunc</ability>
      <abilityName>全半角检查</abilityName>
      <candidateList>
        <item>）</item>
      </candidateList>
      <explain>文本全半角错误。</explain>
      <paraID>2EE7268B</paraID>
      <start>23</start>
      <end>24</end>
      <status>unmodified</status>
      <modifiedWord/>
      <trackRevisions>false</trackRevisions>
    </reviewItem>
    <reviewItem>
      <errorID>81e6cf46-0531-4811-a9c3-df269c4f4447</errorID>
      <errorWord>(</errorWord>
      <group>L1_Format</group>
      <groupName>格式问题</groupName>
      <ability>L2_HalfPunc</ability>
      <abilityName>全半角检查</abilityName>
      <candidateList>
        <item>（</item>
      </candidateList>
      <explain>文本全半角错误。</explain>
      <paraID>53CCE0E7</paraID>
      <start>238</start>
      <end>239</end>
      <status>unmodified</status>
      <modifiedWord/>
      <trackRevisions>false</trackRevisions>
    </reviewItem>
    <reviewItem>
      <errorID>58934c7a-c1bf-4b37-9b98-64287a93f536</errorID>
      <errorWord>)</errorWord>
      <group>L1_Format</group>
      <groupName>格式问题</groupName>
      <ability>L2_HalfPunc</ability>
      <abilityName>全半角检查</abilityName>
      <candidateList>
        <item>）</item>
      </candidateList>
      <explain>文本全半角错误。</explain>
      <paraID>53CCE0E7</paraID>
      <start>240</start>
      <end>241</end>
      <status>unmodified</status>
      <modifiedWord/>
      <trackRevisions>false</trackRevisions>
    </reviewItem>
    <reviewItem>
      <errorID>dc46e215-f570-45db-a6c3-ea8edc7892ba</errorID>
      <errorWord>生态红线保护区</errorWord>
      <group>L1_Political</group>
      <groupName>政治性问题</groupName>
      <ability>L2_Keyword</ability>
      <abilityName>固定表述</abilityName>
      <candidateList>
        <item>生态功能保护区</item>
      </candidateList>
      <explain>词汇“生态功能保护区”在特定场景下为固定表述形式，请确认此处的“生态红线保护区”是否存在不当。</explain>
      <paraID>24C2E15D</paraID>
      <start>132</start>
      <end>139</end>
      <status>unmodified</status>
      <modifiedWord/>
      <trackRevisions>false</trackRevisions>
    </reviewItem>
    <reviewItem>
      <errorID>a6f928d0-a06f-46a8-8d49-71fbc0ea6480</errorID>
      <errorWord>(</errorWord>
      <group>L1_Format</group>
      <groupName>格式问题</groupName>
      <ability>L2_HalfPunc</ability>
      <abilityName>全半角检查</abilityName>
      <candidateList>
        <item>（</item>
      </candidateList>
      <explain>文本全半角错误。</explain>
      <paraID>2CEEF232</paraID>
      <start>189</start>
      <end>190</end>
      <status>unmodified</status>
      <modifiedWord/>
      <trackRevisions>false</trackRevisions>
    </reviewItem>
    <reviewItem>
      <errorID>92523339-e97b-4d07-bc48-58136260da24</errorID>
      <errorWord>)</errorWord>
      <group>L1_Format</group>
      <groupName>格式问题</groupName>
      <ability>L2_HalfPunc</ability>
      <abilityName>全半角检查</abilityName>
      <candidateList>
        <item>）</item>
      </candidateList>
      <explain>文本全半角错误。</explain>
      <paraID>2CEEF232</paraID>
      <start>239</start>
      <end>240</end>
      <status>unmodified</status>
      <modifiedWord/>
      <trackRevisions>false</trackRevisions>
    </reviewItem>
    <reviewItem>
      <errorID>ec457ffb-2966-4d84-9bc4-273864e4c481</errorID>
      <errorWord>建设单位建设单位</errorWord>
      <group>L1_Word</group>
      <groupName>字词问题</groupName>
      <ability>L2_Typo</ability>
      <abilityName>字词错误</abilityName>
      <candidateList>
        <item>建设单位</item>
      </candidateList>
      <explain/>
      <paraID>61275435</paraID>
      <start>0</start>
      <end>4</end>
      <status>modified</status>
      <modifiedWord>建设单位</modifiedWord>
      <trackRevisions>false</trackRevisions>
    </reviewItem>
    <reviewItem>
      <errorID>d592932c-7752-4439-8f65-6b974592489d</errorID>
      <errorWord>设施的</errorWord>
      <group>L1_Word</group>
      <groupName>字词问题</groupName>
      <ability>L2_Typo</ability>
      <abilityName>字词错误</abilityName>
      <candidateList>
        <item>设施</item>
      </candidateList>
      <explain/>
      <paraID>4E51EC65</paraID>
      <start>6</start>
      <end>9</end>
      <status>unmodified</status>
      <modifiedWord/>
      <trackRevisions>false</trackRevisions>
    </reviewItem>
    <reviewItem>
      <errorID>2031244f-4295-446c-a24b-49eaba94c4c0</errorID>
      <errorWord>到</errorWord>
      <group>L1_Word</group>
      <groupName>字词问题</groupName>
      <ability>L2_Typo</ability>
      <abilityName>字词错误</abilityName>
      <candidateList>
        <item>至</item>
      </candidateList>
      <explain>存在字形相近字词的误用。</explain>
      <paraID>6DD3F5E1</paraID>
      <start>11</start>
      <end>12</end>
      <status>unmodified</status>
      <modifiedWord/>
      <trackRevisions>false</trackRevisions>
    </reviewItem>
    <reviewItem>
      <errorID>9ff7c3a8-4d7f-4c68-9f99-63f582f083b8</errorID>
      <errorWord>期</errorWord>
      <group>L1_Word</group>
      <groupName>字词问题</groupName>
      <ability>L2_Typo</ability>
      <abilityName>字词错误</abilityName>
      <candidateList>
        <item>期间</item>
      </candidateList>
      <explain>〈名〉某个时期里面：农忙～｜春节～｜抗战～。</explain>
      <paraID>2847458B</paraID>
      <start>2</start>
      <end>3</end>
      <status>unmodified</status>
      <modifiedWord/>
      <trackRevisions>false</trackRevisions>
    </reviewItem>
    <reviewItem>
      <errorID>c1f9d5c4-fb38-441c-aedd-6fc9119fcaee</errorID>
      <errorWord>低</errorWord>
      <group>L1_Word</group>
      <groupName>字词问题</groupName>
      <ability>L2_Typo</ability>
      <abilityName>字词错误</abilityName>
      <candidateList>
        <item>低于</item>
      </candidateList>
      <explain/>
      <paraID> 97F4990</paraID>
      <start>42</start>
      <end>43</end>
      <status>unmodified</status>
      <modifiedWord/>
      <trackRevisions>false</trackRevisions>
    </reviewItem>
    <reviewItem>
      <errorID>d29696b8-f325-48e1-9141-f661a1c48d1c</errorID>
      <errorWord>木垒县</errorWord>
      <group>L1_Knowledge</group>
      <groupName>知识性问题</groupName>
      <ability>L2_Location</ability>
      <abilityName>地名检查</abilityName>
      <candidateList>
        <item>木垒哈萨克自治县</item>
      </candidateList>
      <explain>自治区州县缩写不规范。《地名管理条例》第十八条规定，标识牌、公共平台发布的信息、各类公文证件、学习类公开出版物、地图、法律法规规定等场景范围内必须使用标准地名。</explain>
      <paraID>259EA483</paraID>
      <start>14</start>
      <end>17</end>
      <status>unmodified</status>
      <modifiedWord/>
      <trackRevisions>false</trackRevisions>
    </reviewItem>
    <reviewItem>
      <errorID>9e37c638-9661-44da-982b-f8ffd744b09d</errorID>
      <errorWord>(</errorWord>
      <group>L1_Format</group>
      <groupName>格式问题</groupName>
      <ability>L2_HalfPunc</ability>
      <abilityName>全半角检查</abilityName>
      <candidateList>
        <item>（</item>
      </candidateList>
      <explain>文本全半角错误。</explain>
      <paraID>502075D5</paraID>
      <start>29</start>
      <end>30</end>
      <status>unmodified</status>
      <modifiedWord/>
      <trackRevisions>false</trackRevisions>
    </reviewItem>
    <reviewItem>
      <errorID>edc8769e-ec5f-4907-8b91-581239aadf3c</errorID>
      <errorWord>)</errorWord>
      <group>L1_Format</group>
      <groupName>格式问题</groupName>
      <ability>L2_HalfPunc</ability>
      <abilityName>全半角检查</abilityName>
      <candidateList>
        <item>）</item>
      </candidateList>
      <explain>文本全半角错误。</explain>
      <paraID>502075D5</paraID>
      <start>31</start>
      <end>32</end>
      <status>unmodified</status>
      <modifiedWord/>
      <trackRevisions>false</trackRevisions>
    </reviewItem>
    <reviewItem>
      <errorID>bfdfc668-37cc-4890-b444-f97f04dc4306</errorID>
      <errorWord>到</errorWord>
      <group>L1_Word</group>
      <groupName>字词问题</groupName>
      <ability>L2_Typo</ability>
      <abilityName>字词错误</abilityName>
      <candidateList>
        <item>至</item>
      </candidateList>
      <explain>存在字形相近字词的误用。</explain>
      <paraID>3E7D5CB9</paraID>
      <start>29</start>
      <end>30</end>
      <status>unmodified</status>
      <modifiedWord/>
      <trackRevisions>false</trackRevisions>
    </reviewItem>
    <reviewItem>
      <errorID>7ad72739-30eb-4810-b239-3bc2324f6ce7</errorID>
      <errorWord>）</errorWord>
      <group>L1_Word</group>
      <groupName>字词问题</groupName>
      <ability>L2_Typo</ability>
      <abilityName>字词错误</abilityName>
      <candidateList>
        <item>）和</item>
      </candidateList>
      <explain/>
      <paraID>7A5DBA72</paraID>
      <start>106</start>
      <end>107</end>
      <status>unmodified</status>
      <modifiedWord/>
      <trackRevisions>false</trackRevisions>
    </reviewItem>
    <reviewItem>
      <errorID>0ad3fcc3-1ddf-4554-8bb1-497645013199</errorID>
      <errorWord>,</errorWord>
      <group>L1_Format</group>
      <groupName>格式问题</groupName>
      <ability>L2_HalfPunc</ability>
      <abilityName>全半角检查</abilityName>
      <candidateList>
        <item>，</item>
      </candidateList>
      <explain>文本全半角错误。</explain>
      <paraID> 4367E58</paraID>
      <start>110</start>
      <end>111</end>
      <status>unmodified</status>
      <modifiedWord/>
      <trackRevisions>false</trackRevisions>
    </reviewItem>
    <reviewItem>
      <errorID>bfad6b33-c80a-4404-a873-935af2cc04ad</errorID>
      <errorWord>)</errorWord>
      <group>L1_Format</group>
      <groupName>格式问题</groupName>
      <ability>L2_HalfPunc</ability>
      <abilityName>全半角检查</abilityName>
      <candidateList>
        <item>）</item>
      </candidateList>
      <explain>文本全半角错误。</explain>
      <paraID>5892FA3D</paraID>
      <start>33</start>
      <end>34</end>
      <status>unmodified</status>
      <modifiedWord/>
      <trackRevisions>false</trackRevisions>
    </reviewItem>
    <reviewItem>
      <errorID>af9281cf-2901-45d5-887a-7d1f3dbac5a4</errorID>
      <errorWord>密集性</errorWord>
      <group>L1_Word</group>
      <groupName>字词问题</groupName>
      <ability>L2_Typo</ability>
      <abilityName>字词错误</abilityName>
      <candidateList>
        <item>密集型</item>
      </candidateList>
      <explain/>
      <paraID>4AA7D6CF</paraID>
      <start>57</start>
      <end>60</end>
      <status>modified</status>
      <modifiedWord>密集型</modifiedWord>
      <trackRevisions>false</trackRevisions>
    </reviewItem>
    <reviewItem>
      <errorID>7cc88c8c-bb51-430d-b44d-1584bc996a10</errorID>
      <errorWord>[2024]58号</errorWord>
      <group>L1_Knowledge</group>
      <groupName>知识性问题</groupName>
      <ability>L2_Knowledge</ability>
      <abilityName>其他知识</abilityName>
      <candidateList>
        <item>〔2024〕58号</item>
      </candidateList>
      <explain>发文字号格式错误。</explain>
      <paraID>23E89BB1</paraID>
      <start>38</start>
      <end>47</end>
      <status>modified</status>
      <modifiedWord>〔2024〕58号</modifiedWord>
      <trackRevisions>false</trackRevisions>
    </reviewItem>
    <reviewItem>
      <errorID>e3960bec-1526-489f-ab30-44695e47f04b</errorID>
      <errorWord>[2024]58号</errorWord>
      <group>L1_Knowledge</group>
      <groupName>知识性问题</groupName>
      <ability>L2_Knowledge</ability>
      <abilityName>其他知识</abilityName>
      <candidateList>
        <item>〔2024〕58号</item>
      </candidateList>
      <explain>发文字号格式错误。</explain>
      <paraID>2DA99CA2</paraID>
      <start>37</start>
      <end>46</end>
      <status>modified</status>
      <modifiedWord>〔2024〕58号</modifiedWord>
      <trackRevisions>false</trackRevisions>
    </reviewItem>
    <reviewItem>
      <errorID>70a9b1c9-441f-40e2-8f2e-f6477caafa2c</errorID>
      <errorWord>、就</errorWord>
      <group>L1_Punc</group>
      <groupName>标点问题</groupName>
      <ability>L2_Punc</ability>
      <abilityName>标点符号检查</abilityName>
      <candidateList>
        <item>，就</item>
      </candidateList>
      <explain>连接词前后不宜使用顿号，建议使用逗号。</explain>
      <paraID>5E97E4F3</paraID>
      <start>52</start>
      <end>54</end>
      <status>unmodified</status>
      <modifiedWord/>
      <trackRevisions>false</trackRevisions>
    </reviewItem>
    <reviewItem>
      <errorID>9d76a8b3-7b14-45b4-8acf-d08df22641c7</errorID>
      <errorWord>钻试</errorWord>
      <group>L1_Word</group>
      <groupName>字词问题</groupName>
      <ability>L2_Typo</ability>
      <abilityName>字词错误</abilityName>
      <candidateList>
        <item>钻井</item>
      </candidateList>
      <explain/>
      <paraID>120B2B5F</paraID>
      <start>14</start>
      <end>16</end>
      <status>unmodified</status>
      <modifiedWord/>
      <trackRevisions>false</trackRevisions>
    </reviewItem>
    <reviewItem>
      <errorID>862f42ee-1708-4aed-8f3e-5b26d662ae5d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58448908</paraID>
      <start>148</start>
      <end>149</end>
      <status>unmodified</status>
      <modifiedWord/>
      <trackRevisions>false</trackRevisions>
    </reviewItem>
    <reviewItem>
      <errorID>75fafa9c-b77f-41b6-81d1-2e6f3b8c597e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702DDA1E</paraID>
      <start>53</start>
      <end>54</end>
      <status>unmodified</status>
      <modifiedWord/>
      <trackRevisions>false</trackRevisions>
    </reviewItem>
    <reviewItem>
      <errorID>14e601cf-18f3-4b4a-aa0b-b6368fe90c9a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42231B8</paraID>
      <start>57</start>
      <end>58</end>
      <status>unmodified</status>
      <modifiedWord/>
      <trackRevisions>false</trackRevisions>
    </reviewItem>
    <reviewItem>
      <errorID>5ee6df87-da37-4182-9e2c-84e261f5b014</errorID>
      <errorWord>到</errorWord>
      <group>L1_Word</group>
      <groupName>字词问题</groupName>
      <ability>L2_Typo</ability>
      <abilityName>字词错误</abilityName>
      <candidateList>
        <item>至</item>
      </candidateList>
      <explain>存在字形相近字词的误用。</explain>
      <paraID>29D4E6EF</paraID>
      <start>19</start>
      <end>20</end>
      <status>unmodified</status>
      <modifiedWord/>
      <trackRevisions>false</trackRevisions>
    </reviewItem>
    <reviewItem>
      <errorID>49959d29-db50-4dc4-aee7-f4aafd9eb09f</errorID>
      <errorWord>井别</errorWord>
      <group>L1_Word</group>
      <groupName>字词问题</groupName>
      <ability>L2_Typo</ability>
      <abilityName>字词错误</abilityName>
      <candidateList>
        <item>特别</item>
      </candidateList>
      <explain>❶〈形〉与众不同；不普通：～的式样｜他的脾气很～。❷〈副〉格外：火车跑得～快｜这个节目～吸引观众。❸〈副〉特地：散会的时候，厂长～把他留下来研究技术上的问题。❹〈副〉尤其：他喜欢郊游，～是骑自行车郊游。</explain>
      <paraID>33CF3CFC</paraID>
      <start>0</start>
      <end>2</end>
      <status>unmodified</status>
      <modifiedWord/>
      <trackRevisions>false</trackRevisions>
    </reviewItem>
    <reviewItem>
      <errorID>fe11b896-9c78-41dd-b891-0e69897acf86</errorID>
      <errorWord>型</errorWord>
      <group>L1_Word</group>
      <groupName>字词问题</groupName>
      <ability>L2_Typo</ability>
      <abilityName>字词错误</abilityName>
      <candidateList>
        <item>形</item>
      </candidateList>
      <explain>存在发音相同字词的误用。</explain>
      <paraID>30635202</paraID>
      <start>1</start>
      <end>2</end>
      <status>unmodified</status>
      <modifiedWord/>
      <trackRevisions>false</trackRevisions>
    </reviewItem>
    <reviewItem>
      <errorID>6cf07e94-3e71-43aa-bf10-a5ac75d9c287</errorID>
      <errorWord>井深结构</errorWord>
      <group>L1_Knowledge</group>
      <groupName>知识性问题</groupName>
      <ability>L2_Term</ability>
      <abilityName>专业术语</abilityName>
      <candidateList>
        <item>井身结构</item>
      </candidateList>
      <explain/>
      <paraID>6D4DF4FC</paraID>
      <start>0</start>
      <end>4</end>
      <status>unmodified</status>
      <modifiedWord/>
      <trackRevisions>false</trackRevisions>
    </reviewItem>
    <reviewItem>
      <errorID>ea356f48-2b25-4265-8ed8-1d9daf671e86</errorID>
      <errorWord>(</errorWord>
      <group>L1_Format</group>
      <groupName>格式问题</groupName>
      <ability>L2_HalfPunc</ability>
      <abilityName>全半角检查</abilityName>
      <candidateList>
        <item>（</item>
      </candidateList>
      <explain>文本全半角错误。</explain>
      <paraID>7882829F</paraID>
      <start>4</start>
      <end>5</end>
      <status>unmodified</status>
      <modifiedWord/>
      <trackRevisions>false</trackRevisions>
    </reviewItem>
    <reviewItem>
      <errorID>83bbab14-e5fe-48c2-af07-cecf1a0e64fa</errorID>
      <errorWord>)</errorWord>
      <group>L1_Format</group>
      <groupName>格式问题</groupName>
      <ability>L2_HalfPunc</ability>
      <abilityName>全半角检查</abilityName>
      <candidateList>
        <item>）</item>
      </candidateList>
      <explain>文本全半角错误。</explain>
      <paraID>7882829F</paraID>
      <start>7</start>
      <end>8</end>
      <status>unmodified</status>
      <modifiedWord/>
      <trackRevisions>false</trackRevisions>
    </reviewItem>
    <reviewItem>
      <errorID>4f3c9d45-f843-4c01-98d2-c256e6c50679</errorID>
      <errorWord>见</errorWord>
      <group>L1_Word</group>
      <groupName>字词问题</groupName>
      <ability>L2_Typo</ability>
      <abilityName>字词错误</abilityName>
      <candidateList>
        <item>见下</item>
      </candidateList>
      <explain/>
      <paraID>2791C3C5</paraID>
      <start>45</start>
      <end>46</end>
      <status>unmodified</status>
      <modifiedWord/>
      <trackRevisions>false</trackRevisions>
    </reviewItem>
    <reviewItem>
      <errorID>1202db7e-a1fa-43d0-a7f9-9511520a8a04</errorID>
      <errorWord>试油工程</errorWord>
      <group>L1_Knowledge</group>
      <groupName>知识性问题</groupName>
      <ability>L2_Term</ability>
      <abilityName>专业术语</abilityName>
      <candidateList>
        <item>采油工程</item>
      </candidateList>
      <explain/>
      <paraID>5049958F</paraID>
      <start>7</start>
      <end>11</end>
      <status>unmodified</status>
      <modifiedWord/>
      <trackRevisions>false</trackRevisions>
    </reviewItem>
    <reviewItem>
      <errorID>5b5b440e-fefa-4352-ae6f-0a0424aefb33</errorID>
      <errorWord>（</errorWord>
      <group>L1_Format</group>
      <groupName>格式问题</groupName>
      <ability>L2_HalfPunc</ability>
      <abilityName>全半角检查</abilityName>
      <candidateList>
        <item>(</item>
      </candidateList>
      <explain>文本全半角错误。</explain>
      <paraID>68F668D4</paraID>
      <start>0</start>
      <end>1</end>
      <status>unmodified</status>
      <modifiedWord/>
      <trackRevisions>false</trackRevisions>
    </reviewItem>
    <reviewItem>
      <errorID>5df6417f-fa77-4e4c-87ec-2790cf94693b</errorID>
      <errorWord>）</errorWord>
      <group>L1_Format</group>
      <groupName>格式问题</groupName>
      <ability>L2_HalfPunc</ability>
      <abilityName>全半角检查</abilityName>
      <candidateList>
        <item>)</item>
      </candidateList>
      <explain>文本全半角错误。</explain>
      <paraID>68F668D4</paraID>
      <start>2</start>
      <end>3</end>
      <status>unmodified</status>
      <modifiedWord/>
      <trackRevisions>false</trackRevisions>
    </reviewItem>
    <reviewItem>
      <errorID>d1e25a9c-bd84-41d3-9676-e914e2ecca23</errorID>
      <errorWord>:</errorWord>
      <group>L1_Format</group>
      <groupName>格式问题</groupName>
      <ability>L2_HalfPunc</ability>
      <abilityName>全半角检查</abilityName>
      <candidateList>
        <item>：</item>
      </candidateList>
      <explain>文本全半角错误。</explain>
      <paraID>4053F7B9</paraID>
      <start>5</start>
      <end>6</end>
      <status>unmodified</status>
      <modifiedWord/>
      <trackRevisions>false</trackRevisions>
    </reviewItem>
    <reviewItem>
      <errorID>776738f1-4668-425f-ae8d-a3905d2a5c5f</errorID>
      <errorWord>(</errorWord>
      <group>L1_Format</group>
      <groupName>格式问题</groupName>
      <ability>L2_HalfPunc</ability>
      <abilityName>全半角检查</abilityName>
      <candidateList>
        <item>（</item>
      </candidateList>
      <explain>文本全半角错误。</explain>
      <paraID>4053F7B9</paraID>
      <start>17</start>
      <end>18</end>
      <status>unmodified</status>
      <modifiedWord/>
      <trackRevisions>false</trackRevisions>
    </reviewItem>
    <reviewItem>
      <errorID>2fcab866-71b0-4e15-afc2-2aedff05d261</errorID>
      <errorWord>)</errorWord>
      <group>L1_Format</group>
      <groupName>格式问题</groupName>
      <ability>L2_HalfPunc</ability>
      <abilityName>全半角检查</abilityName>
      <candidateList>
        <item>）</item>
      </candidateList>
      <explain>文本全半角错误。</explain>
      <paraID>4053F7B9</paraID>
      <start>23</start>
      <end>24</end>
      <status>unmodified</status>
      <modifiedWord/>
      <trackRevisions>false</trackRevisions>
    </reviewItem>
    <reviewItem>
      <errorID>d3888923-d5b4-42fe-b560-9e5a1df00b9b</errorID>
      <errorWord>(</errorWord>
      <group>L1_Format</group>
      <groupName>格式问题</groupName>
      <ability>L2_HalfPunc</ability>
      <abilityName>全半角检查</abilityName>
      <candidateList>
        <item>（</item>
      </candidateList>
      <explain>文本全半角错误。</explain>
      <paraID>39872EEF</paraID>
      <start>4</start>
      <end>5</end>
      <status>unmodified</status>
      <modifiedWord/>
      <trackRevisions>false</trackRevisions>
    </reviewItem>
    <reviewItem>
      <errorID>928da406-1a41-4188-ae1a-912c81e0d422</errorID>
      <errorWord>)</errorWord>
      <group>L1_Format</group>
      <groupName>格式问题</groupName>
      <ability>L2_HalfPunc</ability>
      <abilityName>全半角检查</abilityName>
      <candidateList>
        <item>）</item>
      </candidateList>
      <explain>文本全半角错误。</explain>
      <paraID>39872EEF</paraID>
      <start>7</start>
      <end>8</end>
      <status>unmodified</status>
      <modifiedWord/>
      <trackRevisions>false</trackRevisions>
    </reviewItem>
    <reviewItem>
      <errorID>4edf6934-7388-48bf-a3e1-6d6c2c76f667</errorID>
      <errorWord>粘度</errorWord>
      <group>L1_Word</group>
      <groupName>字词问题</groupName>
      <ability>L2_Alias</ability>
      <abilityName>也作/曾用词</abilityName>
      <candidateList>
        <item>黏度</item>
      </candidateList>
      <explain>词汇[粘度]为不规范表述或旧称，其规范书面表述为[黏度]。</explain>
      <paraID>189E5194</paraID>
      <start>2</start>
      <end>4</end>
      <status>unmodified</status>
      <modifiedWord/>
      <trackRevisions>false</trackRevisions>
    </reviewItem>
    <reviewItem>
      <errorID>92a81aed-5efb-42e3-9cec-516bad74fd51</errorID>
      <errorWord>水</errorWord>
      <group>L1_Word</group>
      <groupName>字词问题</groupName>
      <ability>L2_Typo</ability>
      <abilityName>字词错误</abilityName>
      <candidateList>
        <item>水平</item>
      </candidateList>
      <explain>❶〈形〉属性词。跟水平面平行的：～方向。❷〈名〉在生产、生活、政治、思想、文化、艺术、技术、业务等方面所达到的高度：提高思想～和业务～。</explain>
      <paraID>4C890A1A</paraID>
      <start>2</start>
      <end>3</end>
      <status>unmodified</status>
      <modifiedWord/>
      <trackRevisions>false</trackRevisions>
    </reviewItem>
    <reviewItem>
      <errorID>e5b9b832-0dd2-4c2e-88ea-db6876856511</errorID>
      <errorWord>，</errorWord>
      <group>L1_Word</group>
      <groupName>字词问题</groupName>
      <ability>L2_Typo</ability>
      <abilityName>字词错误</abilityName>
      <candidateList>
        <item>，需</item>
      </candidateList>
      <explain/>
      <paraID>656D48E2</paraID>
      <start>20</start>
      <end>21</end>
      <status>unmodified</status>
      <modifiedWord/>
      <trackRevisions>false</trackRevisions>
    </reviewItem>
    <reviewItem>
      <errorID>903432c0-e2c5-476e-98e2-3a7dace681a6</errorID>
      <errorWord>"</errorWord>
      <group>L1_Format</group>
      <groupName>格式问题</groupName>
      <ability>L2_HalfPunc</ability>
      <abilityName>全半角检查</abilityName>
      <candidateList/>
      <explain>文本全半角错误。</explain>
      <paraID>46C64912</paraID>
      <start>174</start>
      <end>175</end>
      <status>unmodified</status>
      <modifiedWord/>
      <trackRevisions>false</trackRevisions>
    </reviewItem>
    <reviewItem>
      <errorID>880e4b00-0d35-4739-9ab2-049fe6476b80</errorID>
      <errorWord>"</errorWord>
      <group>L1_Format</group>
      <groupName>格式问题</groupName>
      <ability>L2_HalfPunc</ability>
      <abilityName>全半角检查</abilityName>
      <candidateList>
        <item>”</item>
      </candidateList>
      <explain>文本全半角错误。</explain>
      <paraID>46C64912</paraID>
      <start>189</start>
      <end>190</end>
      <status>unmodified</status>
      <modifiedWord/>
      <trackRevisions>false</trackRevisions>
    </reviewItem>
    <reviewItem>
      <errorID>7224ac04-455a-4ce6-803c-62bdee5f01a5</errorID>
      <errorWord>（</errorWord>
      <group>L1_Format</group>
      <groupName>格式问题</groupName>
      <ability>L2_HalfPunc</ability>
      <abilityName>全半角检查</abilityName>
      <candidateList>
        <item>(</item>
      </candidateList>
      <explain>文本全半角错误。</explain>
      <paraID>582213A7</paraID>
      <start>0</start>
      <end>1</end>
      <status>unmodified</status>
      <modifiedWord/>
      <trackRevisions>false</trackRevisions>
    </reviewItem>
    <reviewItem>
      <errorID>27ec2389-eaf2-4d19-9fa6-b48fedcccd14</errorID>
      <errorWord>）</errorWord>
      <group>L1_Format</group>
      <groupName>格式问题</groupName>
      <ability>L2_HalfPunc</ability>
      <abilityName>全半角检查</abilityName>
      <candidateList>
        <item>)</item>
      </candidateList>
      <explain>文本全半角错误。</explain>
      <paraID>582213A7</paraID>
      <start>3</start>
      <end>4</end>
      <status>unmodified</status>
      <modifiedWord/>
      <trackRevisions>false</trackRevisions>
    </reviewItem>
    <reviewItem>
      <errorID>ef3de914-a685-4eb2-9ce9-8edd46341eed</errorID>
      <errorWord>（</errorWord>
      <group>L1_Format</group>
      <groupName>格式问题</groupName>
      <ability>L2_HalfPunc</ability>
      <abilityName>全半角检查</abilityName>
      <candidateList>
        <item>(</item>
      </candidateList>
      <explain>文本全半角错误。</explain>
      <paraID>2012AA95</paraID>
      <start>0</start>
      <end>1</end>
      <status>unmodified</status>
      <modifiedWord/>
      <trackRevisions>false</trackRevisions>
    </reviewItem>
    <reviewItem>
      <errorID>c596f5b3-07cb-4b2a-94e4-ba36d5d5adb9</errorID>
      <errorWord>）</errorWord>
      <group>L1_Format</group>
      <groupName>格式问题</groupName>
      <ability>L2_HalfPunc</ability>
      <abilityName>全半角检查</abilityName>
      <candidateList>
        <item>)</item>
      </candidateList>
      <explain>文本全半角错误。</explain>
      <paraID>2012AA95</paraID>
      <start>3</start>
      <end>4</end>
      <status>unmodified</status>
      <modifiedWord/>
      <trackRevisions>false</trackRevisions>
    </reviewItem>
    <reviewItem>
      <errorID>77b0134c-a182-4a4c-9aed-eb2a9c2a6dd6</errorID>
      <errorWord>环空</errorWord>
      <group>L1_Word</group>
      <groupName>字词问题</groupName>
      <ability>L2_Typo</ability>
      <abilityName>字词错误</abilityName>
      <candidateList>
        <item>环孔</item>
      </candidateList>
      <explain/>
      <paraID> E95C6B3</paraID>
      <start>26</start>
      <end>28</end>
      <status>unmodified</status>
      <modifiedWord/>
      <trackRevisions>false</trackRevisions>
    </reviewItem>
    <reviewItem>
      <errorID>f1306a6b-f681-4442-ba69-2a3d0e7191a2</errorID>
      <errorWord>注入到</errorWord>
      <group>L1_Word</group>
      <groupName>字词问题</groupName>
      <ability>L2_Typo</ability>
      <abilityName>字词错误</abilityName>
      <candidateList>
        <item>注入</item>
      </candidateList>
      <explain/>
      <paraID>22F471F5</paraID>
      <start>85</start>
      <end>88</end>
      <status>unmodified</status>
      <modifiedWord/>
      <trackRevisions>false</trackRevisions>
    </reviewItem>
    <reviewItem>
      <errorID>9b86e744-a033-4574-827b-648d36b3054e</errorID>
      <errorWord>两个</errorWord>
      <group>L1_Word</group>
      <groupName>字词问题</groupName>
      <ability>L2_Typo</ability>
      <abilityName>字词错误</abilityName>
      <candidateList>
        <item>两道</item>
      </candidateList>
      <explain/>
      <paraID>195C939B</paraID>
      <start>11</start>
      <end>13</end>
      <status>unmodified</status>
      <modifiedWord/>
      <trackRevisions>false</trackRevisions>
    </reviewItem>
    <reviewItem>
      <errorID>f1323729-c423-44bb-9815-7d188a99f775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3789753F</paraID>
      <start>141</start>
      <end>142</end>
      <status>unmodified</status>
      <modifiedWord/>
      <trackRevisions>false</trackRevisions>
    </reviewItem>
    <reviewItem>
      <errorID>3ace1b0c-3cb2-4bfc-9da8-88cbf020faae</errorID>
      <errorWord>木垒县</errorWord>
      <group>L1_Knowledge</group>
      <groupName>知识性问题</groupName>
      <ability>L2_Location</ability>
      <abilityName>地名检查</abilityName>
      <candidateList>
        <item>木垒哈萨克自治县</item>
      </candidateList>
      <explain>自治区州县缩写不规范。《地名管理条例》第十八条规定，标识牌、公共平台发布的信息、各类公文证件、学习类公开出版物、地图、法律法规规定等场景范围内必须使用标准地名。</explain>
      <paraID>7A9819CC</paraID>
      <start>14</start>
      <end>17</end>
      <status>unmodified</status>
      <modifiedWord/>
      <trackRevisions>false</trackRevisions>
    </reviewItem>
    <reviewItem>
      <errorID>18d1deb1-fd6c-49b9-8e21-606ae0ef0fe2</errorID>
      <errorWord>(</errorWord>
      <group>L1_Format</group>
      <groupName>格式问题</groupName>
      <ability>L2_HalfPunc</ability>
      <abilityName>全半角检查</abilityName>
      <candidateList>
        <item>（</item>
      </candidateList>
      <explain>文本全半角错误。</explain>
      <paraID>4FA07960</paraID>
      <start>29</start>
      <end>30</end>
      <status>unmodified</status>
      <modifiedWord/>
      <trackRevisions>false</trackRevisions>
    </reviewItem>
    <reviewItem>
      <errorID>c2b58225-68e3-4a70-88c1-3fb301bdbb0f</errorID>
      <errorWord>)</errorWord>
      <group>L1_Format</group>
      <groupName>格式问题</groupName>
      <ability>L2_HalfPunc</ability>
      <abilityName>全半角检查</abilityName>
      <candidateList>
        <item>）</item>
      </candidateList>
      <explain>文本全半角错误。</explain>
      <paraID>4FA07960</paraID>
      <start>31</start>
      <end>32</end>
      <status>unmodified</status>
      <modifiedWord/>
      <trackRevisions>false</trackRevisions>
    </reviewItem>
    <reviewItem>
      <errorID>06fcd5e6-e4a8-4a89-af90-f756fd8be760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5D793240</paraID>
      <start>78</start>
      <end>79</end>
      <status>unmodified</status>
      <modifiedWord/>
      <trackRevisions>false</trackRevisions>
    </reviewItem>
    <reviewItem>
      <errorID>8a144d56-aca8-4ed4-b8c2-15d1cc2f60dc</errorID>
      <errorWord>(</errorWord>
      <group>L1_Format</group>
      <groupName>格式问题</groupName>
      <ability>L2_HalfPunc</ability>
      <abilityName>全半角检查</abilityName>
      <candidateList>
        <item>（</item>
      </candidateList>
      <explain>文本全半角错误。</explain>
      <paraID>3309459D</paraID>
      <start>4</start>
      <end>5</end>
      <status>unmodified</status>
      <modifiedWord/>
      <trackRevisions>false</trackRevisions>
    </reviewItem>
    <reviewItem>
      <errorID>05c17231-daa5-452f-b5cc-1f94f78949b0</errorID>
      <errorWord>(</errorWord>
      <group>L1_Format</group>
      <groupName>格式问题</groupName>
      <ability>L2_HalfPunc</ability>
      <abilityName>全半角检查</abilityName>
      <candidateList>
        <item>（</item>
      </candidateList>
      <explain>文本全半角错误。</explain>
      <paraID> 5C062D1</paraID>
      <start>3</start>
      <end>4</end>
      <status>unmodified</status>
      <modifiedWord/>
      <trackRevisions>false</trackRevisions>
    </reviewItem>
    <reviewItem>
      <errorID>d8149f4f-c652-4a65-a289-a8add931c05b</errorID>
      <errorWord>-</errorWord>
      <group>L1_Format</group>
      <groupName>格式问题</groupName>
      <ability>L2_HalfPunc</ability>
      <abilityName>全半角检查</abilityName>
      <candidateList>
        <item>－</item>
      </candidateList>
      <explain>文本全半角错误。</explain>
      <paraID>199C0CD7</paraID>
      <start>39</start>
      <end>40</end>
      <status>unmodified</status>
      <modifiedWord/>
      <trackRevisions>false</trackRevisions>
    </reviewItem>
    <reviewItem>
      <errorID>69d1f6d1-19a2-4a8f-a792-950b35ea7db7</errorID>
      <errorWord>(</errorWord>
      <group>L1_Format</group>
      <groupName>格式问题</groupName>
      <ability>L2_HalfPunc</ability>
      <abilityName>全半角检查</abilityName>
      <candidateList>
        <item>（</item>
      </candidateList>
      <explain>文本全半角错误。</explain>
      <paraID>4FC52A59</paraID>
      <start>12</start>
      <end>13</end>
      <status>unmodified</status>
      <modifiedWord/>
      <trackRevisions>false</trackRevisions>
    </reviewItem>
    <reviewItem>
      <errorID>62b73634-4317-4ef5-82a9-55816dc8eda6</errorID>
      <errorWord>)</errorWord>
      <group>L1_Format</group>
      <groupName>格式问题</groupName>
      <ability>L2_HalfPunc</ability>
      <abilityName>全半角检查</abilityName>
      <candidateList>
        <item>）</item>
      </candidateList>
      <explain>文本全半角错误。</explain>
      <paraID>4FC52A59</paraID>
      <start>24</start>
      <end>25</end>
      <status>unmodified</status>
      <modifiedWord/>
      <trackRevisions>false</trackRevisions>
    </reviewItem>
    <reviewItem>
      <errorID>ee00ee2f-38b4-4803-bbf0-bb030c31d086</errorID>
      <errorWord>(</errorWord>
      <group>L1_Format</group>
      <groupName>格式问题</groupName>
      <ability>L2_HalfPunc</ability>
      <abilityName>全半角检查</abilityName>
      <candidateList>
        <item>（</item>
      </candidateList>
      <explain>文本全半角错误。</explain>
      <paraID>40B817F8</paraID>
      <start>9</start>
      <end>10</end>
      <status>unmodified</status>
      <modifiedWord/>
      <trackRevisions>false</trackRevisions>
    </reviewItem>
    <reviewItem>
      <errorID>0df07c01-a726-47a6-ab1f-081d74d0699c</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72C1939B</paraID>
      <start>15</start>
      <end>16</end>
      <status>unmodified</status>
      <modifiedWord/>
      <trackRevisions>false</trackRevisions>
    </reviewItem>
    <reviewItem>
      <errorID>3d311872-29b5-48a4-b571-dfa29447554e</errorID>
      <errorWord>《土壤环境质量建设用地土壤污染风险管控标准》（试行）</errorWord>
      <group>L1_Knowledge</group>
      <groupName>知识性问题</groupName>
      <ability>L2_Knowledge</ability>
      <abilityName>其他知识</abilityName>
      <candidateList>
        <item>《土壤环境质量建设用地土壤污染风险管控标准（试行）》</item>
      </candidateList>
      <explain>疑似政策文件、法律法规名称等书写不规范，请注意检查。</explain>
      <paraID> 748A8DC</paraID>
      <start>16</start>
      <end>42</end>
      <status>unmodified</status>
      <modifiedWord/>
      <trackRevisions>false</trackRevisions>
    </reviewItem>
    <reviewItem>
      <errorID>2fc0ad68-2471-4e3b-8961-bac629b4931e</errorID>
      <errorWord>)</errorWord>
      <group>L1_Format</group>
      <groupName>格式问题</groupName>
      <ability>L2_HalfPunc</ability>
      <abilityName>全半角检查</abilityName>
      <candidateList>
        <item>）</item>
      </candidateList>
      <explain>文本全半角错误。</explain>
      <paraID> 748A8DC</paraID>
      <start>107</start>
      <end>108</end>
      <status>unmodified</status>
      <modifiedWord/>
      <trackRevisions>false</trackRevisions>
    </reviewItem>
    <reviewItem>
      <errorID>06bf0935-d234-4268-827b-cf686c77fbfd</errorID>
      <errorWord>：</errorWord>
      <group>L1_Format</group>
      <groupName>格式问题</groupName>
      <ability>L2_HalfPunc</ability>
      <abilityName>全半角检查</abilityName>
      <candidateList>
        <item>:</item>
      </candidateList>
      <explain>文本全半角错误。</explain>
      <paraID>650F1B0C</paraID>
      <start>33</start>
      <end>34</end>
      <status>unmodified</status>
      <modifiedWord/>
      <trackRevisions>false</trackRevisions>
    </reviewItem>
    <reviewItem>
      <errorID>a1fa902f-f9cd-47d4-af2b-935d80c6e0b2</errorID>
      <errorWord>：</errorWord>
      <group>L1_Format</group>
      <groupName>格式问题</groupName>
      <ability>L2_HalfPunc</ability>
      <abilityName>全半角检查</abilityName>
      <candidateList>
        <item>:</item>
      </candidateList>
      <explain>文本全半角错误。</explain>
      <paraID>650F1B0C</paraID>
      <start>45</start>
      <end>46</end>
      <status>unmodified</status>
      <modifiedWord/>
      <trackRevisions>false</trackRevisions>
    </reviewItem>
    <reviewItem>
      <errorID>4ba1b0ea-4b2d-4974-ac3f-c13be390f8f1</errorID>
      <errorWord>：</errorWord>
      <group>L1_Format</group>
      <groupName>格式问题</groupName>
      <ability>L2_HalfPunc</ability>
      <abilityName>全半角检查</abilityName>
      <candidateList>
        <item>:</item>
      </candidateList>
      <explain>文本全半角错误。</explain>
      <paraID>650F1B0C</paraID>
      <start>58</start>
      <end>59</end>
      <status>unmodified</status>
      <modifiedWord/>
      <trackRevisions>false</trackRevisions>
    </reviewItem>
    <reviewItem>
      <errorID>1838de3e-c7cd-4d90-ac47-1fb9083bdf70</errorID>
      <errorWord>：</errorWord>
      <group>L1_Format</group>
      <groupName>格式问题</groupName>
      <ability>L2_HalfPunc</ability>
      <abilityName>全半角检查</abilityName>
      <candidateList>
        <item>:</item>
      </candidateList>
      <explain>文本全半角错误。</explain>
      <paraID>650F1B0C</paraID>
      <start>72</start>
      <end>73</end>
      <status>unmodified</status>
      <modifiedWord/>
      <trackRevisions>false</trackRevisions>
    </reviewItem>
    <reviewItem>
      <errorID>7cd34b0b-f817-481e-8e6c-a43285e17ca0</errorID>
      <errorWord>(</errorWord>
      <group>L1_Format</group>
      <groupName>格式问题</groupName>
      <ability>L2_HalfPunc</ability>
      <abilityName>全半角检查</abilityName>
      <candidateList>
        <item>（</item>
      </candidateList>
      <explain>文本全半角错误。</explain>
      <paraID>288FC999</paraID>
      <start>37</start>
      <end>38</end>
      <status>unmodified</status>
      <modifiedWord/>
      <trackRevisions>false</trackRevisions>
    </reviewItem>
    <reviewItem>
      <errorID>696c73e7-5ec1-4788-9571-e864ff9dc23e</errorID>
      <errorWord>)</errorWord>
      <group>L1_Format</group>
      <groupName>格式问题</groupName>
      <ability>L2_HalfPunc</ability>
      <abilityName>全半角检查</abilityName>
      <candidateList>
        <item>）</item>
      </candidateList>
      <explain>文本全半角错误。</explain>
      <paraID>73D0FC64</paraID>
      <start>35</start>
      <end>36</end>
      <status>unmodified</status>
      <modifiedWord/>
      <trackRevisions>false</trackRevisions>
    </reviewItem>
    <reviewItem>
      <errorID>0bec8071-d2c1-4162-824b-442ef3d51b71</errorID>
      <errorWord>)</errorWord>
      <group>L1_Format</group>
      <groupName>格式问题</groupName>
      <ability>L2_HalfPunc</ability>
      <abilityName>全半角检查</abilityName>
      <candidateList>
        <item>）</item>
      </candidateList>
      <explain>文本全半角错误。</explain>
      <paraID>2EF28835</paraID>
      <start>34</start>
      <end>35</end>
      <status>unmodified</status>
      <modifiedWord/>
      <trackRevisions>false</trackRevisions>
    </reviewItem>
    <reviewItem>
      <errorID>a10283f8-2e70-4e57-8a38-c4856f07f0a0</errorID>
      <errorWord>目</errorWord>
      <group>L1_Word</group>
      <groupName>字词问题</groupName>
      <ability>L2_Typo</ability>
      <abilityName>字词错误</abilityName>
      <candidateList>
        <item>目在</item>
      </candidateList>
      <explain/>
      <paraID>775F5EDD</paraID>
      <start>2</start>
      <end>3</end>
      <status>unmodified</status>
      <modifiedWord/>
      <trackRevisions>false</trackRevisions>
    </reviewItem>
    <reviewItem>
      <errorID>f522fda1-dd23-48d7-a398-8a45c259cb1e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5E149F19</paraID>
      <start>90</start>
      <end>91</end>
      <status>unmodified</status>
      <modifiedWord/>
      <trackRevisions>false</trackRevisions>
    </reviewItem>
    <reviewItem>
      <errorID>bbcdb5ca-0515-4e6c-8215-b0423f210534</errorID>
      <errorWord>来自于</errorWord>
      <group>L1_Word</group>
      <groupName>字词问题</groupName>
      <ability>L2_Typo</ability>
      <abilityName>字词错误</abilityName>
      <candidateList>
        <item>来自</item>
      </candidateList>
      <explain/>
      <paraID>49F07D17</paraID>
      <start>37</start>
      <end>40</end>
      <status>unmodified</status>
      <modifiedWord/>
      <trackRevisions>false</trackRevisions>
    </reviewItem>
    <reviewItem>
      <errorID>9fc9aa34-36f1-4c03-a3f2-3335bf3c880d</errorID>
      <errorWord>野生植被</errorWord>
      <group>L1_Knowledge</group>
      <groupName>知识性问题</groupName>
      <ability>L2_Term</ability>
      <abilityName>专业术语</abilityName>
      <candidateList>
        <item>原生植被</item>
      </candidateList>
      <explain/>
      <paraID>4C5AB92A</paraID>
      <start>48</start>
      <end>52</end>
      <status>unmodified</status>
      <modifiedWord/>
      <trackRevisions>false</trackRevisions>
    </reviewItem>
    <reviewItem>
      <errorID>51a782da-c257-44ec-8da5-5c2d1cc75b65</errorID>
      <errorWord>随</errorWord>
      <group>L1_Word</group>
      <groupName>字词问题</groupName>
      <ability>L2_Typo</ability>
      <abilityName>字词错误</abilityName>
      <candidateList>
        <item>随着</item>
      </candidateList>
      <explain/>
      <paraID>1BCBB9AF</paraID>
      <start>314</start>
      <end>315</end>
      <status>unmodified</status>
      <modifiedWord/>
      <trackRevisions>false</trackRevisions>
    </reviewItem>
    <reviewItem>
      <errorID>9663e62d-64ec-4c15-aaf8-e4e3144675f0</errorID>
      <errorWord>期</errorWord>
      <group>L1_Word</group>
      <groupName>字词问题</groupName>
      <ability>L2_Typo</ability>
      <abilityName>字词错误</abilityName>
      <candidateList>
        <item>期间</item>
      </candidateList>
      <explain>〈名〉某个时期里面：农忙～｜春节～｜抗战～。</explain>
      <paraID> 5622AED</paraID>
      <start>5</start>
      <end>6</end>
      <status>unmodified</status>
      <modifiedWord/>
      <trackRevisions>false</trackRevisions>
    </reviewItem>
    <reviewItem>
      <errorID>dbddffa1-c0e0-4f10-8623-f79b561d35f0</errorID>
      <errorWord>探</errorWord>
      <group>L1_Word</group>
      <groupName>字词问题</groupName>
      <ability>L2_Typo</ability>
      <abilityName>字词错误</abilityName>
      <candidateList>
        <item>沿</item>
      </candidateList>
      <explain>存在发音相近字词的误用。</explain>
      <paraID> 574A183</paraID>
      <start>5</start>
      <end>6</end>
      <status>unmodified</status>
      <modifiedWord/>
      <trackRevisions>false</trackRevisions>
    </reviewItem>
    <reviewItem>
      <errorID>93b88ffc-0f4c-49e6-84a6-3ff55ca19523</errorID>
      <errorWord>（</errorWord>
      <group>L1_Format</group>
      <groupName>格式问题</groupName>
      <ability>L2_HalfPunc</ability>
      <abilityName>全半角检查</abilityName>
      <candidateList>
        <item>(</item>
      </candidateList>
      <explain>文本全半角错误。</explain>
      <paraID>70EC3134</paraID>
      <start>5</start>
      <end>6</end>
      <status>unmodified</status>
      <modifiedWord/>
      <trackRevisions>false</trackRevisions>
    </reviewItem>
    <reviewItem>
      <errorID>bd577e64-1195-4ed6-8518-4da4bddfdf25</errorID>
      <errorWord>）</errorWord>
      <group>L1_Format</group>
      <groupName>格式问题</groupName>
      <ability>L2_HalfPunc</ability>
      <abilityName>全半角检查</abilityName>
      <candidateList>
        <item>)</item>
      </candidateList>
      <explain>文本全半角错误。</explain>
      <paraID>70EC3134</paraID>
      <start>8</start>
      <end>9</end>
      <status>unmodified</status>
      <modifiedWord/>
      <trackRevisions>false</trackRevisions>
    </reviewItem>
    <reviewItem>
      <errorID>feaf2f01-94f2-42b0-ac37-3f6bdf79d2d6</errorID>
      <errorWord>（</errorWord>
      <group>L1_Format</group>
      <groupName>格式问题</groupName>
      <ability>L2_HalfPunc</ability>
      <abilityName>全半角检查</abilityName>
      <candidateList>
        <item>(</item>
      </candidateList>
      <explain>文本全半角错误。</explain>
      <paraID>30288F1A</paraID>
      <start>5</start>
      <end>6</end>
      <status>unmodified</status>
      <modifiedWord/>
      <trackRevisions>false</trackRevisions>
    </reviewItem>
    <reviewItem>
      <errorID>b5b1eddd-be74-4af7-9801-3bf298c30b27</errorID>
      <errorWord>）</errorWord>
      <group>L1_Format</group>
      <groupName>格式问题</groupName>
      <ability>L2_HalfPunc</ability>
      <abilityName>全半角检查</abilityName>
      <candidateList>
        <item>)</item>
      </candidateList>
      <explain>文本全半角错误。</explain>
      <paraID>30288F1A</paraID>
      <start>8</start>
      <end>9</end>
      <status>unmodified</status>
      <modifiedWord/>
      <trackRevisions>false</trackRevisions>
    </reviewItem>
    <reviewItem>
      <errorID>f39f6334-025d-4c76-b6df-aa0a3f67ef15</errorID>
      <errorWord>（</errorWord>
      <group>L1_Format</group>
      <groupName>格式问题</groupName>
      <ability>L2_HalfPunc</ability>
      <abilityName>全半角检查</abilityName>
      <candidateList>
        <item>(</item>
      </candidateList>
      <explain>文本全半角错误。</explain>
      <paraID>1F06B1FD</paraID>
      <start>6</start>
      <end>7</end>
      <status>unmodified</status>
      <modifiedWord/>
      <trackRevisions>false</trackRevisions>
    </reviewItem>
    <reviewItem>
      <errorID>0490184c-f61e-43c1-89ee-e2f41f45a10d</errorID>
      <errorWord>）</errorWord>
      <group>L1_Format</group>
      <groupName>格式问题</groupName>
      <ability>L2_HalfPunc</ability>
      <abilityName>全半角检查</abilityName>
      <candidateList>
        <item>)</item>
      </candidateList>
      <explain>文本全半角错误。</explain>
      <paraID>1F06B1FD</paraID>
      <start>9</start>
      <end>10</end>
      <status>unmodified</status>
      <modifiedWord/>
      <trackRevisions>false</trackRevisions>
    </reviewItem>
    <reviewItem>
      <errorID>8d0bebcd-8ca8-4431-a94a-77667e2762cf</errorID>
      <errorWord>蒸气压</errorWord>
      <group>L1_Word</group>
      <groupName>字词问题</groupName>
      <ability>L2_Typo</ability>
      <abilityName>字词错误</abilityName>
      <candidateList>
        <item>蒸汽压</item>
      </candidateList>
      <explain/>
      <paraID> E090A99</paraID>
      <start>84</start>
      <end>87</end>
      <status>unmodified</status>
      <modifiedWord/>
      <trackRevisions>false</trackRevisions>
    </reviewItem>
    <reviewItem>
      <errorID>d96e9246-dc55-4173-8ee5-69523d2a7983</errorID>
      <errorWord>（</errorWord>
      <group>L1_Format</group>
      <groupName>格式问题</groupName>
      <ability>L2_HalfPunc</ability>
      <abilityName>全半角检查</abilityName>
      <candidateList>
        <item>(</item>
      </candidateList>
      <explain>文本全半角错误。</explain>
      <paraID>3AC168DE</paraID>
      <start>22</start>
      <end>23</end>
      <status>unmodified</status>
      <modifiedWord/>
      <trackRevisions>false</trackRevisions>
    </reviewItem>
    <reviewItem>
      <errorID>1e6d5a17-6bb5-40ca-b6cb-4ba5b6a6dd6e</errorID>
      <errorWord>，</errorWord>
      <group>L1_Format</group>
      <groupName>格式问题</groupName>
      <ability>L2_HalfPunc</ability>
      <abilityName>全半角检查</abilityName>
      <candidateList>
        <item>, </item>
      </candidateList>
      <explain>文本全半角错误。</explain>
      <paraID>3AC168DE</paraID>
      <start>41</start>
      <end>42</end>
      <status>unmodified</status>
      <modifiedWord/>
      <trackRevisions>false</trackRevisions>
    </reviewItem>
    <reviewItem>
      <errorID>6eab0ecf-0d6e-453c-a194-d548b7e28e11</errorID>
      <errorWord>）</errorWord>
      <group>L1_Format</group>
      <groupName>格式问题</groupName>
      <ability>L2_HalfPunc</ability>
      <abilityName>全半角检查</abilityName>
      <candidateList>
        <item>)</item>
      </candidateList>
      <explain>文本全半角错误。</explain>
      <paraID>3AC168DE</paraID>
      <start>50</start>
      <end>51</end>
      <status>unmodified</status>
      <modifiedWord/>
      <trackRevisions>false</trackRevisions>
    </reviewItem>
    <reviewItem>
      <errorID>99da2d37-2945-49c9-9faf-bc683c067033</errorID>
      <errorWord>-</errorWord>
      <group>L1_Format</group>
      <groupName>格式问题</groupName>
      <ability>L2_HalfPunc</ability>
      <abilityName>全半角检查</abilityName>
      <candidateList>
        <item>－</item>
      </candidateList>
      <explain>文本全半角错误。</explain>
      <paraID>26156F44</paraID>
      <start>65</start>
      <end>66</end>
      <status>unmodified</status>
      <modifiedWord/>
      <trackRevisions>false</trackRevisions>
    </reviewItem>
    <reviewItem>
      <errorID>ef03e146-ecc0-459c-a60b-f184ba813d1e</errorID>
      <errorWord>-</errorWord>
      <group>L1_Format</group>
      <groupName>格式问题</groupName>
      <ability>L2_HalfPunc</ability>
      <abilityName>全半角检查</abilityName>
      <candidateList>
        <item>－</item>
      </candidateList>
      <explain>文本全半角错误。</explain>
      <paraID>662B6D0A</paraID>
      <start>67</start>
      <end>68</end>
      <status>unmodified</status>
      <modifiedWord/>
      <trackRevisions>false</trackRevisions>
    </reviewItem>
    <reviewItem>
      <errorID>f4d4e9f8-b53f-47cf-aa66-3321155cb940</errorID>
      <errorWord>~</errorWord>
      <group>L1_Format</group>
      <groupName>格式问题</groupName>
      <ability>L2_HalfPunc</ability>
      <abilityName>全半角检查</abilityName>
      <candidateList>
        <item>～</item>
      </candidateList>
      <explain>文本全半角错误。</explain>
      <paraID>7524B723</paraID>
      <start>79</start>
      <end>80</end>
      <status>unmodified</status>
      <modifiedWord/>
      <trackRevisions>false</trackRevisions>
    </reviewItem>
    <reviewItem>
      <errorID>c5579214-ecd9-4ce0-b5e6-38ab933a4c6f</errorID>
      <errorWord>污</errorWord>
      <group>L1_Word</group>
      <groupName>字词问题</groupName>
      <ability>L2_Typo</ability>
      <abilityName>字词错误</abilityName>
      <candidateList>
        <item>污量</item>
      </candidateList>
      <explain/>
      <paraID>7524B723</paraID>
      <start>101</start>
      <end>102</end>
      <status>unmodified</status>
      <modifiedWord/>
      <trackRevisions>false</trackRevisions>
    </reviewItem>
    <reviewItem>
      <errorID>a253d05a-8b69-4d03-a5ca-cb17cf784f22</errorID>
      <errorWord>,</errorWord>
      <group>L1_Format</group>
      <groupName>格式问题</groupName>
      <ability>L2_HalfPunc</ability>
      <abilityName>全半角检查</abilityName>
      <candidateList>
        <item>，</item>
      </candidateList>
      <explain>文本全半角错误。</explain>
      <paraID>7524B723</paraID>
      <start>169</start>
      <end>170</end>
      <status>unmodified</status>
      <modifiedWord/>
      <trackRevisions>false</trackRevisions>
    </reviewItem>
    <reviewItem>
      <errorID>c3878b92-e8b7-4b6d-ab0f-760648a5d3f9</errorID>
      <errorWord>试油废水</errorWord>
      <group>L1_Knowledge</group>
      <groupName>知识性问题</groupName>
      <ability>L2_Term</ability>
      <abilityName>专业术语</abilityName>
      <candidateList>
        <item>含油废水</item>
      </candidateList>
      <explain/>
      <paraID>39EA5682</paraID>
      <start>0</start>
      <end>4</end>
      <status>unmodified</status>
      <modifiedWord/>
      <trackRevisions>false</trackRevisions>
    </reviewItem>
    <reviewItem>
      <errorID>2dbb0e0d-daaf-4b99-8662-8d5a9c87e2b8</errorID>
      <errorWord>下土深度</errorWord>
      <group>L1_Knowledge</group>
      <groupName>知识性问题</groupName>
      <ability>L2_Term</ability>
      <abilityName>专业术语</abilityName>
      <candidateList>
        <item>覆土深度</item>
      </candidateList>
      <explain/>
      <paraID>7D202F0B</paraID>
      <start>25</start>
      <end>29</end>
      <status>unmodified</status>
      <modifiedWord/>
      <trackRevisions>false</trackRevisions>
    </reviewItem>
    <reviewItem>
      <errorID>4babc688-a57c-4aea-b877-c3254339750f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507A628D</paraID>
      <start>66</start>
      <end>67</end>
      <status>unmodified</status>
      <modifiedWord/>
      <trackRevisions>false</trackRevisions>
    </reviewItem>
    <reviewItem>
      <errorID>6324bb8f-e63a-412e-a872-4a3a1de7e308</errorID>
      <errorWord>据类比资料显示</errorWord>
      <group>L1_Grammar</group>
      <groupName>语法问题</groupName>
      <ability>L2_Grammar</ability>
      <abilityName>语法错误</abilityName>
      <candidateList>
        <item>据类比资料</item>
      </candidateList>
      <explain/>
      <paraID>507A628D</paraID>
      <start>76</start>
      <end>83</end>
      <status>unmodified</status>
      <modifiedWord/>
      <trackRevisions>false</trackRevisions>
    </reviewItem>
    <reviewItem>
      <errorID>be16f371-3efc-45d1-a739-e73c45134a0d</errorID>
      <errorWord>（</errorWord>
      <group>L1_Format</group>
      <groupName>格式问题</groupName>
      <ability>L2_HalfPunc</ability>
      <abilityName>全半角检查</abilityName>
      <candidateList>
        <item>(</item>
      </candidateList>
      <explain>文本全半角错误。</explain>
      <paraID>2D298DEF</paraID>
      <start>0</start>
      <end>1</end>
      <status>unmodified</status>
      <modifiedWord/>
      <trackRevisions>false</trackRevisions>
    </reviewItem>
    <reviewItem>
      <errorID>85609d2f-a092-463e-b5d8-2e672390b3bb</errorID>
      <errorWord>）</errorWord>
      <group>L1_Format</group>
      <groupName>格式问题</groupName>
      <ability>L2_HalfPunc</ability>
      <abilityName>全半角检查</abilityName>
      <candidateList>
        <item>)</item>
      </candidateList>
      <explain>文本全半角错误。</explain>
      <paraID>2D298DEF</paraID>
      <start>3</start>
      <end>4</end>
      <status>unmodified</status>
      <modifiedWord/>
      <trackRevisions>false</trackRevisions>
    </reviewItem>
    <reviewItem>
      <errorID>c0add33f-7206-4722-9302-e9784b4ba5a8</errorID>
      <errorWord>（</errorWord>
      <group>L1_Format</group>
      <groupName>格式问题</groupName>
      <ability>L2_HalfPunc</ability>
      <abilityName>全半角检查</abilityName>
      <candidateList>
        <item>(</item>
      </candidateList>
      <explain>文本全半角错误。</explain>
      <paraID>41A59F74</paraID>
      <start>0</start>
      <end>1</end>
      <status>unmodified</status>
      <modifiedWord/>
      <trackRevisions>false</trackRevisions>
    </reviewItem>
    <reviewItem>
      <errorID>22c11459-598f-4975-b65c-420dde50d0be</errorID>
      <errorWord>）</errorWord>
      <group>L1_Format</group>
      <groupName>格式问题</groupName>
      <ability>L2_HalfPunc</ability>
      <abilityName>全半角检查</abilityName>
      <candidateList>
        <item>)</item>
      </candidateList>
      <explain>文本全半角错误。</explain>
      <paraID>41A59F74</paraID>
      <start>3</start>
      <end>4</end>
      <status>unmodified</status>
      <modifiedWord/>
      <trackRevisions>false</trackRevisions>
    </reviewItem>
    <reviewItem>
      <errorID>c750d112-4472-4264-accb-40ca0eadd119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7E71DCB2</paraID>
      <start>138</start>
      <end>139</end>
      <status>unmodified</status>
      <modifiedWord/>
      <trackRevisions>false</trackRevisions>
    </reviewItem>
    <reviewItem>
      <errorID>917bfd41-085d-4d28-bdf1-2e373bd0c59a</errorID>
      <errorWord>)</errorWord>
      <group>L1_Format</group>
      <groupName>格式问题</groupName>
      <ability>L2_HalfPunc</ability>
      <abilityName>全半角检查</abilityName>
      <candidateList>
        <item>）</item>
      </candidateList>
      <explain>文本全半角错误。</explain>
      <paraID>65B029F7</paraID>
      <start>9</start>
      <end>10</end>
      <status>unmodified</status>
      <modifiedWord/>
      <trackRevisions>false</trackRevisions>
    </reviewItem>
    <reviewItem>
      <errorID>acb7470a-e6df-4b3c-9ecf-2e96889067c4</errorID>
      <errorWord>（</errorWord>
      <group>L1_Format</group>
      <groupName>格式问题</groupName>
      <ability>L2_HalfPunc</ability>
      <abilityName>全半角检查</abilityName>
      <candidateList>
        <item>(</item>
      </candidateList>
      <explain>文本全半角错误。</explain>
      <paraID>75EEECEA</paraID>
      <start>0</start>
      <end>1</end>
      <status>unmodified</status>
      <modifiedWord/>
      <trackRevisions>false</trackRevisions>
    </reviewItem>
    <reviewItem>
      <errorID>dce13aa4-8050-48c7-aa0c-c5f7c7906c81</errorID>
      <errorWord>）</errorWord>
      <group>L1_Format</group>
      <groupName>格式问题</groupName>
      <ability>L2_HalfPunc</ability>
      <abilityName>全半角检查</abilityName>
      <candidateList>
        <item>)</item>
      </candidateList>
      <explain>文本全半角错误。</explain>
      <paraID>6A03B18F</paraID>
      <start>3</start>
      <end>4</end>
      <status>unmodified</status>
      <modifiedWord/>
      <trackRevisions>false</trackRevisions>
    </reviewItem>
    <reviewItem>
      <errorID>6c62fab8-44d7-4b74-8823-4a0d9120883c</errorID>
      <errorWord>（</errorWord>
      <group>L1_Format</group>
      <groupName>格式问题</groupName>
      <ability>L2_HalfPunc</ability>
      <abilityName>全半角检查</abilityName>
      <candidateList>
        <item>(</item>
      </candidateList>
      <explain>文本全半角错误。</explain>
      <paraID>3E27CC64</paraID>
      <start>0</start>
      <end>1</end>
      <status>unmodified</status>
      <modifiedWord/>
      <trackRevisions>false</trackRevisions>
    </reviewItem>
    <reviewItem>
      <errorID>84a196de-edbf-4a2b-8af5-e2272c076624</errorID>
      <errorWord>）</errorWord>
      <group>L1_Format</group>
      <groupName>格式问题</groupName>
      <ability>L2_HalfPunc</ability>
      <abilityName>全半角检查</abilityName>
      <candidateList>
        <item>)</item>
      </candidateList>
      <explain>文本全半角错误。</explain>
      <paraID>17D8EBBA</paraID>
      <start>3</start>
      <end>4</end>
      <status>unmodified</status>
      <modifiedWord/>
      <trackRevisions>false</trackRevisions>
    </reviewItem>
    <reviewItem>
      <errorID>53369c07-188f-4d30-8429-9fc40c4b9f5f</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3FB4E700</paraID>
      <start>51</start>
      <end>54</end>
      <status>unmodified</status>
      <modifiedWord/>
      <trackRevisions>false</trackRevisions>
    </reviewItem>
    <reviewItem>
      <errorID>08cfdfb7-46a2-496d-bdb0-dfc09a1aab05</errorID>
      <errorWord>1.1～6.4%</errorWord>
      <group>L1_Knowledge</group>
      <groupName>知识性问题</groupName>
      <ability>L2_Knowledge</ability>
      <abilityName>其他知识</abilityName>
      <candidateList>
        <item>1.1%～6.4%</item>
      </candidateList>
      <explain>1. “1.1～6.4%”中的单位“%”仅出现在后一个数字上，容易引起歧义；根据《现代汉语标点符号数字用法规范手册》，数字表示范围两边需要使用统一的格式。2. 根据标点国标 4.13 中的规则，数字、时间或地域连接符应使用（视觉上更长的）“—”或“～”。</explain>
      <paraID>1A0EB70E</paraID>
      <start>40</start>
      <end>49</end>
      <status>modified</status>
      <modifiedWord>1.1%～6.4%</modifiedWord>
      <trackRevisions>false</trackRevisions>
    </reviewItem>
    <reviewItem>
      <errorID>1201caee-1736-4120-af1c-d1d06dc65727</errorID>
      <errorWord>5～14%</errorWord>
      <group>L1_Knowledge</group>
      <groupName>知识性问题</groupName>
      <ability>L2_Knowledge</ability>
      <abilityName>其他知识</abilityName>
      <candidateList>
        <item>5%～14%</item>
      </candidateList>
      <explain>1. “5～14%”中的单位“%”仅出现在后一个数字上，容易引起歧义；根据《现代汉语标点符号数字用法规范手册》，数字表示范围两边需要使用统一的格式。2. 根据标点国标 4.13 中的规则，数字、时间或地域连接符应使用（视觉上更长的）“—”或“～”。</explain>
      <paraID>3C63CCD7</paraID>
      <start>19</start>
      <end>25</end>
      <status>modified</status>
      <modifiedWord>5%～14%</modifiedWord>
      <trackRevisions>false</trackRevisions>
    </reviewItem>
    <reviewItem>
      <errorID>aed3b137-9c94-49f1-86a5-76a67230e15f</errorID>
      <errorWord>(</errorWord>
      <group>L1_Format</group>
      <groupName>格式问题</groupName>
      <ability>L2_HalfPunc</ability>
      <abilityName>全半角检查</abilityName>
      <candidateList>
        <item>（</item>
      </candidateList>
      <explain>文本全半角错误。</explain>
      <paraID> B33DA88</paraID>
      <start>4</start>
      <end>5</end>
      <status>unmodified</status>
      <modifiedWord/>
      <trackRevisions>false</trackRevisions>
    </reviewItem>
    <reviewItem>
      <errorID>18a85faa-2d45-4551-9123-953cd357c424</errorID>
      <errorWord>)</errorWord>
      <group>L1_Format</group>
      <groupName>格式问题</groupName>
      <ability>L2_HalfPunc</ability>
      <abilityName>全半角检查</abilityName>
      <candidateList>
        <item>）</item>
      </candidateList>
      <explain>文本全半角错误。</explain>
      <paraID> B33DA88</paraID>
      <start>15</start>
      <end>16</end>
      <status>unmodified</status>
      <modifiedWord/>
      <trackRevisions>false</trackRevisions>
    </reviewItem>
    <reviewItem>
      <errorID>f47ed1a3-797e-4e72-ab18-37319ba890e1</errorID>
      <errorWord>(</errorWord>
      <group>L1_Format</group>
      <groupName>格式问题</groupName>
      <ability>L2_HalfPunc</ability>
      <abilityName>全半角检查</abilityName>
      <candidateList>
        <item>（</item>
      </candidateList>
      <explain>文本全半角错误。</explain>
      <paraID>5F535CFC</paraID>
      <start>17</start>
      <end>18</end>
      <status>unmodified</status>
      <modifiedWord/>
      <trackRevisions>false</trackRevisions>
    </reviewItem>
    <reviewItem>
      <errorID>0c5ad488-4242-43e3-8743-61967791fd35</errorID>
      <errorWord>)</errorWord>
      <group>L1_Format</group>
      <groupName>格式问题</groupName>
      <ability>L2_HalfPunc</ability>
      <abilityName>全半角检查</abilityName>
      <candidateList>
        <item>）</item>
      </candidateList>
      <explain>文本全半角错误。</explain>
      <paraID>5F535CFC</paraID>
      <start>23</start>
      <end>24</end>
      <status>unmodified</status>
      <modifiedWord/>
      <trackRevisions>false</trackRevisions>
    </reviewItem>
    <reviewItem>
      <errorID>d6755c28-847d-44a0-94a6-d4c62fe370e6</errorID>
      <errorWord>咳</errorWord>
      <group>L1_Word</group>
      <groupName>字词问题</groupName>
      <ability>L2_Typo</ability>
      <abilityName>字词错误</abilityName>
      <candidateList>
        <item>咳嗽</item>
      </candidateList>
      <explain/>
      <paraID> 55CC147</paraID>
      <start>48</start>
      <end>49</end>
      <status>unmodified</status>
      <modifiedWord/>
      <trackRevisions>false</trackRevisions>
    </reviewItem>
    <reviewItem>
      <errorID>b032593e-c67b-4398-a8c5-e4e1f3979f29</errorID>
      <errorWord>(</errorWord>
      <group>L1_Format</group>
      <groupName>格式问题</groupName>
      <ability>L2_HalfPunc</ability>
      <abilityName>全半角检查</abilityName>
      <candidateList>
        <item>（</item>
      </candidateList>
      <explain>文本全半角错误。</explain>
      <paraID> 55CC147</paraID>
      <start>96</start>
      <end>97</end>
      <status>unmodified</status>
      <modifiedWord/>
      <trackRevisions>false</trackRevisions>
    </reviewItem>
    <reviewItem>
      <errorID>6c5b8ef1-bd3f-4dc9-8c1b-fa245afb0519</errorID>
      <errorWord>)</errorWord>
      <group>L1_Format</group>
      <groupName>格式问题</groupName>
      <ability>L2_HalfPunc</ability>
      <abilityName>全半角检查</abilityName>
      <candidateList>
        <item>）</item>
      </candidateList>
      <explain>文本全半角错误。</explain>
      <paraID> 55CC147</paraID>
      <start>108</start>
      <end>109</end>
      <status>unmodified</status>
      <modifiedWord/>
      <trackRevisions>false</trackRevisions>
    </reviewItem>
    <reviewItem>
      <errorID>dec576b1-676a-4288-b385-8771df276c43</errorID>
      <errorWord>闪电型</errorWord>
      <group>L1_Word</group>
      <groupName>字词问题</groupName>
      <ability>L2_Typo</ability>
      <abilityName>字词错误</abilityName>
      <candidateList>
        <item>闪电性</item>
      </candidateList>
      <explain/>
      <paraID> 55CC147</paraID>
      <start>131</start>
      <end>134</end>
      <status>unmodified</status>
      <modifiedWord/>
      <trackRevisions>false</trackRevisions>
    </reviewItem>
    <reviewItem>
      <errorID>510da396-c1cd-48db-be43-cf201267e5fb</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 55CC147</paraID>
      <start>173</start>
      <end>177</end>
      <status>unmodified</status>
      <modifiedWord/>
      <trackRevisions>false</trackRevisions>
    </reviewItem>
    <reviewItem>
      <errorID>89fe30d8-2ba9-4369-91de-2fafb4642181</errorID>
      <errorWord>系乱</errorWord>
      <group>L1_Word</group>
      <groupName>字词问题</groupName>
      <ability>L2_Typo</ability>
      <abilityName>字词错误</abilityName>
      <candidateList>
        <item>紊乱</item>
      </candidateList>
      <explain>〈形〉杂乱；纷乱：秩序～｜思路～。</explain>
      <paraID> 55CC147</paraID>
      <start>179</start>
      <end>181</end>
      <status>modified</status>
      <modifiedWord>紊乱</modifiedWord>
      <trackRevisions>false</trackRevisions>
    </reviewItem>
    <reviewItem>
      <errorID>5a0956c7-f98a-4e53-9144-da40af330019</errorID>
      <errorWord>其它</errorWord>
      <group>L1_Word</group>
      <groupName>字词问题</groupName>
      <ability>L2_Alias</ability>
      <abilityName>也作/曾用词</abilityName>
      <candidateList>
        <item>其他</item>
      </candidateList>
      <explain>词汇[其它]为不规范表述或旧称，其规范书面表述为[其他]。</explain>
      <paraID>526F7FCF</paraID>
      <start>42</start>
      <end>44</end>
      <status>unmodified</status>
      <modifiedWord/>
      <trackRevisions>false</trackRevisions>
    </reviewItem>
    <reviewItem>
      <errorID>7eec72e8-99c6-4804-945b-4c458b180869</errorID>
      <errorWord>据类比资料显示</errorWord>
      <group>L1_Grammar</group>
      <groupName>语法问题</groupName>
      <ability>L2_Grammar</ability>
      <abilityName>语法错误</abilityName>
      <candidateList>
        <item>据类比资料</item>
      </candidateList>
      <explain/>
      <paraID>6E98A1EE</paraID>
      <start>33</start>
      <end>40</end>
      <status>unmodified</status>
      <modifiedWord/>
      <trackRevisions>false</trackRevisions>
    </reviewItem>
    <reviewItem>
      <errorID>76a54bf2-aded-45fb-a7cc-1c327eba8e81</errorID>
      <errorWord>人口稀少</errorWord>
      <group>L1_Knowledge</group>
      <groupName>知识性问题</groupName>
      <ability>L2_Idiom</ability>
      <abilityName>成语和诗歌</abilityName>
      <candidateList>
        <item>人烟稀少</item>
      </candidateList>
      <explain/>
      <paraID>6E98A1EE</paraID>
      <start>94</start>
      <end>98</end>
      <status>unmodified</status>
      <modifiedWord/>
      <trackRevisions>false</trackRevisions>
    </reviewItem>
    <reviewItem>
      <errorID>3f0780d9-0eaa-4c52-b510-0bd682f7dda1</errorID>
      <errorWord>降低</errorWord>
      <group>L1_Grammar</group>
      <groupName>语法问题</groupName>
      <ability>L2_Grammar</ability>
      <abilityName>语法错误</abilityName>
      <candidateList>
        <item>防止</item>
      </candidateList>
      <explain>“降低～发生”搭配不当，建议修改为“防止～发生”。</explain>
      <paraID>3D696944</paraID>
      <start>278</start>
      <end>280</end>
      <status>unmodified</status>
      <modifiedWord/>
      <trackRevisions>false</trackRevisions>
    </reviewItem>
    <reviewItem>
      <errorID>a52766f5-93e6-4896-9007-21a70aec5609</errorID>
      <errorWord>粘附</errorWord>
      <group>L1_Word</group>
      <groupName>字词问题</groupName>
      <ability>L2_Alias</ability>
      <abilityName>也作/曾用词</abilityName>
      <candidateList>
        <item>黏附</item>
      </candidateList>
      <explain>词汇[粘附]为不规范表述或旧称，其规范书面表述为[黏附]。</explain>
      <paraID>4FB3DCFB</paraID>
      <start>28</start>
      <end>30</end>
      <status>unmodified</status>
      <modifiedWord/>
      <trackRevisions>false</trackRevisions>
    </reviewItem>
    <reviewItem>
      <errorID>1f9c0e7b-c84f-4375-a327-a30cd018d569</errorID>
      <errorWord>组份</errorWord>
      <group>L1_Word</group>
      <groupName>字词问题</groupName>
      <ability>L2_Variant</ability>
      <abilityName>异形词</abilityName>
      <candidateList>
        <item>组分</item>
      </candidateList>
      <explain>词汇[组份]的规范词形写作[组分]。</explain>
      <paraID>4FB3DCFB</paraID>
      <start>104</start>
      <end>106</end>
      <status>unmodified</status>
      <modifiedWord/>
      <trackRevisions>false</trackRevisions>
    </reviewItem>
    <reviewItem>
      <errorID>6932f3c0-db2a-4f02-abe7-1c0ccd875e98</errorID>
      <errorWord>洒落</errorWord>
      <group>L1_Word</group>
      <groupName>字词问题</groupName>
      <ability>L2_Typo</ability>
      <abilityName>字词错误</abilityName>
      <candidateList>
        <item>撒落</item>
      </candidateList>
      <explain/>
      <paraID>27C77569</paraID>
      <start>49</start>
      <end>51</end>
      <status>unmodified</status>
      <modifiedWord/>
      <trackRevisions>false</trackRevisions>
    </reviewItem>
    <reviewItem>
      <errorID>199a22f3-bc8c-4846-843c-7cbb3bd582d4</errorID>
      <errorWord>其环境影响评价</errorWord>
      <group>L1_Knowledge</group>
      <groupName>知识性问题</groupName>
      <ability>L2_Term</ability>
      <abilityName>专业术语</abilityName>
      <candidateList>
        <item>声环境影响评价</item>
      </candidateList>
      <explain/>
      <paraID>4C44F49B</paraID>
      <start>49</start>
      <end>56</end>
      <status>unmodified</status>
      <modifiedWord/>
      <trackRevisions>false</trackRevisions>
    </reviewItem>
    <reviewItem>
      <errorID>3d26a9ca-54dd-4183-9795-9ada6f099eb6</errorID>
      <errorWord>井井</errorWord>
      <group>L1_Word</group>
      <groupName>字词问题</groupName>
      <ability>L2_Typo</ability>
      <abilityName>字词错误</abilityName>
      <candidateList>
        <item>井</item>
      </candidateList>
      <explain/>
      <paraID>66D77B70</paraID>
      <start>1</start>
      <end>3</end>
      <status>unmodified</status>
      <modifiedWord/>
      <trackRevisions>false</trackRevisions>
    </reviewItem>
    <reviewItem>
      <errorID>312de2d7-65e5-4fdd-83cf-281f2754b5c0</errorID>
      <errorWord>可</errorWord>
      <group>L1_Word</group>
      <groupName>字词问题</groupName>
      <ability>L2_Typo</ability>
      <abilityName>字词错误</abilityName>
      <candidateList>
        <item>可得</item>
      </candidateList>
      <explain/>
      <paraID>73A761A2</paraID>
      <start>155</start>
      <end>157</end>
      <status>modified</status>
      <modifiedWord>可得</modifiedWord>
      <trackRevisions>false</trackRevisions>
    </reviewItem>
    <reviewItem>
      <errorID>45ae3632-7c43-403f-8a68-fdf8ecdb56df</errorID>
      <errorWord>稀疏壳</errorWord>
      <group>L1_Word</group>
      <groupName>字词问题</groupName>
      <ability>L2_Typo</ability>
      <abilityName>字词错误</abilityName>
      <candidateList>
        <item>稀疏</item>
      </candidateList>
      <explain/>
      <paraID>649788FB</paraID>
      <start>26</start>
      <end>28</end>
      <status>modified</status>
      <modifiedWord>稀疏</modifiedWord>
      <trackRevisions>false</trackRevisions>
    </reviewItem>
    <reviewItem>
      <errorID>d5ad430e-748d-4fda-80f3-4073c58219f1</errorID>
      <errorWord>减缓</errorWord>
      <group>L1_Grammar</group>
      <groupName>语法问题</groupName>
      <ability>L2_Grammar</ability>
      <abilityName>语法错误</abilityName>
      <candidateList>
        <item>减少</item>
      </candidateList>
      <explain>“最大限度～减缓”搭配不当，建议修改为“最大限度～减少”。</explain>
      <paraID>649788FB</paraID>
      <start>175</start>
      <end>177</end>
      <status>unmodified</status>
      <modifiedWord/>
      <trackRevisions>false</trackRevisions>
    </reviewItem>
    <reviewItem>
      <errorID>31467fa4-67ed-4b33-be5e-34511dcbae03</errorID>
      <errorWord>提高</errorWord>
      <group>L1_Grammar</group>
      <groupName>语法问题</groupName>
      <ability>L2_Grammar</ability>
      <abilityName>语法错误</abilityName>
      <candidateList>
        <item>增强</item>
      </candidateList>
      <explain>“提高～意识”搭配不当，建议修改为“增强～意识”。</explain>
      <paraID>66F84362</paraID>
      <start>18</start>
      <end>20</end>
      <status>unmodified</status>
      <modifiedWord/>
      <trackRevisions>false</trackRevisions>
    </reviewItem>
    <reviewItem>
      <errorID>b500ee25-ad09-4715-803e-bfac3f6a413a</errorID>
      <errorWord>，</errorWord>
      <group>L1_Word</group>
      <groupName>字词问题</groupName>
      <ability>L2_Typo</ability>
      <abilityName>字词错误</abilityName>
      <candidateList>
        <item>，对</item>
      </candidateList>
      <explain/>
      <paraID>6DFDA10A</paraID>
      <start>14</start>
      <end>15</end>
      <status>unmodified</status>
      <modifiedWord/>
      <trackRevisions>false</trackRevisions>
    </reviewItem>
    <reviewItem>
      <errorID>5d01f89d-2b1c-422a-afd6-97c7824b3502</errorID>
      <errorWord>）中</errorWord>
      <group>L1_Word</group>
      <groupName>字词问题</groupName>
      <ability>L2_Typo</ability>
      <abilityName>字词错误</abilityName>
      <candidateList>
        <item>）</item>
      </candidateList>
      <explain/>
      <paraID>63DDEC87</paraID>
      <start>43</start>
      <end>45</end>
      <status>unmodified</status>
      <modifiedWord/>
      <trackRevisions>false</trackRevisions>
    </reviewItem>
    <reviewItem>
      <errorID>e685b27d-45c2-4326-9bc5-571dcfabab52</errorID>
      <errorWord>以示明</errorWord>
      <group>L1_Word</group>
      <groupName>字词问题</groupName>
      <ability>L2_Typo</ability>
      <abilityName>字词错误</abilityName>
      <candidateList>
        <item>以示</item>
      </candidateList>
      <explain/>
      <paraID>69276442</paraID>
      <start>27</start>
      <end>30</end>
      <status>unmodified</status>
      <modifiedWord/>
      <trackRevisions>false</trackRevisions>
    </reviewItem>
    <reviewItem>
      <errorID>0af8b839-57c0-42f5-a97a-a87c7284f540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300957FF</paraID>
      <start>24</start>
      <end>27</end>
      <status>unmodified</status>
      <modifiedWord/>
      <trackRevisions>false</trackRevisions>
    </reviewItem>
    <reviewItem>
      <errorID>5e9d0ab7-1a0a-4cf4-974b-71be6bdc46e2</errorID>
      <errorWord>探</errorWord>
      <group>L1_Word</group>
      <groupName>字词问题</groupName>
      <ability>L2_Typo</ability>
      <abilityName>字词错误</abilityName>
      <candidateList>
        <item>沿</item>
      </candidateList>
      <explain>存在发音相近字词的误用。</explain>
      <paraID>300957FF</paraID>
      <start>102</start>
      <end>103</end>
      <status>unmodified</status>
      <modifiedWord/>
      <trackRevisions>false</trackRevisions>
    </reviewItem>
    <reviewItem>
      <errorID>42f2fe55-8229-4fbc-babe-d0752865d0a4</errorID>
      <errorWord>(</errorWord>
      <group>L1_Format</group>
      <groupName>格式问题</groupName>
      <ability>L2_HalfPunc</ability>
      <abilityName>全半角检查</abilityName>
      <candidateList>
        <item>（</item>
      </candidateList>
      <explain>文本全半角错误。</explain>
      <paraID>53CA1803</paraID>
      <start>25</start>
      <end>26</end>
      <status>unmodified</status>
      <modifiedWord/>
      <trackRevisions>false</trackRevisions>
    </reviewItem>
    <reviewItem>
      <errorID>598c32be-a8c0-4583-8fd1-c638029117f5</errorID>
      <errorWord>)</errorWord>
      <group>L1_Format</group>
      <groupName>格式问题</groupName>
      <ability>L2_HalfPunc</ability>
      <abilityName>全半角检查</abilityName>
      <candidateList>
        <item>）</item>
      </candidateList>
      <explain>文本全半角错误。</explain>
      <paraID>53CA1803</paraID>
      <start>36</start>
      <end>37</end>
      <status>unmodified</status>
      <modifiedWord/>
      <trackRevisions>false</trackRevisions>
    </reviewItem>
    <reviewItem>
      <errorID>299e566c-c79b-42c8-a9e2-418d5e743154</errorID>
      <errorWord>期</errorWord>
      <group>L1_Word</group>
      <groupName>字词问题</groupName>
      <ability>L2_Typo</ability>
      <abilityName>字词错误</abilityName>
      <candidateList>
        <item>期间</item>
      </candidateList>
      <explain>〈名〉某个时期里面：农忙～｜春节～｜抗战～。</explain>
      <paraID>783283BA</paraID>
      <start>103</start>
      <end>104</end>
      <status>unmodified</status>
      <modifiedWord/>
      <trackRevisions>false</trackRevisions>
    </reviewItem>
    <reviewItem>
      <errorID>fb58ea91-0a36-4123-9c80-04855491a6dd</errorID>
      <errorWord>0.6～0.7万</errorWord>
      <group>L1_Knowledge</group>
      <groupName>知识性问题</groupName>
      <ability>L2_Knowledge</ability>
      <abilityName>其他知识</abilityName>
      <candidateList>
        <item>0.6万～0.7万</item>
      </candidateList>
      <explain>1. “0.6～0.7万”中的单位“万”仅出现在后一个数字上，容易引起歧义；根据《现代汉语标点符号数字用法规范手册》，数字表示范围两边需要使用统一的格式。2.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176309B4</paraID>
      <start>197</start>
      <end>205</end>
      <status>unmodified</status>
      <modifiedWord/>
      <trackRevisions>false</trackRevisions>
    </reviewItem>
    <reviewItem>
      <errorID>c84a4c31-9013-4074-9ff2-0b139ca5f15a</errorID>
      <errorWord>0.3～0.4万</errorWord>
      <group>L1_Knowledge</group>
      <groupName>知识性问题</groupName>
      <ability>L2_Knowledge</ability>
      <abilityName>其他知识</abilityName>
      <candidateList>
        <item>0.3万～0.4万</item>
      </candidateList>
      <explain>1. “0.3～0.4万”中的单位“万”仅出现在后一个数字上，容易引起歧义；根据《现代汉语标点符号数字用法规范手册》，数字表示范围两边需要使用统一的格式。2.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176309B4</paraID>
      <start>351</start>
      <end>359</end>
      <status>unmodified</status>
      <modifiedWord/>
      <trackRevisions>false</trackRevisions>
    </reviewItem>
    <reviewItem>
      <errorID>0a9f3f69-239e-40d5-9d75-944c0a7b6a1c</errorID>
      <errorWord>，为</errorWord>
      <group>L1_Word</group>
      <groupName>字词问题</groupName>
      <ability>L2_Typo</ability>
      <abilityName>字词错误</abilityName>
      <candidateList>
        <item>，</item>
      </candidateList>
      <explain/>
      <paraID>4185CEAC</paraID>
      <start>26</start>
      <end>28</end>
      <status>unmodified</status>
      <modifiedWord/>
      <trackRevisions>false</trackRevisions>
    </reviewItem>
    <reviewItem>
      <errorID>4f959fdc-b3f6-411a-aa26-41ce32cd97ca</errorID>
      <errorWord>试油废水</errorWord>
      <group>L1_Knowledge</group>
      <groupName>知识性问题</groupName>
      <ability>L2_Term</ability>
      <abilityName>专业术语</abilityName>
      <candidateList>
        <item>含油废水</item>
      </candidateList>
      <explain/>
      <paraID>50939FEC</paraID>
      <start>220</start>
      <end>224</end>
      <status>unmodified</status>
      <modifiedWord/>
      <trackRevisions>false</trackRevisions>
    </reviewItem>
    <reviewItem>
      <errorID>490fa6dc-23c4-407c-a977-4a6bb089ceae</errorID>
      <errorWord>~</errorWord>
      <group>L1_Format</group>
      <groupName>格式问题</groupName>
      <ability>L2_HalfPunc</ability>
      <abilityName>全半角检查</abilityName>
      <candidateList>
        <item>～</item>
      </candidateList>
      <explain>文本全半角错误。</explain>
      <paraID>3D225076</paraID>
      <start>134</start>
      <end>135</end>
      <status>unmodified</status>
      <modifiedWord/>
      <trackRevisions>false</trackRevisions>
    </reviewItem>
    <reviewItem>
      <errorID>e637b315-53fe-4908-9f33-08c3b9d5d9e7</errorID>
      <errorWord>水泥浆返</errorWord>
      <group>L1_Knowledge</group>
      <groupName>知识性问题</groupName>
      <ability>L2_Term</ability>
      <abilityName>专业术语</abilityName>
      <candidateList>
        <item>水泥浆液</item>
      </candidateList>
      <explain/>
      <paraID> ADF3A0D</paraID>
      <start>35</start>
      <end>39</end>
      <status>unmodified</status>
      <modifiedWord/>
      <trackRevisions>false</trackRevisions>
    </reviewItem>
    <reviewItem>
      <errorID>0279c01b-8a8b-42fd-b939-0d875241ee4c</errorID>
      <errorWord>水泥浆均</errorWord>
      <group>L1_Knowledge</group>
      <groupName>知识性问题</groupName>
      <ability>L2_Term</ability>
      <abilityName>专业术语</abilityName>
      <candidateList>
        <item>水泥浆液</item>
      </candidateList>
      <explain/>
      <paraID>30C2BC52</paraID>
      <start>48</start>
      <end>52</end>
      <status>unmodified</status>
      <modifiedWord/>
      <trackRevisions>false</trackRevisions>
    </reviewItem>
    <reviewItem>
      <errorID>841121bd-c082-4c9c-87f4-1d88c20593be</errorID>
      <errorWord>固废废物</errorWord>
      <group>L1_Word</group>
      <groupName>字词问题</groupName>
      <ability>L2_Typo</ability>
      <abilityName>字词错误</abilityName>
      <candidateList>
        <item>固体废物</item>
      </candidateList>
      <explain/>
      <paraID>7AA08019</paraID>
      <start>3</start>
      <end>7</end>
      <status>modified</status>
      <modifiedWord>固体废物</modifiedWord>
      <trackRevisions>false</trackRevisions>
    </reviewItem>
    <reviewItem>
      <errorID>d4d8e565-0bae-443b-b81c-30e85e9503c9</errorID>
      <errorWord>发生能</errorWord>
      <group>L1_Word</group>
      <groupName>字词问题</groupName>
      <ability>L2_Typo</ability>
      <abilityName>字词错误</abilityName>
      <candidateList>
        <item>发生</item>
      </candidateList>
      <explain>〈动〉❶原来没有的事出现了；产生：～变化｜～事故｜～关系。❷卵子受精后逐渐生长。</explain>
      <paraID>69F70D8E</paraID>
      <start>60</start>
      <end>63</end>
      <status>unmodified</status>
      <modifiedWord/>
      <trackRevisions>false</trackRevisions>
    </reviewItem>
    <reviewItem>
      <errorID>369b61eb-70a6-475a-85d4-7673c7a20239</errorID>
      <errorWord>作好</errorWord>
      <group>L1_Word</group>
      <groupName>字词问题</groupName>
      <ability>L2_Typo</ability>
      <abilityName>字词错误</abilityName>
      <candidateList>
        <item>做好</item>
      </candidateList>
      <explain>存在发音相同字词的误用。</explain>
      <paraID> AA0E279</paraID>
      <start>134</start>
      <end>136</end>
      <status>unmodified</status>
      <modifiedWord/>
      <trackRevisions>false</trackRevisions>
    </reviewItem>
    <reviewItem>
      <errorID>7ddd54f1-9066-494e-aa26-65546c23c4c8</errorID>
      <errorWord>腐蚀余量</errorWord>
      <group>L1_Knowledge</group>
      <groupName>知识性问题</groupName>
      <ability>L2_Term</ability>
      <abilityName>专业术语</abilityName>
      <candidateList>
        <item>汽蚀余量</item>
      </candidateList>
      <explain/>
      <paraID>6D2F63B9</paraID>
      <start>32</start>
      <end>36</end>
      <status>unmodified</status>
      <modifiedWord/>
      <trackRevisions>false</trackRevisions>
    </reviewItem>
    <reviewItem>
      <errorID>c51245c9-85ad-4b61-b59b-01bbc6de550a</errorID>
      <errorWord>需</errorWord>
      <group>L1_Word</group>
      <groupName>字词问题</groupName>
      <ability>L2_Typo</ability>
      <abilityName>字词错误</abilityName>
      <candidateList>
        <item>须</item>
      </candidateList>
      <explain>存在发音相同字词的误用。</explain>
      <paraID>50CBA703</paraID>
      <start>7</start>
      <end>8</end>
      <status>unmodified</status>
      <modifiedWord/>
      <trackRevisions>false</trackRevisions>
    </reviewItem>
    <reviewItem>
      <errorID>c38ccfbb-df3d-4451-b989-49bf488d4e04</errorID>
      <errorWord>,</errorWord>
      <group>L1_Format</group>
      <groupName>格式问题</groupName>
      <ability>L2_HalfPunc</ability>
      <abilityName>全半角检查</abilityName>
      <candidateList>
        <item>，</item>
      </candidateList>
      <explain>文本全半角错误。</explain>
      <paraID>7E8B4E9D</paraID>
      <start>98</start>
      <end>99</end>
      <status>unmodified</status>
      <modifiedWord/>
      <trackRevisions>false</trackRevisions>
    </reviewItem>
    <reviewItem>
      <errorID>e3c1447a-8716-4f3f-865a-e18761f51034</errorID>
      <errorWord>作法</errorWord>
      <group>L1_Word</group>
      <groupName>字词问题</groupName>
      <ability>L2_Typo</ability>
      <abilityName>字词错误</abilityName>
      <candidateList>
        <item>做法</item>
      </candidateList>
      <explain>存在发音相同字词的误用。</explain>
      <paraID>7A7C9418</paraID>
      <start>155</start>
      <end>157</end>
      <status>unmodified</status>
      <modifiedWord/>
      <trackRevisions>false</trackRevisions>
    </reviewItem>
    <reviewItem>
      <errorID>26848e4e-9078-44f5-8a34-339d2d19ee0a</errorID>
      <errorWord>确保无</errorWord>
      <group>L1_Word</group>
      <groupName>字词问题</groupName>
      <ability>L2_Typo</ability>
      <abilityName>字词错误</abilityName>
      <candidateList>
        <item>确保</item>
      </candidateList>
      <explain>〈动〉确实地保持或保证：～交通畅通｜加强田间管理，～粮食丰收。</explain>
      <paraID>7A7C9418</paraID>
      <start>258</start>
      <end>261</end>
      <status>unmodified</status>
      <modifiedWord/>
      <trackRevisions>false</trackRevisions>
    </reviewItem>
    <reviewItem>
      <errorID>a03b50cf-5581-4e3c-b1eb-fcf02ae6b35f</errorID>
      <errorWord>优先回</errorWord>
      <group>L1_Word</group>
      <groupName>字词问题</groupName>
      <ability>L2_Typo</ability>
      <abilityName>字词错误</abilityName>
      <candidateList>
        <item>优先</item>
      </candidateList>
      <explain/>
      <paraID>59BE258B</paraID>
      <start>80</start>
      <end>83</end>
      <status>unmodified</status>
      <modifiedWord/>
      <trackRevisions>false</trackRevisions>
    </reviewItem>
    <reviewItem>
      <errorID>f1aee48e-5874-4e2e-b113-d12c207886ec</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28E094D5</paraID>
      <start>26</start>
      <end>28</end>
      <status>unmodified</status>
      <modifiedWord/>
      <trackRevisions>false</trackRevisions>
    </reviewItem>
    <reviewItem>
      <errorID>c925561a-453e-42b0-8fdf-e03fee8702ae</errorID>
      <errorWord>（</errorWord>
      <group>L1_Punc</group>
      <groupName>标点问题</groupName>
      <ability>L2_Punc</ability>
      <abilityName>标点符号检查</abilityName>
      <candidateList>
        <item/>
      </candidateList>
      <explain>同一形式括号套用。</explain>
      <paraID> E17EB97</paraID>
      <start>0</start>
      <end>1</end>
      <status>unmodified</status>
      <modifiedWord/>
      <trackRevisions>false</trackRevisions>
    </reviewItem>
    <reviewItem>
      <errorID>dc245dc4-ddd2-4678-a195-2752c8b7f5bc</errorID>
      <errorWord>(</errorWord>
      <group>L1_Punc</group>
      <groupName>标点问题</groupName>
      <ability>L2_Punc</ability>
      <abilityName>标点符号检查</abilityName>
      <candidateList/>
      <explain>同一形式括号套用。</explain>
      <paraID> E17EB97</paraID>
      <start>28</start>
      <end>29</end>
      <status>unmodified</status>
      <modifiedWord/>
      <trackRevisions>false</trackRevisions>
    </reviewItem>
    <reviewItem>
      <errorID>216f4cfe-4d68-42f5-94fd-c206103d9e2d</errorID>
      <errorWord>)</errorWord>
      <group>L1_Punc</group>
      <groupName>标点问题</groupName>
      <ability>L2_Punc</ability>
      <abilityName>标点符号检查</abilityName>
      <candidateList/>
      <explain>同一形式括号套用。</explain>
      <paraID> E17EB97</paraID>
      <start>34</start>
      <end>35</end>
      <status>unmodified</status>
      <modifiedWord/>
      <trackRevisions>false</trackRevisions>
    </reviewItem>
    <reviewItem>
      <errorID>c0e52fb1-0292-47fc-8dc9-3b0a34b6163c</errorID>
      <errorWord>）</errorWord>
      <group>L1_Punc</group>
      <groupName>标点问题</groupName>
      <ability>L2_Punc</ability>
      <abilityName>标点符号检查</abilityName>
      <candidateList/>
      <explain>同一形式括号套用。</explain>
      <paraID> E17EB97</paraID>
      <start>36</start>
      <end>37</end>
      <status>unmodified</status>
      <modifiedWord/>
      <trackRevisions>false</trackRevisions>
    </reviewItem>
    <reviewItem>
      <errorID>3ac741ed-24e4-43f5-a55a-e06ce30e6d7a</errorID>
      <errorWord>环评影响</errorWord>
      <group>L1_Word</group>
      <groupName>字词问题</groupName>
      <ability>L2_Typo</ability>
      <abilityName>字词错误</abilityName>
      <candidateList>
        <item>环境影响</item>
      </candidateList>
      <explain/>
      <paraID>46B5BE58</paraID>
      <start>0</start>
      <end>4</end>
      <status>modified</status>
      <modifiedWord>环境影响</modifiedWord>
      <trackRevisions>false</trackRevisions>
    </reviewItem>
    <reviewItem>
      <errorID>794faf14-46bd-4fec-91cf-603d4eece6ab</errorID>
      <errorWord>辗</errorWord>
      <group>L1_Word</group>
      <groupName>字词问题</groupName>
      <ability>L2_Typo</ability>
      <abilityName>字词错误</abilityName>
      <candidateList>
        <item>碾</item>
      </candidateList>
      <explain>存在发音相同字词的误用。</explain>
      <paraID> 377A5DC</paraID>
      <start>39</start>
      <end>40</end>
      <status>modified</status>
      <modifiedWord>碾</modifiedWord>
      <trackRevisions>false</trackRevisions>
    </reviewItem>
    <reviewItem>
      <errorID>282324f3-2b77-436f-a2e9-476ef559247a</errorID>
      <errorWord>探</errorWord>
      <group>L1_Word</group>
      <groupName>字词问题</groupName>
      <ability>L2_Typo</ability>
      <abilityName>字词错误</abilityName>
      <candidateList>
        <item>沿</item>
      </candidateList>
      <explain>存在发音相近字词的误用。</explain>
      <paraID>6C049925</paraID>
      <start>44</start>
      <end>45</end>
      <status>unmodified</status>
      <modifiedWord/>
      <trackRevisions>false</trackRevisions>
    </reviewItem>
    <reviewItem>
      <errorID>78d78109-ed3c-4f69-9427-5b1566ddfdc8</errorID>
      <errorWord>(</errorWord>
      <group>L1_Format</group>
      <groupName>格式问题</groupName>
      <ability>L2_HalfPunc</ability>
      <abilityName>全半角检查</abilityName>
      <candidateList>
        <item>（</item>
      </candidateList>
      <explain>文本全半角错误。</explain>
      <paraID>4E5FAE02</paraID>
      <start>108</start>
      <end>109</end>
      <status>unmodified</status>
      <modifiedWord/>
      <trackRevisions>false</trackRevisions>
    </reviewItem>
    <reviewItem>
      <errorID>8b1dcd2d-07b4-4df8-affe-47b18b114d3a</errorID>
      <errorWord>)</errorWord>
      <group>L1_Format</group>
      <groupName>格式问题</groupName>
      <ability>L2_HalfPunc</ability>
      <abilityName>全半角检查</abilityName>
      <candidateList>
        <item>）</item>
      </candidateList>
      <explain>文本全半角错误。</explain>
      <paraID>4E5FAE02</paraID>
      <start>121</start>
      <end>122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e2ddfd-6cfd-43df-b69e-486b3592e63c}">
  <ds:schemaRefs/>
</ds:datastoreItem>
</file>

<file path=docProps/app.xml><?xml version="1.0" encoding="utf-8"?>
<Properties xmlns="http://schemas.openxmlformats.org/officeDocument/2006/extended-properties" xmlns:vt="http://schemas.openxmlformats.org/officeDocument/2006/docPropsVTypes">
  <Template>Normal</Template>
  <Pages>121</Pages>
  <Words>5907</Words>
  <Characters>6337</Characters>
  <Lines>2898</Lines>
  <Paragraphs>2397</Paragraphs>
  <TotalTime>2</TotalTime>
  <ScaleCrop>false</ScaleCrop>
  <LinksUpToDate>false</LinksUpToDate>
  <CharactersWithSpaces>6385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2025-07-04T11:49:00Z</dcterms:created>
  <dc:creator>Administrator</dc:creator>
  <cp:lastModifiedBy>小麦啾</cp:lastModifiedBy>
  <cp:lastPrinted>2026-01-20T01:42:00Z</cp:lastPrinted>
  <dcterms:modified xsi:type="dcterms:W3CDTF">2026-03-19T02:53:50Z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2025-07-11T17:57:40Z</vt:filetime>
  </property>
  <property fmtid="{D5CDD505-2E9C-101B-9397-08002B2CF9AE}" pid="4" name="KSOProductBuildVer">
    <vt:lpwstr>2052-12.1.0.24657</vt:lpwstr>
  </property>
  <property fmtid="{D5CDD505-2E9C-101B-9397-08002B2CF9AE}" pid="5" name="ICV">
    <vt:lpwstr>831C131FC48E4017BE381DA6A1D173BF_12</vt:lpwstr>
  </property>
  <property fmtid="{D5CDD505-2E9C-101B-9397-08002B2CF9AE}" pid="6" name="KSOTemplateDocerSaveRecord">
    <vt:lpwstr>eyJoZGlkIjoiM2Q5NDlmNDc3N2ZkYzk3ZGJmOTUwNTM0Mzc5MTVlNDMiLCJ1c2VySWQiOiIzMjQ5NjUzODcifQ==</vt:lpwstr>
  </property>
</Properties>
</file>